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D3530">
      <w:pPr>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color w:val="auto"/>
          <w:sz w:val="36"/>
          <w:szCs w:val="36"/>
          <w:lang w:val="en-US" w:eastAsia="zh-CN"/>
        </w:rPr>
        <w:t xml:space="preserve"> </w:t>
      </w:r>
    </w:p>
    <w:p w14:paraId="4B0E40E3">
      <w:pPr>
        <w:rPr>
          <w:rFonts w:hint="default" w:ascii="Times New Roman" w:hAnsi="Times New Roman" w:eastAsia="宋体" w:cs="Times New Roman"/>
          <w:color w:val="auto"/>
          <w:sz w:val="36"/>
          <w:szCs w:val="36"/>
        </w:rPr>
      </w:pPr>
    </w:p>
    <w:p w14:paraId="7CDC251E">
      <w:pPr>
        <w:rPr>
          <w:rFonts w:hint="default" w:ascii="Times New Roman" w:hAnsi="Times New Roman" w:eastAsia="宋体" w:cs="Times New Roman"/>
          <w:color w:val="auto"/>
          <w:sz w:val="36"/>
          <w:szCs w:val="36"/>
        </w:rPr>
      </w:pPr>
    </w:p>
    <w:p w14:paraId="2488FC3E">
      <w:pPr>
        <w:rPr>
          <w:rFonts w:hint="default" w:ascii="Times New Roman" w:hAnsi="Times New Roman" w:eastAsia="宋体" w:cs="Times New Roman"/>
          <w:color w:val="auto"/>
          <w:sz w:val="36"/>
          <w:szCs w:val="36"/>
        </w:rPr>
      </w:pPr>
    </w:p>
    <w:p w14:paraId="3641923E">
      <w:pPr>
        <w:rPr>
          <w:rFonts w:hint="default" w:ascii="Times New Roman" w:hAnsi="Times New Roman" w:eastAsia="宋体" w:cs="Times New Roman"/>
          <w:color w:val="auto"/>
          <w:sz w:val="36"/>
          <w:szCs w:val="36"/>
        </w:rPr>
      </w:pPr>
    </w:p>
    <w:p w14:paraId="0C942573">
      <w:pPr>
        <w:adjustRightInd w:val="0"/>
        <w:snapToGrid w:val="0"/>
        <w:jc w:val="center"/>
        <w:rPr>
          <w:rFonts w:hint="default" w:ascii="Times New Roman" w:hAnsi="Times New Roman" w:eastAsia="宋体" w:cs="Times New Roman"/>
          <w:bCs/>
          <w:color w:val="auto"/>
          <w:sz w:val="72"/>
          <w:szCs w:val="72"/>
        </w:rPr>
      </w:pPr>
      <w:bookmarkStart w:id="0" w:name="_Toc8457"/>
      <w:bookmarkStart w:id="1" w:name="_Toc30246"/>
      <w:bookmarkStart w:id="2" w:name="_Toc21753"/>
      <w:bookmarkStart w:id="3" w:name="_Toc14454"/>
      <w:r>
        <w:rPr>
          <w:rFonts w:hint="default" w:ascii="Times New Roman" w:hAnsi="Times New Roman" w:eastAsia="宋体" w:cs="Times New Roman"/>
          <w:bCs/>
          <w:color w:val="auto"/>
          <w:sz w:val="72"/>
          <w:szCs w:val="72"/>
        </w:rPr>
        <w:t>建设项目环境影响报告表</w:t>
      </w:r>
      <w:bookmarkEnd w:id="0"/>
      <w:bookmarkEnd w:id="1"/>
      <w:bookmarkEnd w:id="2"/>
      <w:bookmarkEnd w:id="3"/>
    </w:p>
    <w:p w14:paraId="2A6D66D9">
      <w:pPr>
        <w:adjustRightInd w:val="0"/>
        <w:snapToGrid w:val="0"/>
        <w:spacing w:before="192"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420F63E8">
      <w:pPr>
        <w:adjustRightInd w:val="0"/>
        <w:snapToGrid w:val="0"/>
        <w:spacing w:line="288" w:lineRule="auto"/>
        <w:jc w:val="center"/>
        <w:rPr>
          <w:rFonts w:hint="default" w:ascii="Times New Roman" w:hAnsi="Times New Roman" w:eastAsia="宋体" w:cs="Times New Roman"/>
          <w:color w:val="auto"/>
          <w:kern w:val="44"/>
          <w:sz w:val="44"/>
          <w:szCs w:val="44"/>
        </w:rPr>
      </w:pPr>
    </w:p>
    <w:p w14:paraId="63788349">
      <w:pPr>
        <w:jc w:val="center"/>
        <w:rPr>
          <w:rFonts w:hint="default" w:ascii="Times New Roman" w:hAnsi="Times New Roman" w:eastAsia="宋体" w:cs="Times New Roman"/>
          <w:color w:val="auto"/>
          <w:sz w:val="52"/>
          <w:szCs w:val="52"/>
        </w:rPr>
      </w:pPr>
      <w:bookmarkStart w:id="52" w:name="_GoBack"/>
      <w:bookmarkEnd w:id="52"/>
    </w:p>
    <w:p w14:paraId="215176B7">
      <w:pPr>
        <w:ind w:firstLine="1040"/>
        <w:rPr>
          <w:rFonts w:hint="default" w:ascii="Times New Roman" w:hAnsi="Times New Roman" w:eastAsia="宋体" w:cs="Times New Roman"/>
          <w:color w:val="auto"/>
          <w:sz w:val="44"/>
          <w:szCs w:val="44"/>
        </w:rPr>
      </w:pPr>
    </w:p>
    <w:p w14:paraId="4D44133C">
      <w:pPr>
        <w:ind w:firstLine="1040"/>
        <w:rPr>
          <w:rFonts w:hint="default" w:ascii="Times New Roman" w:hAnsi="Times New Roman" w:eastAsia="宋体" w:cs="Times New Roman"/>
          <w:color w:val="auto"/>
          <w:sz w:val="44"/>
          <w:szCs w:val="44"/>
        </w:rPr>
      </w:pPr>
    </w:p>
    <w:p w14:paraId="47A2CCF2">
      <w:pPr>
        <w:ind w:firstLine="1040"/>
        <w:rPr>
          <w:rFonts w:hint="default" w:ascii="Times New Roman" w:hAnsi="Times New Roman" w:eastAsia="宋体" w:cs="Times New Roman"/>
          <w:color w:val="auto"/>
          <w:sz w:val="44"/>
          <w:szCs w:val="44"/>
        </w:rPr>
      </w:pPr>
    </w:p>
    <w:p w14:paraId="4B9D4C2F">
      <w:pPr>
        <w:ind w:firstLine="1040"/>
        <w:rPr>
          <w:rFonts w:hint="default" w:ascii="Times New Roman" w:hAnsi="Times New Roman" w:eastAsia="宋体" w:cs="Times New Roman"/>
          <w:color w:val="auto"/>
          <w:sz w:val="44"/>
          <w:szCs w:val="44"/>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4"/>
        <w:gridCol w:w="5886"/>
      </w:tblGrid>
      <w:tr w14:paraId="2D1E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4" w:type="dxa"/>
            <w:tcBorders>
              <w:tl2br w:val="nil"/>
              <w:tr2bl w:val="nil"/>
            </w:tcBorders>
            <w:vAlign w:val="center"/>
          </w:tcPr>
          <w:p w14:paraId="6C8092F8">
            <w:pPr>
              <w:adjustRightInd w:val="0"/>
              <w:snapToGrid w:val="0"/>
              <w:spacing w:line="288" w:lineRule="auto"/>
              <w:jc w:val="distribute"/>
              <w:rPr>
                <w:rFonts w:hint="default" w:ascii="Times New Roman" w:hAnsi="Times New Roman" w:eastAsia="宋体" w:cs="Times New Roman"/>
                <w:bCs/>
                <w:color w:val="auto"/>
                <w:sz w:val="36"/>
                <w:szCs w:val="36"/>
              </w:rPr>
            </w:pPr>
            <w:bookmarkStart w:id="4" w:name="_Hlk57884087"/>
            <w:r>
              <w:rPr>
                <w:rFonts w:hint="default" w:ascii="Times New Roman" w:hAnsi="Times New Roman" w:eastAsia="宋体" w:cs="Times New Roman"/>
                <w:bCs/>
                <w:color w:val="auto"/>
                <w:sz w:val="36"/>
                <w:szCs w:val="36"/>
              </w:rPr>
              <w:t>项目名称：</w:t>
            </w:r>
          </w:p>
        </w:tc>
        <w:tc>
          <w:tcPr>
            <w:tcW w:w="5886" w:type="dxa"/>
            <w:tcBorders>
              <w:tl2br w:val="nil"/>
              <w:tr2bl w:val="nil"/>
            </w:tcBorders>
            <w:vAlign w:val="center"/>
          </w:tcPr>
          <w:p w14:paraId="76C63652">
            <w:pPr>
              <w:adjustRightInd w:val="0"/>
              <w:snapToGrid w:val="0"/>
              <w:spacing w:line="288" w:lineRule="auto"/>
              <w:jc w:val="center"/>
              <w:rPr>
                <w:rFonts w:hint="default" w:ascii="Times New Roman" w:hAnsi="Times New Roman" w:eastAsia="宋体" w:cs="Times New Roman"/>
                <w:bCs/>
                <w:color w:val="auto"/>
                <w:sz w:val="36"/>
                <w:szCs w:val="36"/>
                <w:lang w:eastAsia="zh-CN"/>
              </w:rPr>
            </w:pPr>
            <w:r>
              <w:rPr>
                <w:rFonts w:hint="default" w:ascii="Times New Roman" w:hAnsi="Times New Roman" w:eastAsia="宋体" w:cs="Times New Roman"/>
                <w:bCs/>
                <w:color w:val="auto"/>
                <w:sz w:val="36"/>
                <w:szCs w:val="36"/>
                <w:u w:val="single"/>
                <w:lang w:eastAsia="zh-CN"/>
              </w:rPr>
              <w:t>瓦楞纸板设备更新</w:t>
            </w:r>
          </w:p>
        </w:tc>
      </w:tr>
      <w:tr w14:paraId="60664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4" w:type="dxa"/>
            <w:tcBorders>
              <w:tl2br w:val="nil"/>
              <w:tr2bl w:val="nil"/>
            </w:tcBorders>
            <w:vAlign w:val="center"/>
          </w:tcPr>
          <w:p w14:paraId="170CDDB5">
            <w:pPr>
              <w:adjustRightInd w:val="0"/>
              <w:snapToGrid w:val="0"/>
              <w:spacing w:line="288" w:lineRule="auto"/>
              <w:jc w:val="distribute"/>
              <w:rPr>
                <w:rFonts w:hint="default" w:ascii="Times New Roman" w:hAnsi="Times New Roman" w:eastAsia="宋体" w:cs="Times New Roman"/>
                <w:bCs/>
                <w:color w:val="auto"/>
                <w:sz w:val="36"/>
                <w:szCs w:val="36"/>
              </w:rPr>
            </w:pPr>
            <w:r>
              <w:rPr>
                <w:rFonts w:hint="default" w:ascii="Times New Roman" w:hAnsi="Times New Roman" w:eastAsia="宋体" w:cs="Times New Roman"/>
                <w:bCs/>
                <w:color w:val="auto"/>
                <w:sz w:val="36"/>
                <w:szCs w:val="36"/>
              </w:rPr>
              <w:t>建设单位（盖章）：</w:t>
            </w:r>
          </w:p>
        </w:tc>
        <w:tc>
          <w:tcPr>
            <w:tcW w:w="5886" w:type="dxa"/>
            <w:tcBorders>
              <w:tl2br w:val="nil"/>
              <w:tr2bl w:val="nil"/>
            </w:tcBorders>
            <w:vAlign w:val="center"/>
          </w:tcPr>
          <w:p w14:paraId="63A23208">
            <w:pPr>
              <w:adjustRightInd w:val="0"/>
              <w:snapToGrid w:val="0"/>
              <w:spacing w:line="288" w:lineRule="auto"/>
              <w:jc w:val="center"/>
              <w:rPr>
                <w:rFonts w:hint="default" w:ascii="Times New Roman" w:hAnsi="Times New Roman" w:eastAsia="宋体" w:cs="Times New Roman"/>
                <w:bCs/>
                <w:color w:val="auto"/>
                <w:sz w:val="36"/>
                <w:szCs w:val="36"/>
                <w:lang w:eastAsia="zh-CN"/>
              </w:rPr>
            </w:pPr>
            <w:r>
              <w:rPr>
                <w:rFonts w:hint="default" w:ascii="Times New Roman" w:hAnsi="Times New Roman" w:eastAsia="宋体" w:cs="Times New Roman"/>
                <w:bCs/>
                <w:color w:val="auto"/>
                <w:sz w:val="36"/>
                <w:szCs w:val="36"/>
                <w:u w:val="single"/>
                <w:lang w:eastAsia="zh-CN"/>
              </w:rPr>
              <w:t>云南兴恒包装有限公司</w:t>
            </w:r>
          </w:p>
        </w:tc>
      </w:tr>
      <w:tr w14:paraId="66BDE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4" w:type="dxa"/>
            <w:tcBorders>
              <w:tl2br w:val="nil"/>
              <w:tr2bl w:val="nil"/>
            </w:tcBorders>
            <w:vAlign w:val="center"/>
          </w:tcPr>
          <w:p w14:paraId="5003A461">
            <w:pPr>
              <w:adjustRightInd w:val="0"/>
              <w:snapToGrid w:val="0"/>
              <w:spacing w:line="288" w:lineRule="auto"/>
              <w:jc w:val="distribute"/>
              <w:rPr>
                <w:rFonts w:hint="default" w:ascii="Times New Roman" w:hAnsi="Times New Roman" w:eastAsia="宋体" w:cs="Times New Roman"/>
                <w:bCs/>
                <w:color w:val="auto"/>
                <w:sz w:val="36"/>
                <w:szCs w:val="36"/>
              </w:rPr>
            </w:pPr>
            <w:r>
              <w:rPr>
                <w:rFonts w:hint="default" w:ascii="Times New Roman" w:hAnsi="Times New Roman" w:eastAsia="宋体" w:cs="Times New Roman"/>
                <w:bCs/>
                <w:color w:val="auto"/>
                <w:sz w:val="36"/>
                <w:szCs w:val="36"/>
              </w:rPr>
              <w:t>编制日期：</w:t>
            </w:r>
          </w:p>
        </w:tc>
        <w:tc>
          <w:tcPr>
            <w:tcW w:w="5886" w:type="dxa"/>
            <w:tcBorders>
              <w:tl2br w:val="nil"/>
              <w:tr2bl w:val="nil"/>
            </w:tcBorders>
            <w:vAlign w:val="center"/>
          </w:tcPr>
          <w:p w14:paraId="36C60BC2">
            <w:pPr>
              <w:adjustRightInd w:val="0"/>
              <w:snapToGrid w:val="0"/>
              <w:spacing w:line="288" w:lineRule="auto"/>
              <w:jc w:val="center"/>
              <w:rPr>
                <w:rFonts w:hint="default" w:ascii="Times New Roman" w:hAnsi="Times New Roman" w:eastAsia="宋体" w:cs="Times New Roman"/>
                <w:bCs/>
                <w:color w:val="auto"/>
                <w:sz w:val="36"/>
                <w:szCs w:val="36"/>
              </w:rPr>
            </w:pPr>
            <w:r>
              <w:rPr>
                <w:rFonts w:hint="default" w:ascii="Times New Roman" w:hAnsi="Times New Roman" w:eastAsia="宋体" w:cs="Times New Roman"/>
                <w:bCs/>
                <w:color w:val="auto"/>
                <w:sz w:val="36"/>
                <w:szCs w:val="36"/>
                <w:u w:val="single"/>
              </w:rPr>
              <w:t>202</w:t>
            </w:r>
            <w:r>
              <w:rPr>
                <w:rFonts w:hint="default" w:ascii="Times New Roman" w:hAnsi="Times New Roman" w:eastAsia="宋体" w:cs="Times New Roman"/>
                <w:bCs/>
                <w:color w:val="auto"/>
                <w:sz w:val="36"/>
                <w:szCs w:val="36"/>
                <w:u w:val="single"/>
                <w:lang w:val="en-US" w:eastAsia="zh-CN"/>
              </w:rPr>
              <w:t>6</w:t>
            </w:r>
            <w:r>
              <w:rPr>
                <w:rFonts w:hint="default" w:ascii="Times New Roman" w:hAnsi="Times New Roman" w:eastAsia="宋体" w:cs="Times New Roman"/>
                <w:bCs/>
                <w:color w:val="auto"/>
                <w:sz w:val="36"/>
                <w:szCs w:val="36"/>
                <w:u w:val="single"/>
              </w:rPr>
              <w:t>年</w:t>
            </w:r>
            <w:r>
              <w:rPr>
                <w:rFonts w:hint="default" w:ascii="Times New Roman" w:hAnsi="Times New Roman" w:eastAsia="宋体" w:cs="Times New Roman"/>
                <w:bCs/>
                <w:color w:val="auto"/>
                <w:sz w:val="36"/>
                <w:szCs w:val="36"/>
                <w:u w:val="single"/>
                <w:lang w:val="en-US" w:eastAsia="zh-CN"/>
              </w:rPr>
              <w:t>02</w:t>
            </w:r>
            <w:r>
              <w:rPr>
                <w:rFonts w:hint="default" w:ascii="Times New Roman" w:hAnsi="Times New Roman" w:eastAsia="宋体" w:cs="Times New Roman"/>
                <w:bCs/>
                <w:color w:val="auto"/>
                <w:sz w:val="36"/>
                <w:szCs w:val="36"/>
                <w:u w:val="single"/>
              </w:rPr>
              <w:t>月</w:t>
            </w:r>
          </w:p>
        </w:tc>
      </w:tr>
    </w:tbl>
    <w:p w14:paraId="1E837967">
      <w:pPr>
        <w:adjustRightInd w:val="0"/>
        <w:snapToGrid w:val="0"/>
        <w:spacing w:line="288" w:lineRule="auto"/>
        <w:ind w:firstLine="1040"/>
        <w:rPr>
          <w:rFonts w:hint="default" w:ascii="Times New Roman" w:hAnsi="Times New Roman" w:eastAsia="宋体" w:cs="Times New Roman"/>
          <w:color w:val="auto"/>
          <w:sz w:val="36"/>
          <w:szCs w:val="36"/>
          <w:u w:val="single"/>
        </w:rPr>
      </w:pPr>
    </w:p>
    <w:p w14:paraId="34D526F5">
      <w:pPr>
        <w:adjustRightInd w:val="0"/>
        <w:snapToGrid w:val="0"/>
        <w:spacing w:line="288" w:lineRule="auto"/>
        <w:ind w:firstLine="1040"/>
        <w:rPr>
          <w:rFonts w:hint="default" w:ascii="Times New Roman" w:hAnsi="Times New Roman" w:eastAsia="宋体" w:cs="Times New Roman"/>
          <w:color w:val="auto"/>
          <w:sz w:val="36"/>
          <w:szCs w:val="36"/>
        </w:rPr>
      </w:pPr>
    </w:p>
    <w:p w14:paraId="704443DE">
      <w:pPr>
        <w:adjustRightInd w:val="0"/>
        <w:snapToGrid w:val="0"/>
        <w:spacing w:line="288" w:lineRule="auto"/>
        <w:ind w:firstLine="1040"/>
        <w:rPr>
          <w:rFonts w:hint="default" w:ascii="Times New Roman" w:hAnsi="Times New Roman" w:eastAsia="宋体" w:cs="Times New Roman"/>
          <w:color w:val="auto"/>
          <w:sz w:val="36"/>
          <w:szCs w:val="36"/>
        </w:rPr>
      </w:pPr>
    </w:p>
    <w:p w14:paraId="05EC84B4">
      <w:pPr>
        <w:adjustRightInd w:val="0"/>
        <w:snapToGrid w:val="0"/>
        <w:spacing w:line="288" w:lineRule="auto"/>
        <w:ind w:firstLine="1040"/>
        <w:rPr>
          <w:rFonts w:hint="default" w:ascii="Times New Roman" w:hAnsi="Times New Roman" w:eastAsia="宋体" w:cs="Times New Roman"/>
          <w:color w:val="auto"/>
          <w:sz w:val="36"/>
          <w:szCs w:val="36"/>
        </w:rPr>
      </w:pPr>
    </w:p>
    <w:p w14:paraId="5DAB93FA">
      <w:pPr>
        <w:adjustRightInd w:val="0"/>
        <w:snapToGrid w:val="0"/>
        <w:spacing w:line="288" w:lineRule="auto"/>
        <w:ind w:firstLine="1040"/>
        <w:rPr>
          <w:rFonts w:hint="default" w:ascii="Times New Roman" w:hAnsi="Times New Roman" w:eastAsia="宋体" w:cs="Times New Roman"/>
          <w:color w:val="auto"/>
          <w:sz w:val="36"/>
          <w:szCs w:val="36"/>
        </w:rPr>
      </w:pPr>
    </w:p>
    <w:bookmarkEnd w:id="4"/>
    <w:p w14:paraId="1A58CC91">
      <w:pPr>
        <w:adjustRightInd w:val="0"/>
        <w:snapToGrid w:val="0"/>
        <w:spacing w:line="288" w:lineRule="auto"/>
        <w:jc w:val="center"/>
        <w:rPr>
          <w:rFonts w:hint="default" w:ascii="Times New Roman" w:hAnsi="Times New Roman" w:eastAsia="宋体" w:cs="Times New Roman"/>
          <w:color w:val="auto"/>
          <w:sz w:val="36"/>
          <w:szCs w:val="36"/>
        </w:rPr>
      </w:pPr>
      <w:bookmarkStart w:id="5" w:name="_Toc23091"/>
      <w:r>
        <w:rPr>
          <w:rFonts w:hint="default" w:ascii="Times New Roman" w:hAnsi="Times New Roman" w:eastAsia="宋体" w:cs="Times New Roman"/>
          <w:color w:val="auto"/>
          <w:sz w:val="36"/>
          <w:szCs w:val="36"/>
        </w:rPr>
        <w:t>中华人民共和国生态环境部制</w:t>
      </w:r>
      <w:bookmarkEnd w:id="5"/>
    </w:p>
    <w:p w14:paraId="017CB13B">
      <w:pPr>
        <w:adjustRightInd w:val="0"/>
        <w:snapToGrid w:val="0"/>
        <w:spacing w:line="288" w:lineRule="auto"/>
        <w:ind w:firstLine="1040"/>
        <w:rPr>
          <w:rFonts w:hint="default" w:ascii="Times New Roman" w:hAnsi="Times New Roman" w:eastAsia="宋体" w:cs="Times New Roman"/>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07E8ED10">
      <w:pPr>
        <w:spacing w:line="360" w:lineRule="auto"/>
        <w:jc w:val="center"/>
        <w:rPr>
          <w:rFonts w:hint="default" w:ascii="Times New Roman" w:hAnsi="Times New Roman" w:eastAsia="宋体" w:cs="Times New Roman"/>
          <w:b/>
          <w:bCs/>
          <w:color w:val="auto"/>
          <w:sz w:val="32"/>
          <w:szCs w:val="32"/>
        </w:rPr>
      </w:pPr>
      <w:bookmarkStart w:id="6" w:name="_Toc18194"/>
      <w:r>
        <w:rPr>
          <w:rFonts w:hint="default" w:ascii="Times New Roman" w:hAnsi="Times New Roman" w:eastAsia="宋体" w:cs="Times New Roman"/>
          <w:b/>
          <w:bCs/>
          <w:color w:val="auto"/>
          <w:sz w:val="32"/>
          <w:szCs w:val="32"/>
        </w:rPr>
        <w:t>前言</w:t>
      </w:r>
      <w:bookmarkEnd w:id="6"/>
    </w:p>
    <w:p w14:paraId="691C99CF">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一、项目由来</w:t>
      </w:r>
    </w:p>
    <w:p w14:paraId="3AE01FA7">
      <w:pPr>
        <w:pStyle w:val="38"/>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2025年3月委托玉溪禾川绿色环境咨询有限公司编制了《云南兴恒包装瓦楞纸箱生产线搬迁环境影响报告表》，2025年6月玉溪生态环境局红塔分局以（玉红环审[2025]17号）对《云南兴恒包装瓦楞纸箱生产线搬迁环境影响报告表》进行了批复，同意</w:t>
      </w:r>
      <w:r>
        <w:rPr>
          <w:rFonts w:hint="default" w:ascii="Times New Roman" w:hAnsi="Times New Roman" w:eastAsia="宋体" w:cs="Times New Roman"/>
          <w:b w:val="0"/>
          <w:bCs w:val="0"/>
          <w:color w:val="auto"/>
          <w:sz w:val="24"/>
          <w:szCs w:val="24"/>
          <w:lang w:eastAsia="zh-CN"/>
        </w:rPr>
        <w:t>云南兴恒包装有限公司</w:t>
      </w:r>
      <w:r>
        <w:rPr>
          <w:rFonts w:hint="default" w:ascii="Times New Roman" w:hAnsi="Times New Roman" w:eastAsia="宋体" w:cs="Times New Roman"/>
          <w:b w:val="0"/>
          <w:bCs w:val="0"/>
          <w:color w:val="auto"/>
          <w:sz w:val="24"/>
          <w:szCs w:val="24"/>
          <w:lang w:val="en-US" w:eastAsia="zh-CN"/>
        </w:rPr>
        <w:t>将包装箱印刷生产线进行整体搬迁至云南新兴仁恒包装材料有限公司的闲置车间、仓库内，新厂地址为</w:t>
      </w:r>
      <w:r>
        <w:rPr>
          <w:rFonts w:hint="default" w:ascii="Times New Roman" w:hAnsi="Times New Roman" w:eastAsia="宋体" w:cs="Times New Roman"/>
          <w:b w:val="0"/>
          <w:bCs w:val="0"/>
          <w:color w:val="auto"/>
          <w:sz w:val="24"/>
          <w:szCs w:val="24"/>
          <w:lang w:eastAsia="zh-CN"/>
        </w:rPr>
        <w:t>云南省玉溪春和街道孙井社区太极山</w:t>
      </w:r>
      <w:r>
        <w:rPr>
          <w:rFonts w:hint="default" w:ascii="Times New Roman" w:hAnsi="Times New Roman" w:eastAsia="宋体" w:cs="Times New Roman"/>
          <w:b w:val="0"/>
          <w:bCs w:val="0"/>
          <w:color w:val="auto"/>
          <w:sz w:val="24"/>
          <w:szCs w:val="24"/>
        </w:rPr>
        <w:t>，中心坐标为东经：102°32'40.146"，北纬：24°23'47.146"</w:t>
      </w:r>
      <w:r>
        <w:rPr>
          <w:rFonts w:hint="default" w:ascii="Times New Roman" w:hAnsi="Times New Roman" w:eastAsia="宋体" w:cs="Times New Roman"/>
          <w:b w:val="0"/>
          <w:bCs w:val="0"/>
          <w:color w:val="auto"/>
          <w:sz w:val="24"/>
          <w:szCs w:val="24"/>
          <w:lang w:eastAsia="zh-CN"/>
        </w:rPr>
        <w:t>。</w:t>
      </w:r>
    </w:p>
    <w:p w14:paraId="10697989">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 w:val="24"/>
          <w:szCs w:val="24"/>
          <w:lang w:val="en-US" w:eastAsia="zh-CN"/>
        </w:rPr>
        <w:t>2025年09月08日，云南兴恒包装有限公司根据《云南兴恒包装瓦楞纸箱生产线搬迁环境影响报告表》及审批意见，并对照《建设项目竣工环境保护验收暂行办法》，严格依照国家有关法律法规、建设项目竣工环境保护验收技术规范和指南、本项目环境影响报告表和审批意见等要求对本项目进行自主验收，验收通过。</w:t>
      </w:r>
    </w:p>
    <w:p w14:paraId="0DDB427A">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云南兴恒包装有限公司</w:t>
      </w:r>
      <w:r>
        <w:rPr>
          <w:rFonts w:hint="default" w:ascii="Times New Roman" w:hAnsi="Times New Roman" w:eastAsia="宋体" w:cs="Times New Roman"/>
          <w:color w:val="auto"/>
          <w:sz w:val="24"/>
          <w:szCs w:val="24"/>
          <w:lang w:val="en-US" w:eastAsia="zh-CN"/>
        </w:rPr>
        <w:t>在第一次搬迁过程未将瓦楞纸板生产线进行搬迁，原项目外购成品瓦楞纸板进行生产，为应对市场的剧烈波动，企业决定再租赁云南新兴仁恒包装材料有限公司内的闲置车间（4A车间），将瓦楞纸板生产线整体搬迁（二次搬迁），由于原厂瓦楞纸板生产线及6t/h的生物质锅炉已老旧，复用（利用）价值不大，企业计划将原瓦楞纸板设备及6t/h的生物质锅炉整体更新，原有老旧瓦楞纸板生产线及6t/h的生物质锅炉拆除后作为废弃资源外售；在新租赁的车间新建一条瓦楞纸板生产线和4t/h的生物质专用锅炉，项目于</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日取得玉溪市红塔区发展和改革局出具的项目投资备案证，备案号：</w:t>
      </w:r>
      <w:r>
        <w:rPr>
          <w:rFonts w:hint="default" w:ascii="Times New Roman" w:hAnsi="Times New Roman" w:eastAsia="宋体" w:cs="Times New Roman"/>
          <w:color w:val="auto"/>
          <w:sz w:val="24"/>
          <w:szCs w:val="24"/>
          <w:lang w:eastAsia="zh-CN"/>
        </w:rPr>
        <w:t>2511-530402-04-02-205949</w:t>
      </w:r>
      <w:r>
        <w:rPr>
          <w:rFonts w:hint="default" w:ascii="Times New Roman" w:hAnsi="Times New Roman" w:eastAsia="宋体" w:cs="Times New Roman"/>
          <w:color w:val="auto"/>
          <w:sz w:val="24"/>
          <w:szCs w:val="24"/>
        </w:rPr>
        <w:t>。</w:t>
      </w:r>
    </w:p>
    <w:p w14:paraId="3A0921E4">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二、项目所在地土地性质</w:t>
      </w:r>
    </w:p>
    <w:p w14:paraId="6ECBBDE6">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云南玉溪铝箔纸厂控股</w:t>
      </w:r>
      <w:r>
        <w:rPr>
          <w:rFonts w:hint="default" w:ascii="Times New Roman" w:hAnsi="Times New Roman" w:eastAsia="宋体" w:cs="Times New Roman"/>
          <w:color w:val="auto"/>
          <w:sz w:val="24"/>
          <w:szCs w:val="24"/>
          <w:lang w:eastAsia="zh-CN"/>
        </w:rPr>
        <w:t>云南新兴仁恒包装材料有限公司，</w:t>
      </w:r>
      <w:r>
        <w:rPr>
          <w:rFonts w:hint="default" w:ascii="Times New Roman" w:hAnsi="Times New Roman" w:eastAsia="宋体" w:cs="Times New Roman"/>
          <w:color w:val="auto"/>
          <w:sz w:val="24"/>
          <w:szCs w:val="24"/>
          <w:lang w:val="en-US" w:eastAsia="zh-CN"/>
        </w:rPr>
        <w:t>法人代表均为：马翔；根据《关于红塔区春和镇孙井村民委员会补办土地使用权出让手续及转让土地使用权给云南玉溪铝箔纸厂的批复》玉红土矿[2000]338号文件可知，云南新兴仁恒包装材料有限公司土地性质为工业用地，本项目评价范围内用地性质为工业用地。</w:t>
      </w:r>
    </w:p>
    <w:p w14:paraId="508ED36B">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三、环评类别判定</w:t>
      </w:r>
    </w:p>
    <w:p w14:paraId="2F91F69F">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根据《中华人民共和国环境影响评价法》和《建设项目环境保护管理条例》的有关规定，建设项目需履行环境影响评价手续。本项目以纸制品为主，</w:t>
      </w:r>
      <w:r>
        <w:rPr>
          <w:rFonts w:hint="default" w:ascii="Times New Roman" w:hAnsi="Times New Roman" w:eastAsia="宋体" w:cs="Times New Roman"/>
          <w:color w:val="auto"/>
          <w:sz w:val="24"/>
          <w:szCs w:val="24"/>
          <w:lang w:val="en-US" w:eastAsia="zh-CN"/>
        </w:rPr>
        <w:t>新增瓦楞纸板生产线用于本项目生产使用</w:t>
      </w:r>
      <w:r>
        <w:rPr>
          <w:rFonts w:hint="default" w:ascii="Times New Roman" w:hAnsi="Times New Roman" w:eastAsia="宋体" w:cs="Times New Roman"/>
          <w:color w:val="auto"/>
          <w:sz w:val="24"/>
          <w:szCs w:val="24"/>
        </w:rPr>
        <w:t>。对照《国民经济行业分类》（GB/T4754-2017），本项目行业类别为C2239其他纸制品制造。对照《建设项目环境影响评价分类管理名录》（2021年版）：“十九、造纸和纸制品业-38纸制品制造223-有</w:t>
      </w:r>
      <w:r>
        <w:rPr>
          <w:rFonts w:hint="default" w:ascii="Times New Roman" w:hAnsi="Times New Roman" w:eastAsia="宋体" w:cs="Times New Roman"/>
          <w:color w:val="auto"/>
          <w:sz w:val="24"/>
          <w:szCs w:val="24"/>
          <w:lang w:val="en-US" w:eastAsia="zh-CN"/>
        </w:rPr>
        <w:t>涂布</w:t>
      </w:r>
      <w:r>
        <w:rPr>
          <w:rFonts w:hint="default" w:ascii="Times New Roman" w:hAnsi="Times New Roman" w:eastAsia="宋体" w:cs="Times New Roman"/>
          <w:color w:val="auto"/>
          <w:sz w:val="24"/>
          <w:szCs w:val="24"/>
        </w:rPr>
        <w:t>、浸渍、印刷、粘胶工艺的”，因此，应编制环境影响报告表。</w:t>
      </w:r>
    </w:p>
    <w:p w14:paraId="698F10DD">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项目还配套一台4t/h的生物质专用锅炉，</w:t>
      </w:r>
      <w:r>
        <w:rPr>
          <w:rFonts w:hint="default" w:ascii="Times New Roman" w:hAnsi="Times New Roman" w:eastAsia="宋体" w:cs="Times New Roman"/>
          <w:color w:val="auto"/>
          <w:sz w:val="24"/>
          <w:szCs w:val="24"/>
        </w:rPr>
        <w:t>依据《建设项目环境影响评价分类管理</w:t>
      </w:r>
      <w:r>
        <w:rPr>
          <w:rFonts w:hint="default" w:ascii="Times New Roman" w:hAnsi="Times New Roman" w:eastAsia="宋体" w:cs="Times New Roman"/>
          <w:color w:val="auto"/>
          <w:sz w:val="24"/>
          <w:szCs w:val="24"/>
          <w:lang w:val="en-US" w:eastAsia="zh-CN"/>
        </w:rPr>
        <w:t>名录》(2021版)，本项目属于“四十一、电力、热力生产和供应业91”类别中“热力生产和供应工程”，生物质专用锅炉环评类别为“报告表”，故应编制建设项目环境影响报告表。</w:t>
      </w:r>
    </w:p>
    <w:p w14:paraId="1DC09819">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综上所述项目应编制环境影响评价报告表。</w:t>
      </w:r>
    </w:p>
    <w:p w14:paraId="09E5BF32">
      <w:pPr>
        <w:pStyle w:val="31"/>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受云南兴恒包装有限公司的委托，由我公司承担本项目环境影响报告表的编制工作。我方接受委托后，在进行了现场踏勘、环境状况调查、资料收集以及认真分析工程内容等工作基础上，编制完成了本项目环境影响报告表，作为建设项目环境保护文件上报生态环境行政管理部门审批。</w:t>
      </w:r>
    </w:p>
    <w:p w14:paraId="77B0D861">
      <w:pPr>
        <w:pStyle w:val="31"/>
        <w:snapToGrid w:val="0"/>
        <w:ind w:firstLine="480"/>
        <w:rPr>
          <w:rFonts w:hint="default" w:ascii="Times New Roman" w:hAnsi="Times New Roman" w:eastAsia="宋体" w:cs="Times New Roman"/>
          <w:b/>
          <w:bCs/>
          <w:color w:val="auto"/>
          <w:sz w:val="32"/>
          <w:szCs w:val="32"/>
        </w:rPr>
        <w:sectPr>
          <w:pgSz w:w="11906" w:h="16838"/>
          <w:pgMar w:top="1701" w:right="1531" w:bottom="1701" w:left="1531" w:header="851" w:footer="1077" w:gutter="0"/>
          <w:pgNumType w:start="3"/>
          <w:cols w:space="720" w:num="1"/>
          <w:docGrid w:linePitch="312" w:charSpace="0"/>
        </w:sectPr>
      </w:pPr>
    </w:p>
    <w:p w14:paraId="1779DAD1">
      <w:pPr>
        <w:spacing w:line="360" w:lineRule="auto"/>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目录</w:t>
      </w:r>
    </w:p>
    <w:p w14:paraId="38CC4F4E">
      <w:pPr>
        <w:pStyle w:val="8"/>
        <w:tabs>
          <w:tab w:val="right" w:leader="dot" w:pos="8844"/>
        </w:tabs>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TOC \o "1-3" \h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"_Toc25158"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一、建设项目基本情况</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_Toc25158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110B32D7">
      <w:pPr>
        <w:pStyle w:val="8"/>
        <w:tabs>
          <w:tab w:val="right" w:leader="dot" w:pos="8844"/>
        </w:tabs>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"_Toc12500"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二、建设项目工程分析</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_Toc12500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22</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75AA0ADD">
      <w:pPr>
        <w:pStyle w:val="8"/>
        <w:tabs>
          <w:tab w:val="right" w:leader="dot" w:pos="8844"/>
        </w:tabs>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"_Toc12183"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三、区域环境质量现状、环境保护目标及评价标准</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_Toc12183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43</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176FB94C">
      <w:pPr>
        <w:pStyle w:val="8"/>
        <w:tabs>
          <w:tab w:val="right" w:leader="dot" w:pos="8844"/>
        </w:tabs>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"_Toc13885"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四、主要环境影响和保护措施</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_Toc13885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53</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34245993">
      <w:pPr>
        <w:pStyle w:val="8"/>
        <w:tabs>
          <w:tab w:val="right" w:leader="dot" w:pos="8844"/>
        </w:tabs>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"_Toc4845"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五、环境保护措施监督检查清单</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_Toc4845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80</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718D2262">
      <w:pPr>
        <w:pStyle w:val="8"/>
        <w:tabs>
          <w:tab w:val="right" w:leader="dot" w:pos="8844"/>
        </w:tabs>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"_Toc32424"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六、结论</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_Toc32424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82</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4E6CFC77">
      <w:pPr>
        <w:pStyle w:val="8"/>
        <w:tabs>
          <w:tab w:val="right" w:leader="dot" w:pos="8844"/>
        </w:tabs>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"_Toc31491"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snapToGrid w:val="0"/>
          <w:color w:val="auto"/>
          <w:sz w:val="28"/>
          <w:szCs w:val="28"/>
        </w:rPr>
        <w:t>附表</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_Toc31491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83</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461E4C9A">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color w:val="auto"/>
        </w:rPr>
        <w:fldChar w:fldCharType="end"/>
      </w:r>
    </w:p>
    <w:p w14:paraId="5A1B06A8">
      <w:pPr>
        <w:pStyle w:val="38"/>
        <w:rPr>
          <w:rFonts w:hint="default" w:ascii="Times New Roman" w:hAnsi="Times New Roman" w:eastAsia="宋体" w:cs="Times New Roman"/>
          <w:b w:val="0"/>
          <w:bCs w:val="0"/>
          <w:color w:val="auto"/>
          <w:sz w:val="24"/>
          <w:szCs w:val="24"/>
        </w:rPr>
        <w:sectPr>
          <w:footerReference r:id="rId5" w:type="default"/>
          <w:pgSz w:w="11906" w:h="16838"/>
          <w:pgMar w:top="1701" w:right="1531" w:bottom="1701" w:left="1531" w:header="851" w:footer="1077" w:gutter="0"/>
          <w:pgNumType w:start="3"/>
          <w:cols w:space="720" w:num="1"/>
          <w:docGrid w:linePitch="312" w:charSpace="0"/>
        </w:sectPr>
      </w:pPr>
    </w:p>
    <w:p w14:paraId="136D94F4">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p>
    <w:p w14:paraId="6DF8026B">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附图1  项目地理位置图</w:t>
      </w:r>
    </w:p>
    <w:p w14:paraId="5E81C266">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附图2  项目平面布置图</w:t>
      </w:r>
    </w:p>
    <w:p w14:paraId="330BA2E4">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附图3  项目周边水系图</w:t>
      </w:r>
    </w:p>
    <w:p w14:paraId="57C71F6E">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附图4  项目周边环境关系图</w:t>
      </w:r>
    </w:p>
    <w:p w14:paraId="370C24E0">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 xml:space="preserve">  项目</w:t>
      </w:r>
      <w:r>
        <w:rPr>
          <w:rFonts w:hint="default" w:ascii="Times New Roman" w:hAnsi="Times New Roman" w:eastAsia="宋体" w:cs="Times New Roman"/>
          <w:b w:val="0"/>
          <w:bCs w:val="0"/>
          <w:color w:val="auto"/>
          <w:sz w:val="24"/>
          <w:szCs w:val="24"/>
          <w:lang w:val="en-US" w:eastAsia="zh-CN"/>
        </w:rPr>
        <w:t>分区防渗</w:t>
      </w:r>
      <w:r>
        <w:rPr>
          <w:rFonts w:hint="default" w:ascii="Times New Roman" w:hAnsi="Times New Roman" w:eastAsia="宋体" w:cs="Times New Roman"/>
          <w:b w:val="0"/>
          <w:bCs w:val="0"/>
          <w:color w:val="auto"/>
          <w:sz w:val="24"/>
          <w:szCs w:val="24"/>
        </w:rPr>
        <w:t>图</w:t>
      </w:r>
    </w:p>
    <w:p w14:paraId="6074C484">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附图</w:t>
      </w:r>
      <w:r>
        <w:rPr>
          <w:rFonts w:hint="default"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 xml:space="preserve">  项目</w:t>
      </w:r>
      <w:r>
        <w:rPr>
          <w:rFonts w:hint="default" w:ascii="Times New Roman" w:hAnsi="Times New Roman" w:eastAsia="宋体" w:cs="Times New Roman"/>
          <w:b w:val="0"/>
          <w:bCs w:val="0"/>
          <w:color w:val="auto"/>
          <w:sz w:val="24"/>
          <w:szCs w:val="24"/>
          <w:lang w:val="en-US" w:eastAsia="zh-CN"/>
        </w:rPr>
        <w:t>雨污分流</w:t>
      </w:r>
      <w:r>
        <w:rPr>
          <w:rFonts w:hint="default" w:ascii="Times New Roman" w:hAnsi="Times New Roman" w:eastAsia="宋体" w:cs="Times New Roman"/>
          <w:b w:val="0"/>
          <w:bCs w:val="0"/>
          <w:color w:val="auto"/>
          <w:sz w:val="24"/>
          <w:szCs w:val="24"/>
        </w:rPr>
        <w:t>图</w:t>
      </w:r>
    </w:p>
    <w:p w14:paraId="2301597C">
      <w:pPr>
        <w:pStyle w:val="38"/>
        <w:rPr>
          <w:rFonts w:hint="default" w:ascii="Times New Roman" w:hAnsi="Times New Roman" w:eastAsia="宋体" w:cs="Times New Roman"/>
          <w:b w:val="0"/>
          <w:bCs w:val="0"/>
          <w:color w:val="auto"/>
          <w:sz w:val="24"/>
          <w:szCs w:val="24"/>
        </w:rPr>
      </w:pPr>
    </w:p>
    <w:p w14:paraId="0CE756D7">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附件：</w:t>
      </w:r>
    </w:p>
    <w:p w14:paraId="21FB2AEF">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附件1  委托书</w:t>
      </w:r>
    </w:p>
    <w:p w14:paraId="3BAAC879">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附件2  投资项目备案证</w:t>
      </w:r>
    </w:p>
    <w:p w14:paraId="21D9A5E5">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附件3  分区管控单元查询结果</w:t>
      </w:r>
    </w:p>
    <w:p w14:paraId="35BE1729">
      <w:pPr>
        <w:pStyle w:val="38"/>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附件4  厂房租赁合同</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土地性质证明文件：玉红土矿[2000]338号文</w:t>
      </w:r>
      <w:r>
        <w:rPr>
          <w:rFonts w:hint="default" w:ascii="Times New Roman" w:hAnsi="Times New Roman" w:eastAsia="宋体" w:cs="Times New Roman"/>
          <w:b w:val="0"/>
          <w:bCs w:val="0"/>
          <w:color w:val="auto"/>
          <w:sz w:val="24"/>
          <w:szCs w:val="24"/>
          <w:lang w:eastAsia="zh-CN"/>
        </w:rPr>
        <w:t>）</w:t>
      </w:r>
    </w:p>
    <w:p w14:paraId="588B58FC">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 xml:space="preserve">附件5  </w:t>
      </w:r>
      <w:r>
        <w:rPr>
          <w:rFonts w:hint="default" w:ascii="Times New Roman" w:hAnsi="Times New Roman" w:eastAsia="宋体" w:cs="Times New Roman"/>
          <w:b w:val="0"/>
          <w:bCs w:val="0"/>
          <w:color w:val="auto"/>
          <w:sz w:val="24"/>
          <w:szCs w:val="24"/>
          <w:lang w:val="en-US" w:eastAsia="zh-CN"/>
        </w:rPr>
        <w:t>全国排污许可证（正本）</w:t>
      </w:r>
    </w:p>
    <w:p w14:paraId="6E6DAB5C">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附件</w:t>
      </w:r>
      <w:r>
        <w:rPr>
          <w:rFonts w:hint="default"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 xml:space="preserve">  </w:t>
      </w:r>
      <w:r>
        <w:rPr>
          <w:rFonts w:hint="default" w:ascii="Times New Roman" w:hAnsi="Times New Roman" w:eastAsia="宋体" w:cs="Times New Roman"/>
          <w:b w:val="0"/>
          <w:bCs w:val="0"/>
          <w:color w:val="auto"/>
          <w:sz w:val="24"/>
          <w:szCs w:val="24"/>
          <w:lang w:val="en-US" w:eastAsia="zh-CN"/>
        </w:rPr>
        <w:t>危废处置协议</w:t>
      </w:r>
    </w:p>
    <w:p w14:paraId="0053E4E2">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附件</w:t>
      </w:r>
      <w:r>
        <w:rPr>
          <w:rFonts w:hint="default"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rPr>
        <w:t xml:space="preserve">  原有项目环评批复</w:t>
      </w:r>
    </w:p>
    <w:p w14:paraId="63F85814">
      <w:pPr>
        <w:pStyle w:val="38"/>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附件</w:t>
      </w:r>
      <w:r>
        <w:rPr>
          <w:rFonts w:hint="default" w:ascii="Times New Roman" w:hAnsi="Times New Roman" w:eastAsia="宋体" w:cs="Times New Roman"/>
          <w:b w:val="0"/>
          <w:bCs w:val="0"/>
          <w:color w:val="auto"/>
          <w:sz w:val="24"/>
          <w:szCs w:val="24"/>
          <w:lang w:val="en-US" w:eastAsia="zh-CN"/>
        </w:rPr>
        <w:t>8</w:t>
      </w:r>
      <w:r>
        <w:rPr>
          <w:rFonts w:hint="default" w:ascii="Times New Roman" w:hAnsi="Times New Roman" w:eastAsia="宋体" w:cs="Times New Roman"/>
          <w:b w:val="0"/>
          <w:bCs w:val="0"/>
          <w:color w:val="auto"/>
          <w:sz w:val="24"/>
          <w:szCs w:val="24"/>
        </w:rPr>
        <w:t xml:space="preserve">  原有项目验收意见</w:t>
      </w:r>
    </w:p>
    <w:p w14:paraId="294780AE">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附件9  生物质分析单</w:t>
      </w:r>
    </w:p>
    <w:p w14:paraId="5236AAF8">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附件10  项目“三线一单”查询结果 </w:t>
      </w:r>
    </w:p>
    <w:p w14:paraId="0DB5C715">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附件11  项目“三区三线”查询意见</w:t>
      </w:r>
    </w:p>
    <w:p w14:paraId="52939C83">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附件12  项目选址意见</w:t>
      </w:r>
    </w:p>
    <w:p w14:paraId="19F7F675">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附件13  原有项目锅炉煤改生物质监测评价结论</w:t>
      </w:r>
    </w:p>
    <w:p w14:paraId="30B570A9">
      <w:pPr>
        <w:pStyle w:val="38"/>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附件14  原有项目环评批复</w:t>
      </w:r>
    </w:p>
    <w:p w14:paraId="27ECCCF7">
      <w:pPr>
        <w:pStyle w:val="38"/>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附件15  原有项目验收意见</w:t>
      </w:r>
    </w:p>
    <w:p w14:paraId="12BAD0E5">
      <w:pPr>
        <w:pStyle w:val="38"/>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附件1</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 xml:space="preserve">  项目三级审查表及流程控制表附件1</w:t>
      </w:r>
      <w:r>
        <w:rPr>
          <w:rFonts w:hint="eastAsia" w:ascii="Times New Roman" w:hAnsi="Times New Roman" w:eastAsia="宋体"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lang w:val="en-US" w:eastAsia="zh-CN"/>
        </w:rPr>
        <w:t xml:space="preserve">  项目合同</w:t>
      </w:r>
    </w:p>
    <w:p w14:paraId="1A905AE5">
      <w:pPr>
        <w:pStyle w:val="2"/>
        <w:rPr>
          <w:rFonts w:hint="default" w:ascii="Times New Roman" w:hAnsi="Times New Roman" w:eastAsia="宋体" w:cs="Times New Roman"/>
          <w:color w:val="auto"/>
        </w:rPr>
        <w:sectPr>
          <w:type w:val="continuous"/>
          <w:pgSz w:w="11906" w:h="16838"/>
          <w:pgMar w:top="1701" w:right="1531" w:bottom="1701" w:left="1531" w:header="851" w:footer="1077" w:gutter="0"/>
          <w:pgNumType w:start="3"/>
          <w:cols w:equalWidth="0" w:num="2">
            <w:col w:w="4209" w:space="425"/>
            <w:col w:w="4209"/>
          </w:cols>
          <w:docGrid w:linePitch="312" w:charSpace="0"/>
        </w:sectPr>
      </w:pPr>
    </w:p>
    <w:p w14:paraId="1E170256">
      <w:pPr>
        <w:pStyle w:val="21"/>
        <w:jc w:val="center"/>
        <w:outlineLvl w:val="0"/>
        <w:rPr>
          <w:rFonts w:hint="default" w:ascii="Times New Roman" w:hAnsi="Times New Roman" w:eastAsia="宋体" w:cs="Times New Roman"/>
          <w:snapToGrid w:val="0"/>
          <w:color w:val="auto"/>
          <w:sz w:val="30"/>
          <w:szCs w:val="30"/>
        </w:rPr>
      </w:pPr>
      <w:bookmarkStart w:id="7" w:name="_Toc25158"/>
      <w:bookmarkStart w:id="8" w:name="_Toc10068"/>
      <w:r>
        <w:rPr>
          <w:rFonts w:hint="default" w:ascii="Times New Roman" w:hAnsi="Times New Roman" w:eastAsia="宋体" w:cs="Times New Roman"/>
          <w:snapToGrid w:val="0"/>
          <w:color w:val="auto"/>
          <w:sz w:val="30"/>
          <w:szCs w:val="30"/>
        </w:rPr>
        <w:t>一、建设项目基本情况</w:t>
      </w:r>
      <w:bookmarkEnd w:id="7"/>
      <w:bookmarkEnd w:id="8"/>
    </w:p>
    <w:tbl>
      <w:tblPr>
        <w:tblStyle w:val="25"/>
        <w:tblW w:w="95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8"/>
        <w:gridCol w:w="1206"/>
        <w:gridCol w:w="1752"/>
        <w:gridCol w:w="1938"/>
        <w:gridCol w:w="3942"/>
      </w:tblGrid>
      <w:tr w14:paraId="0AECA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73C161B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632" w:type="dxa"/>
            <w:gridSpan w:val="3"/>
            <w:vAlign w:val="center"/>
          </w:tcPr>
          <w:p w14:paraId="5CCEF72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瓦楞纸板设备更新</w:t>
            </w:r>
          </w:p>
        </w:tc>
      </w:tr>
      <w:tr w14:paraId="49A47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34598D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632" w:type="dxa"/>
            <w:gridSpan w:val="3"/>
            <w:vAlign w:val="center"/>
          </w:tcPr>
          <w:p w14:paraId="6A869F9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2511-530402-04-02-205949</w:t>
            </w:r>
          </w:p>
        </w:tc>
      </w:tr>
      <w:tr w14:paraId="26B0E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44E8A4A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1752" w:type="dxa"/>
            <w:vAlign w:val="center"/>
          </w:tcPr>
          <w:p w14:paraId="2C012CF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姜明红</w:t>
            </w:r>
          </w:p>
        </w:tc>
        <w:tc>
          <w:tcPr>
            <w:tcW w:w="1938" w:type="dxa"/>
            <w:vAlign w:val="center"/>
          </w:tcPr>
          <w:p w14:paraId="44264C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3942" w:type="dxa"/>
            <w:vAlign w:val="center"/>
          </w:tcPr>
          <w:p w14:paraId="0C4DFB5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13013483777</w:t>
            </w:r>
          </w:p>
        </w:tc>
      </w:tr>
      <w:tr w14:paraId="1FC23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1884" w:type="dxa"/>
            <w:gridSpan w:val="2"/>
            <w:tcMar>
              <w:top w:w="16" w:type="dxa"/>
              <w:left w:w="16" w:type="dxa"/>
              <w:right w:w="16" w:type="dxa"/>
            </w:tcMar>
            <w:vAlign w:val="center"/>
          </w:tcPr>
          <w:p w14:paraId="6AA14D7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632" w:type="dxa"/>
            <w:gridSpan w:val="3"/>
            <w:vAlign w:val="center"/>
          </w:tcPr>
          <w:p w14:paraId="4924B1B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云南省玉溪春和街道孙井社区太极山（</w:t>
            </w:r>
            <w:r>
              <w:rPr>
                <w:rFonts w:hint="default" w:ascii="Times New Roman" w:hAnsi="Times New Roman" w:eastAsia="宋体" w:cs="Times New Roman"/>
                <w:color w:val="auto"/>
                <w:sz w:val="21"/>
                <w:szCs w:val="21"/>
                <w:lang w:val="en-US" w:eastAsia="zh-CN"/>
              </w:rPr>
              <w:t>现</w:t>
            </w:r>
            <w:r>
              <w:rPr>
                <w:rFonts w:hint="default" w:ascii="Times New Roman" w:hAnsi="Times New Roman" w:eastAsia="宋体" w:cs="Times New Roman"/>
                <w:color w:val="auto"/>
                <w:sz w:val="21"/>
                <w:szCs w:val="21"/>
                <w:lang w:eastAsia="zh-CN"/>
              </w:rPr>
              <w:t>云南新兴仁恒包装材料有限公司内的闲置车间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lang w:eastAsia="zh-CN"/>
              </w:rPr>
              <w:t>）</w:t>
            </w:r>
          </w:p>
        </w:tc>
      </w:tr>
      <w:tr w14:paraId="18239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7888C48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632" w:type="dxa"/>
            <w:gridSpan w:val="3"/>
            <w:vAlign w:val="center"/>
          </w:tcPr>
          <w:p w14:paraId="31E779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东经：102°32'40.146"，北纬：24°23'47.146"</w:t>
            </w:r>
          </w:p>
        </w:tc>
      </w:tr>
      <w:tr w14:paraId="4DA5E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84" w:type="dxa"/>
            <w:gridSpan w:val="2"/>
            <w:tcMar>
              <w:top w:w="16" w:type="dxa"/>
              <w:left w:w="16" w:type="dxa"/>
              <w:right w:w="16" w:type="dxa"/>
            </w:tcMar>
            <w:vAlign w:val="center"/>
          </w:tcPr>
          <w:p w14:paraId="2976714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14:paraId="3FE5162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1752" w:type="dxa"/>
            <w:vAlign w:val="center"/>
          </w:tcPr>
          <w:p w14:paraId="2F16360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C2239</w:t>
            </w:r>
          </w:p>
          <w:p w14:paraId="528F89B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其他纸制品制造</w:t>
            </w:r>
          </w:p>
          <w:p w14:paraId="2A759914">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D4430</w:t>
            </w:r>
          </w:p>
          <w:p w14:paraId="1492F622">
            <w:pPr>
              <w:keepNext w:val="0"/>
              <w:keepLines w:val="0"/>
              <w:pageBreakBefore w:val="0"/>
              <w:widowControl w:val="0"/>
              <w:kinsoku/>
              <w:wordWrap/>
              <w:overflowPunct/>
              <w:topLinePunct w:val="0"/>
              <w:autoSpaceDE w:val="0"/>
              <w:autoSpaceDN w:val="0"/>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u w:val="none"/>
              </w:rPr>
              <w:t>热力生产和供应</w:t>
            </w:r>
          </w:p>
        </w:tc>
        <w:tc>
          <w:tcPr>
            <w:tcW w:w="1938" w:type="dxa"/>
            <w:vAlign w:val="center"/>
          </w:tcPr>
          <w:p w14:paraId="67A3307B">
            <w:pPr>
              <w:adjustRightInd w:val="0"/>
              <w:snapToGrid w:val="0"/>
              <w:jc w:val="center"/>
              <w:rPr>
                <w:rFonts w:hint="default" w:ascii="Times New Roman" w:hAnsi="Times New Roman" w:eastAsia="宋体" w:cs="Times New Roman"/>
                <w:color w:val="auto"/>
                <w:sz w:val="21"/>
                <w:szCs w:val="21"/>
              </w:rPr>
            </w:pPr>
            <w:bookmarkStart w:id="9" w:name="_Hlk49843745"/>
            <w:r>
              <w:rPr>
                <w:rFonts w:hint="default" w:ascii="Times New Roman" w:hAnsi="Times New Roman" w:eastAsia="宋体" w:cs="Times New Roman"/>
                <w:color w:val="auto"/>
                <w:sz w:val="21"/>
                <w:szCs w:val="21"/>
              </w:rPr>
              <w:t>建设项目</w:t>
            </w:r>
          </w:p>
          <w:p w14:paraId="7A87DA5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bookmarkEnd w:id="9"/>
          </w:p>
        </w:tc>
        <w:tc>
          <w:tcPr>
            <w:tcW w:w="3942" w:type="dxa"/>
            <w:vAlign w:val="center"/>
          </w:tcPr>
          <w:p w14:paraId="3ACE1A99">
            <w:pPr>
              <w:numPr>
                <w:ilvl w:val="0"/>
                <w:numId w:val="1"/>
              </w:num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造纸和纸制品业-纸制品制造-有</w:t>
            </w:r>
            <w:r>
              <w:rPr>
                <w:rFonts w:hint="default" w:ascii="Times New Roman" w:hAnsi="Times New Roman" w:eastAsia="宋体" w:cs="Times New Roman"/>
                <w:color w:val="auto"/>
                <w:sz w:val="21"/>
                <w:szCs w:val="21"/>
                <w:lang w:val="en-US" w:eastAsia="zh-CN"/>
              </w:rPr>
              <w:t>涂布</w:t>
            </w:r>
            <w:r>
              <w:rPr>
                <w:rFonts w:hint="default" w:ascii="Times New Roman" w:hAnsi="Times New Roman" w:eastAsia="宋体" w:cs="Times New Roman"/>
                <w:color w:val="auto"/>
                <w:sz w:val="21"/>
                <w:szCs w:val="21"/>
              </w:rPr>
              <w:t>、浸渍、印刷、粘胶工艺的</w:t>
            </w:r>
            <w:r>
              <w:rPr>
                <w:rFonts w:hint="default" w:ascii="Times New Roman" w:hAnsi="Times New Roman" w:eastAsia="宋体" w:cs="Times New Roman"/>
                <w:color w:val="auto"/>
                <w:sz w:val="21"/>
                <w:szCs w:val="21"/>
                <w:lang w:eastAsia="zh-CN"/>
              </w:rPr>
              <w:t>；</w:t>
            </w:r>
          </w:p>
          <w:p w14:paraId="48CF2406">
            <w:pPr>
              <w:numPr>
                <w:ilvl w:val="0"/>
                <w:numId w:val="0"/>
              </w:numPr>
              <w:adjustRightInd w:val="0"/>
              <w:snapToGrid w:val="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u w:val="none"/>
              </w:rPr>
              <w:t>四十一、电力、热力生产和供应业91热力生产和供应工程（包括建设单位自建自用的供热工程）</w:t>
            </w:r>
          </w:p>
        </w:tc>
      </w:tr>
      <w:tr w14:paraId="7ABE6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84" w:type="dxa"/>
            <w:gridSpan w:val="2"/>
            <w:tcMar>
              <w:top w:w="16" w:type="dxa"/>
              <w:left w:w="16" w:type="dxa"/>
              <w:right w:w="16" w:type="dxa"/>
            </w:tcMar>
            <w:vAlign w:val="center"/>
          </w:tcPr>
          <w:p w14:paraId="70E2B18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1752" w:type="dxa"/>
            <w:vAlign w:val="center"/>
          </w:tcPr>
          <w:p w14:paraId="43C1B367">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lang w:val="en-US" w:eastAsia="zh-CN"/>
              </w:rPr>
              <w:t>迁</w:t>
            </w:r>
            <w:r>
              <w:rPr>
                <w:rFonts w:hint="default" w:ascii="Times New Roman" w:hAnsi="Times New Roman" w:eastAsia="宋体" w:cs="Times New Roman"/>
                <w:color w:val="auto"/>
                <w:sz w:val="21"/>
                <w:szCs w:val="21"/>
                <w:lang w:eastAsia="zh-CN"/>
              </w:rPr>
              <w:t>建</w:t>
            </w:r>
            <w:r>
              <w:rPr>
                <w:rFonts w:hint="default" w:ascii="Times New Roman" w:hAnsi="Times New Roman" w:eastAsia="宋体" w:cs="Times New Roman"/>
                <w:color w:val="auto"/>
                <w:sz w:val="21"/>
                <w:szCs w:val="21"/>
              </w:rPr>
              <w:t>）</w:t>
            </w:r>
          </w:p>
          <w:p w14:paraId="790C6023">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改建</w:t>
            </w:r>
          </w:p>
          <w:p w14:paraId="6AD12A3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扩建</w:t>
            </w:r>
          </w:p>
          <w:p w14:paraId="754DFBA9">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技术改造</w:t>
            </w:r>
          </w:p>
        </w:tc>
        <w:tc>
          <w:tcPr>
            <w:tcW w:w="1938" w:type="dxa"/>
            <w:vAlign w:val="center"/>
          </w:tcPr>
          <w:p w14:paraId="4BBC87B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14:paraId="1AAE708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3942" w:type="dxa"/>
            <w:vAlign w:val="center"/>
          </w:tcPr>
          <w:p w14:paraId="31200C71">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 xml:space="preserve">首次申报项目             </w:t>
            </w:r>
          </w:p>
          <w:p w14:paraId="358A0845">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不予批准后再次申报项目</w:t>
            </w:r>
          </w:p>
          <w:p w14:paraId="0B6C01E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 xml:space="preserve">超五年重新审核项目     </w:t>
            </w:r>
          </w:p>
          <w:p w14:paraId="4991D5A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14:paraId="27192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84" w:type="dxa"/>
            <w:gridSpan w:val="2"/>
            <w:tcMar>
              <w:top w:w="16" w:type="dxa"/>
              <w:left w:w="16" w:type="dxa"/>
              <w:right w:w="16" w:type="dxa"/>
            </w:tcMar>
            <w:vAlign w:val="center"/>
          </w:tcPr>
          <w:p w14:paraId="7572C9E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14:paraId="4FB7B5E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备案）部门（选填）</w:t>
            </w:r>
          </w:p>
        </w:tc>
        <w:tc>
          <w:tcPr>
            <w:tcW w:w="1752" w:type="dxa"/>
            <w:vAlign w:val="center"/>
          </w:tcPr>
          <w:p w14:paraId="55CA077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玉溪市红塔区发展和改革局</w:t>
            </w:r>
          </w:p>
        </w:tc>
        <w:tc>
          <w:tcPr>
            <w:tcW w:w="1938" w:type="dxa"/>
            <w:vAlign w:val="center"/>
          </w:tcPr>
          <w:p w14:paraId="428CD13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14:paraId="2F442B2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备案）文号（选填）</w:t>
            </w:r>
          </w:p>
        </w:tc>
        <w:tc>
          <w:tcPr>
            <w:tcW w:w="3942" w:type="dxa"/>
            <w:vAlign w:val="center"/>
          </w:tcPr>
          <w:p w14:paraId="6537C1F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C71A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0A45002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1752" w:type="dxa"/>
            <w:vAlign w:val="center"/>
          </w:tcPr>
          <w:p w14:paraId="14244D90">
            <w:pPr>
              <w:adjustRightInd w:val="0"/>
              <w:snapToGrid w:val="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1500</w:t>
            </w:r>
          </w:p>
        </w:tc>
        <w:tc>
          <w:tcPr>
            <w:tcW w:w="1938" w:type="dxa"/>
            <w:tcMar>
              <w:top w:w="16" w:type="dxa"/>
              <w:left w:w="16" w:type="dxa"/>
              <w:right w:w="16" w:type="dxa"/>
            </w:tcMar>
            <w:vAlign w:val="center"/>
          </w:tcPr>
          <w:p w14:paraId="4FC03BE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环保投资（万元）</w:t>
            </w:r>
          </w:p>
        </w:tc>
        <w:tc>
          <w:tcPr>
            <w:tcW w:w="3942" w:type="dxa"/>
            <w:vAlign w:val="center"/>
          </w:tcPr>
          <w:p w14:paraId="1CC77F7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14:paraId="68B8E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1FA9F25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1752" w:type="dxa"/>
            <w:vAlign w:val="center"/>
          </w:tcPr>
          <w:p w14:paraId="55C3CAA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3.75</w:t>
            </w:r>
            <w:r>
              <w:rPr>
                <w:rFonts w:hint="default" w:ascii="Times New Roman" w:hAnsi="Times New Roman" w:eastAsia="宋体" w:cs="Times New Roman"/>
                <w:color w:val="auto"/>
                <w:sz w:val="21"/>
                <w:szCs w:val="21"/>
              </w:rPr>
              <w:t>%</w:t>
            </w:r>
          </w:p>
        </w:tc>
        <w:tc>
          <w:tcPr>
            <w:tcW w:w="1938" w:type="dxa"/>
            <w:tcMar>
              <w:top w:w="16" w:type="dxa"/>
              <w:left w:w="16" w:type="dxa"/>
              <w:right w:w="16" w:type="dxa"/>
            </w:tcMar>
            <w:vAlign w:val="center"/>
          </w:tcPr>
          <w:p w14:paraId="53414B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施工工期</w:t>
            </w:r>
          </w:p>
        </w:tc>
        <w:tc>
          <w:tcPr>
            <w:tcW w:w="3942" w:type="dxa"/>
            <w:vAlign w:val="center"/>
          </w:tcPr>
          <w:p w14:paraId="0AEAB1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个月</w:t>
            </w:r>
          </w:p>
        </w:tc>
      </w:tr>
      <w:tr w14:paraId="4542F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4" w:type="dxa"/>
            <w:gridSpan w:val="2"/>
            <w:tcMar>
              <w:top w:w="16" w:type="dxa"/>
              <w:left w:w="16" w:type="dxa"/>
              <w:right w:w="16" w:type="dxa"/>
            </w:tcMar>
            <w:vAlign w:val="center"/>
          </w:tcPr>
          <w:p w14:paraId="19419A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1752" w:type="dxa"/>
            <w:vAlign w:val="center"/>
          </w:tcPr>
          <w:p w14:paraId="04D4FC69">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否</w:t>
            </w:r>
          </w:p>
          <w:p w14:paraId="79E40249">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是：</w:t>
            </w:r>
            <w:r>
              <w:rPr>
                <w:rFonts w:hint="default" w:ascii="Times New Roman" w:hAnsi="Times New Roman" w:eastAsia="宋体" w:cs="Times New Roman"/>
                <w:color w:val="auto"/>
                <w:sz w:val="21"/>
                <w:szCs w:val="21"/>
                <w:u w:val="single"/>
              </w:rPr>
              <w:t xml:space="preserve">         </w:t>
            </w:r>
          </w:p>
        </w:tc>
        <w:tc>
          <w:tcPr>
            <w:tcW w:w="1938" w:type="dxa"/>
            <w:tcMar>
              <w:top w:w="16" w:type="dxa"/>
              <w:left w:w="16" w:type="dxa"/>
              <w:right w:w="16" w:type="dxa"/>
            </w:tcMar>
            <w:vAlign w:val="center"/>
          </w:tcPr>
          <w:p w14:paraId="3B38A8ED">
            <w:pPr>
              <w:adjustRightInd w:val="0"/>
              <w:snapToGrid w:val="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用地（用海）</w:t>
            </w:r>
          </w:p>
          <w:p w14:paraId="07B5501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3942" w:type="dxa"/>
            <w:vAlign w:val="center"/>
          </w:tcPr>
          <w:p w14:paraId="51CD1F9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8538.7（原项目2955㎡，后续租赁4A车间和回转车间共计5583.7㎡，全厂合计8538.7㎡）</w:t>
            </w:r>
          </w:p>
        </w:tc>
      </w:tr>
      <w:tr w14:paraId="1ACF6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678" w:type="dxa"/>
            <w:vAlign w:val="center"/>
          </w:tcPr>
          <w:p w14:paraId="36203E15">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8838" w:type="dxa"/>
            <w:gridSpan w:val="4"/>
            <w:vAlign w:val="center"/>
          </w:tcPr>
          <w:p w14:paraId="0DFA6FE4">
            <w:pPr>
              <w:autoSpaceDE w:val="0"/>
              <w:autoSpaceDN w:val="0"/>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根据《建设项目环境影响报告表编制技术指南（污染影响类）（试行）》，专项设置原则及本项目专项设置情况如下：</w:t>
            </w:r>
          </w:p>
          <w:p w14:paraId="5BA34383">
            <w:pPr>
              <w:pStyle w:val="58"/>
              <w:adjustRightInd w:val="0"/>
              <w:snapToGrid w:val="0"/>
              <w:ind w:firstLine="41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表1-1专项设置原则及本项目专项设置情况一览表</w:t>
            </w:r>
          </w:p>
          <w:tbl>
            <w:tblPr>
              <w:tblStyle w:val="25"/>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462"/>
              <w:gridCol w:w="3055"/>
              <w:gridCol w:w="1291"/>
            </w:tblGrid>
            <w:tr w14:paraId="15BB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2161CF95">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专项评价类别</w:t>
                  </w:r>
                </w:p>
              </w:tc>
              <w:tc>
                <w:tcPr>
                  <w:tcW w:w="3462" w:type="dxa"/>
                  <w:vAlign w:val="center"/>
                </w:tcPr>
                <w:p w14:paraId="40655C8C">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3055" w:type="dxa"/>
                  <w:vAlign w:val="center"/>
                </w:tcPr>
                <w:p w14:paraId="0B9C4366">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1291" w:type="dxa"/>
                  <w:vAlign w:val="center"/>
                </w:tcPr>
                <w:p w14:paraId="04D2600C">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本项目是否设置专项</w:t>
                  </w:r>
                </w:p>
              </w:tc>
            </w:tr>
            <w:tr w14:paraId="186D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dxa"/>
                  <w:vAlign w:val="center"/>
                </w:tcPr>
                <w:p w14:paraId="510A9E65">
                  <w:pPr>
                    <w:widowControl/>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3462" w:type="dxa"/>
                  <w:vAlign w:val="center"/>
                </w:tcPr>
                <w:p w14:paraId="1F6B6F1F">
                  <w:pPr>
                    <w:widowControl/>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、二噁英、苯并[a]芘、氰化物、氯气且厂界外500米范围内有环境空气保护目标</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的建设项目</w:t>
                  </w:r>
                </w:p>
              </w:tc>
              <w:tc>
                <w:tcPr>
                  <w:tcW w:w="3055" w:type="dxa"/>
                  <w:vAlign w:val="center"/>
                </w:tcPr>
                <w:p w14:paraId="7792B759">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本项目废气主要为颗粒物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二氧化硫、氮氧化物</w:t>
                  </w:r>
                  <w:r>
                    <w:rPr>
                      <w:rFonts w:hint="default" w:ascii="Times New Roman" w:hAnsi="Times New Roman" w:eastAsia="宋体" w:cs="Times New Roman"/>
                      <w:color w:val="auto"/>
                      <w:sz w:val="21"/>
                      <w:szCs w:val="21"/>
                    </w:rPr>
                    <w:t>，不涉及有毒有害污染物、二噁英、苯并[a]芘、氰化物、氯气。</w:t>
                  </w:r>
                </w:p>
              </w:tc>
              <w:tc>
                <w:tcPr>
                  <w:tcW w:w="1291" w:type="dxa"/>
                  <w:vAlign w:val="center"/>
                </w:tcPr>
                <w:p w14:paraId="5290CF49">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4A5B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2A34AD98">
                  <w:pPr>
                    <w:widowControl/>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462" w:type="dxa"/>
                  <w:vAlign w:val="center"/>
                </w:tcPr>
                <w:p w14:paraId="41F45F15">
                  <w:pPr>
                    <w:widowControl/>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新增工业废水直排建设项目（槽罐车外送污水处理厂的除外）；新增废水直排的污水集中处理厂</w:t>
                  </w:r>
                </w:p>
              </w:tc>
              <w:tc>
                <w:tcPr>
                  <w:tcW w:w="3055" w:type="dxa"/>
                  <w:vAlign w:val="center"/>
                </w:tcPr>
                <w:p w14:paraId="56F091AD">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生产废水为制胶、糊胶设备清洗废水锅炉软水制备产生的废水、锅炉排污水、车间清洁废水；制胶、糊胶设备清洗废水暂存于清洗桶内，回用于制胶；锅炉软水制备产生的废水、锅炉排污水进入依托云南新兴仁恒包装材料有限公司40m³/d的生活污水处理设施处理达标后回用于绿化及厂区洒水降尘；本项目不新增劳动定员，不新增生活污水，生活污水依托云南新兴仁恒包装材料有限公司40m³/d的生活污水处理设施处理达标后回用于绿化及厂区洒水降尘</w:t>
                  </w:r>
                  <w:r>
                    <w:rPr>
                      <w:rFonts w:hint="default" w:ascii="Times New Roman" w:hAnsi="Times New Roman" w:eastAsia="宋体" w:cs="Times New Roman"/>
                      <w:color w:val="auto"/>
                      <w:sz w:val="21"/>
                      <w:szCs w:val="21"/>
                    </w:rPr>
                    <w:t>。</w:t>
                  </w:r>
                </w:p>
              </w:tc>
              <w:tc>
                <w:tcPr>
                  <w:tcW w:w="1291" w:type="dxa"/>
                  <w:vAlign w:val="center"/>
                </w:tcPr>
                <w:p w14:paraId="66118D03">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D5E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3539211B">
                  <w:pPr>
                    <w:widowControl/>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462" w:type="dxa"/>
                  <w:vAlign w:val="center"/>
                </w:tcPr>
                <w:p w14:paraId="6BB7E292">
                  <w:pPr>
                    <w:widowControl/>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的建设项目</w:t>
                  </w:r>
                </w:p>
              </w:tc>
              <w:tc>
                <w:tcPr>
                  <w:tcW w:w="3055" w:type="dxa"/>
                  <w:vAlign w:val="center"/>
                </w:tcPr>
                <w:p w14:paraId="087BEC1C">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项目有毒有害和易燃易爆危险物质存储量未超过临界量</w:t>
                  </w:r>
                  <w:r>
                    <w:rPr>
                      <w:rFonts w:hint="default" w:ascii="Times New Roman" w:hAnsi="Times New Roman" w:eastAsia="宋体" w:cs="Times New Roman"/>
                      <w:color w:val="auto"/>
                      <w:sz w:val="21"/>
                      <w:szCs w:val="21"/>
                      <w:vertAlign w:val="superscript"/>
                    </w:rPr>
                    <w:t>3</w:t>
                  </w:r>
                </w:p>
              </w:tc>
              <w:tc>
                <w:tcPr>
                  <w:tcW w:w="1291" w:type="dxa"/>
                  <w:vAlign w:val="center"/>
                </w:tcPr>
                <w:p w14:paraId="151DA566">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1C5A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2D0AB4BF">
                  <w:pPr>
                    <w:widowControl/>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3462" w:type="dxa"/>
                  <w:vAlign w:val="center"/>
                </w:tcPr>
                <w:p w14:paraId="0EC4BDFC">
                  <w:pPr>
                    <w:widowControl/>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取水口下游500米范围内有重要水生生物的自然产卵场、索饵场、越冬场和洄游通道的新增河道取水的污染类建设项目</w:t>
                  </w:r>
                </w:p>
              </w:tc>
              <w:tc>
                <w:tcPr>
                  <w:tcW w:w="3055" w:type="dxa"/>
                  <w:vAlign w:val="center"/>
                </w:tcPr>
                <w:p w14:paraId="2CB921AC">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w:t>
                  </w:r>
                </w:p>
              </w:tc>
              <w:tc>
                <w:tcPr>
                  <w:tcW w:w="1291" w:type="dxa"/>
                  <w:vAlign w:val="center"/>
                </w:tcPr>
                <w:p w14:paraId="554D9501">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125A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4C50702E">
                  <w:pPr>
                    <w:widowControl/>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3462" w:type="dxa"/>
                  <w:vAlign w:val="center"/>
                </w:tcPr>
                <w:p w14:paraId="44EC5FB7">
                  <w:pPr>
                    <w:widowControl/>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直接向海排放污染物的海洋工程建设项目</w:t>
                  </w:r>
                </w:p>
              </w:tc>
              <w:tc>
                <w:tcPr>
                  <w:tcW w:w="3055" w:type="dxa"/>
                  <w:vAlign w:val="center"/>
                </w:tcPr>
                <w:p w14:paraId="3B20C280">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w:t>
                  </w:r>
                </w:p>
              </w:tc>
              <w:tc>
                <w:tcPr>
                  <w:tcW w:w="1291" w:type="dxa"/>
                  <w:vAlign w:val="center"/>
                </w:tcPr>
                <w:p w14:paraId="72D28C3A">
                  <w:pPr>
                    <w:autoSpaceDE w:val="0"/>
                    <w:autoSpaceDN w:val="0"/>
                    <w:adjustRightInd w:val="0"/>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4B6B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5" w:type="dxa"/>
                  <w:gridSpan w:val="4"/>
                </w:tcPr>
                <w:p w14:paraId="358EB7E7">
                  <w:pPr>
                    <w:widowControl/>
                    <w:snapToGrid w:val="0"/>
                    <w:spacing w:before="72" w:beforeLines="30" w:after="72" w:afterLines="3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注：1.废气中有毒有害污染物指纳入《有毒有害大气污染物名录》的污染物（不包括无排放标准的污染物）。</w:t>
                  </w:r>
                </w:p>
                <w:p w14:paraId="3F31D9CE">
                  <w:pPr>
                    <w:widowControl/>
                    <w:snapToGrid w:val="0"/>
                    <w:spacing w:before="72" w:beforeLines="30" w:after="72" w:afterLines="3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2.环境空气保护目标指自然保护区、风景名胜区、居住区、文化区和农村地区中人群较集中的区域。</w:t>
                  </w:r>
                </w:p>
                <w:p w14:paraId="767D9936">
                  <w:pPr>
                    <w:widowControl/>
                    <w:snapToGrid w:val="0"/>
                    <w:spacing w:before="72" w:beforeLines="30" w:after="72" w:afterLines="3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3.临界量及其计算方法可参考《建设项目环境风险评价技术导则》（HJ169）附录B、附录C。</w:t>
                  </w:r>
                </w:p>
              </w:tc>
            </w:tr>
          </w:tbl>
          <w:p w14:paraId="7B7035DD">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综上所述，本项目不设置专项评价 。</w:t>
            </w:r>
          </w:p>
        </w:tc>
      </w:tr>
      <w:tr w14:paraId="4BD3C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78" w:type="dxa"/>
            <w:vMerge w:val="restart"/>
            <w:vAlign w:val="center"/>
          </w:tcPr>
          <w:p w14:paraId="21B722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规划情况</w:t>
            </w:r>
          </w:p>
        </w:tc>
        <w:tc>
          <w:tcPr>
            <w:tcW w:w="8838" w:type="dxa"/>
            <w:gridSpan w:val="4"/>
            <w:vAlign w:val="center"/>
          </w:tcPr>
          <w:p w14:paraId="0A7BD62A">
            <w:pPr>
              <w:pStyle w:val="23"/>
              <w:spacing w:before="0" w:after="0" w:line="360" w:lineRule="auto"/>
              <w:ind w:right="0" w:firstLine="420" w:firstLineChars="20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0"/>
                <w:sz w:val="21"/>
                <w:szCs w:val="21"/>
                <w:lang w:val="en-US" w:eastAsia="zh-CN"/>
              </w:rPr>
              <w:t>无。</w:t>
            </w:r>
          </w:p>
        </w:tc>
      </w:tr>
      <w:tr w14:paraId="4DED8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678" w:type="dxa"/>
            <w:vAlign w:val="center"/>
          </w:tcPr>
          <w:p w14:paraId="15BFC12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规划环境影响评价情况</w:t>
            </w:r>
          </w:p>
        </w:tc>
        <w:tc>
          <w:tcPr>
            <w:tcW w:w="8838" w:type="dxa"/>
            <w:gridSpan w:val="4"/>
            <w:vAlign w:val="center"/>
          </w:tcPr>
          <w:p w14:paraId="115A3D47">
            <w:pPr>
              <w:autoSpaceDE w:val="0"/>
              <w:autoSpaceDN w:val="0"/>
              <w:adjustRightInd w:val="0"/>
              <w:snapToGrid w:val="0"/>
              <w:spacing w:line="360" w:lineRule="auto"/>
              <w:ind w:firstLine="420" w:firstLineChars="200"/>
              <w:jc w:val="left"/>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val="en-US" w:eastAsia="zh-CN"/>
              </w:rPr>
              <w:t>无。</w:t>
            </w:r>
          </w:p>
        </w:tc>
      </w:tr>
      <w:tr w14:paraId="5401C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8" w:type="dxa"/>
            <w:vAlign w:val="center"/>
          </w:tcPr>
          <w:p w14:paraId="2C0B20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8838" w:type="dxa"/>
            <w:gridSpan w:val="4"/>
            <w:vAlign w:val="center"/>
          </w:tcPr>
          <w:p w14:paraId="57B19DDB">
            <w:pPr>
              <w:autoSpaceDE w:val="0"/>
              <w:autoSpaceDN w:val="0"/>
              <w:adjustRightInd w:val="0"/>
              <w:snapToGrid w:val="0"/>
              <w:spacing w:line="360" w:lineRule="auto"/>
              <w:ind w:firstLine="420" w:firstLineChars="20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无</w:t>
            </w:r>
            <w:r>
              <w:rPr>
                <w:rFonts w:hint="default" w:ascii="Times New Roman" w:hAnsi="Times New Roman" w:eastAsia="宋体" w:cs="Times New Roman"/>
                <w:color w:val="auto"/>
                <w:kern w:val="0"/>
                <w:sz w:val="21"/>
                <w:szCs w:val="21"/>
              </w:rPr>
              <w:t>。</w:t>
            </w:r>
          </w:p>
        </w:tc>
      </w:tr>
      <w:tr w14:paraId="15EF9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Align w:val="center"/>
          </w:tcPr>
          <w:p w14:paraId="628366EE">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8838" w:type="dxa"/>
            <w:gridSpan w:val="4"/>
            <w:vAlign w:val="center"/>
          </w:tcPr>
          <w:p w14:paraId="66109AD7">
            <w:pPr>
              <w:snapToGrid w:val="0"/>
              <w:spacing w:line="360" w:lineRule="auto"/>
              <w:ind w:firstLine="382" w:firstLineChars="200"/>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b/>
                <w:color w:val="auto"/>
                <w:spacing w:val="-10"/>
                <w:sz w:val="21"/>
                <w:szCs w:val="21"/>
              </w:rPr>
              <w:t>1、产业政策符合性分析</w:t>
            </w:r>
          </w:p>
          <w:p w14:paraId="261116E7">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根据《国民经济行业分类(GBT4754-2017)（按第1号修改单修订）》本项目属于C2239其他纸制品制造，对照《产业结构调整指导目录》（2024年本）本项目不属于“鼓励类、限制类和淘汰类</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属于“允许类”</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rPr>
              <w:t>项目拟建设的4t/h生物质专用锅炉为</w:t>
            </w:r>
            <w:r>
              <w:rPr>
                <w:rFonts w:hint="default" w:ascii="Times New Roman" w:hAnsi="Times New Roman" w:eastAsia="宋体" w:cs="Times New Roman"/>
                <w:b w:val="0"/>
                <w:bCs w:val="0"/>
                <w:color w:val="auto"/>
                <w:sz w:val="21"/>
                <w:szCs w:val="21"/>
                <w:u w:val="none"/>
              </w:rPr>
              <w:t>热力生产和供应</w:t>
            </w:r>
            <w:r>
              <w:rPr>
                <w:rFonts w:hint="default" w:ascii="Times New Roman" w:hAnsi="Times New Roman" w:eastAsia="宋体" w:cs="Times New Roman"/>
                <w:b w:val="0"/>
                <w:bCs w:val="0"/>
                <w:color w:val="auto"/>
                <w:sz w:val="21"/>
                <w:szCs w:val="21"/>
                <w:u w:val="none"/>
                <w:lang w:val="en-US" w:eastAsia="zh-CN"/>
              </w:rPr>
              <w:t>工程</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对照</w:t>
            </w:r>
            <w:r>
              <w:rPr>
                <w:rFonts w:hint="default" w:ascii="Times New Roman" w:hAnsi="Times New Roman" w:eastAsia="宋体" w:cs="Times New Roman"/>
                <w:color w:val="auto"/>
                <w:kern w:val="0"/>
                <w:sz w:val="21"/>
                <w:szCs w:val="21"/>
              </w:rPr>
              <w:t>《产业结构调整指导目录》（20</w:t>
            </w:r>
            <w:r>
              <w:rPr>
                <w:rFonts w:hint="default" w:ascii="Times New Roman" w:hAnsi="Times New Roman" w:eastAsia="宋体" w:cs="Times New Roman"/>
                <w:color w:val="auto"/>
                <w:kern w:val="0"/>
                <w:sz w:val="21"/>
                <w:szCs w:val="21"/>
                <w:lang w:val="en-US" w:eastAsia="zh-CN"/>
              </w:rPr>
              <w:t>24</w:t>
            </w:r>
            <w:r>
              <w:rPr>
                <w:rFonts w:hint="default" w:ascii="Times New Roman" w:hAnsi="Times New Roman" w:eastAsia="宋体" w:cs="Times New Roman"/>
                <w:color w:val="auto"/>
                <w:kern w:val="0"/>
                <w:sz w:val="21"/>
                <w:szCs w:val="21"/>
              </w:rPr>
              <w:t>年本）</w:t>
            </w:r>
            <w:r>
              <w:rPr>
                <w:rFonts w:hint="default" w:ascii="Times New Roman" w:hAnsi="Times New Roman" w:eastAsia="宋体" w:cs="Times New Roman"/>
                <w:color w:val="auto"/>
                <w:kern w:val="0"/>
                <w:sz w:val="21"/>
                <w:szCs w:val="21"/>
                <w:lang w:val="en-US" w:eastAsia="zh-CN"/>
              </w:rPr>
              <w:t>4/h的生物质专用锅炉不属于</w:t>
            </w:r>
            <w:r>
              <w:rPr>
                <w:rFonts w:hint="default" w:ascii="Times New Roman" w:hAnsi="Times New Roman" w:eastAsia="宋体" w:cs="Times New Roman"/>
                <w:color w:val="auto"/>
                <w:kern w:val="0"/>
                <w:sz w:val="21"/>
                <w:szCs w:val="21"/>
              </w:rPr>
              <w:t>“鼓励类”、“限制类”和“淘汰类”之列</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属于“允许类”</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val="en-US" w:eastAsia="zh-CN"/>
              </w:rPr>
              <w:t>改建后</w:t>
            </w:r>
            <w:r>
              <w:rPr>
                <w:rFonts w:hint="default" w:ascii="Times New Roman" w:hAnsi="Times New Roman" w:eastAsia="宋体" w:cs="Times New Roman"/>
                <w:color w:val="auto"/>
                <w:kern w:val="0"/>
                <w:sz w:val="21"/>
                <w:szCs w:val="21"/>
              </w:rPr>
              <w:t>涉及的产品、工艺和设备均不属于《产业结构调整指导目录》（2024年本）的“鼓励类”、“限制类”和“淘汰类”之列，根据《促进产业结构调整暂行规定》（国发〔2005〕40号）第十三条规定，本项目属于“允许类”</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同时对照《市场准入负面清单（2020年）》，本项目不属于禁止事项，</w:t>
            </w:r>
            <w:r>
              <w:rPr>
                <w:rFonts w:hint="default" w:ascii="Times New Roman" w:hAnsi="Times New Roman" w:eastAsia="宋体" w:cs="Times New Roman"/>
                <w:color w:val="auto"/>
                <w:sz w:val="21"/>
                <w:szCs w:val="21"/>
              </w:rPr>
              <w:t>符合国家产业政策。项目于202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日取得</w:t>
            </w:r>
            <w:r>
              <w:rPr>
                <w:rFonts w:hint="default" w:ascii="Times New Roman" w:hAnsi="Times New Roman" w:eastAsia="宋体" w:cs="Times New Roman"/>
                <w:color w:val="auto"/>
                <w:sz w:val="21"/>
                <w:szCs w:val="21"/>
                <w:lang w:eastAsia="zh-CN"/>
              </w:rPr>
              <w:t>玉溪市红塔区发展和改革局</w:t>
            </w:r>
            <w:r>
              <w:rPr>
                <w:rFonts w:hint="default" w:ascii="Times New Roman" w:hAnsi="Times New Roman" w:eastAsia="宋体" w:cs="Times New Roman"/>
                <w:color w:val="auto"/>
                <w:sz w:val="21"/>
                <w:szCs w:val="21"/>
              </w:rPr>
              <w:t>核发的《云南省固定资产投资项目备案证》，项目代码</w:t>
            </w:r>
            <w:r>
              <w:rPr>
                <w:rFonts w:hint="default" w:ascii="Times New Roman" w:hAnsi="Times New Roman" w:eastAsia="宋体" w:cs="Times New Roman"/>
                <w:color w:val="auto"/>
                <w:sz w:val="21"/>
                <w:szCs w:val="21"/>
                <w:lang w:eastAsia="zh-CN"/>
              </w:rPr>
              <w:t>2511-530402-04-02-205949</w:t>
            </w:r>
            <w:r>
              <w:rPr>
                <w:rFonts w:hint="default" w:ascii="Times New Roman" w:hAnsi="Times New Roman" w:eastAsia="宋体" w:cs="Times New Roman"/>
                <w:color w:val="auto"/>
                <w:sz w:val="21"/>
                <w:szCs w:val="21"/>
              </w:rPr>
              <w:t>。</w:t>
            </w:r>
          </w:p>
          <w:p w14:paraId="703EF638">
            <w:pPr>
              <w:pStyle w:val="61"/>
              <w:keepNext w:val="0"/>
              <w:keepLines w:val="0"/>
              <w:pageBreakBefore w:val="0"/>
              <w:widowControl w:val="0"/>
              <w:kinsoku/>
              <w:wordWrap/>
              <w:overflowPunct/>
              <w:topLinePunct w:val="0"/>
              <w:bidi w:val="0"/>
              <w:snapToGrid w:val="0"/>
              <w:spacing w:before="0" w:after="0" w:line="360" w:lineRule="auto"/>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根据《云南省长江经济带发展负面清单指南实施细则（试行）》</w:t>
            </w:r>
            <w:r>
              <w:rPr>
                <w:rFonts w:hint="default" w:ascii="Times New Roman" w:hAnsi="Times New Roman" w:eastAsia="宋体" w:cs="Times New Roman"/>
                <w:b w:val="0"/>
                <w:color w:val="auto"/>
                <w:kern w:val="2"/>
                <w:sz w:val="21"/>
                <w:szCs w:val="21"/>
              </w:rPr>
              <w:t>，本项目不属于负面清单内容。</w:t>
            </w:r>
          </w:p>
          <w:p w14:paraId="3A78A2C7">
            <w:pPr>
              <w:autoSpaceDE w:val="0"/>
              <w:autoSpaceDN w:val="0"/>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表1-4  长江经济带发展负面清单对照一览表</w:t>
            </w:r>
          </w:p>
          <w:tbl>
            <w:tblPr>
              <w:tblStyle w:val="25"/>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2"/>
              <w:gridCol w:w="3367"/>
              <w:gridCol w:w="851"/>
            </w:tblGrid>
            <w:tr w14:paraId="3399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41097D71">
                  <w:pPr>
                    <w:pStyle w:val="11"/>
                    <w:spacing w:before="72" w:beforeLines="30" w:after="72" w:afterLines="30"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相关内容</w:t>
                  </w:r>
                </w:p>
              </w:tc>
              <w:tc>
                <w:tcPr>
                  <w:tcW w:w="3367" w:type="dxa"/>
                  <w:vAlign w:val="center"/>
                </w:tcPr>
                <w:p w14:paraId="241E2707">
                  <w:pPr>
                    <w:pStyle w:val="11"/>
                    <w:spacing w:before="72" w:beforeLines="30" w:after="72" w:afterLines="30"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项目建设情况</w:t>
                  </w:r>
                </w:p>
              </w:tc>
              <w:tc>
                <w:tcPr>
                  <w:tcW w:w="851" w:type="dxa"/>
                  <w:vAlign w:val="center"/>
                </w:tcPr>
                <w:p w14:paraId="33CBFC41">
                  <w:pPr>
                    <w:pStyle w:val="11"/>
                    <w:spacing w:before="72" w:beforeLines="30" w:after="72" w:afterLines="30" w:line="240" w:lineRule="auto"/>
                    <w:ind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002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1270E7A8">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①禁止一切不符合主体功能定位的投资建设项目，严禁任意改变用途，因国家重大战略资源勘查需要，在不影响主体功能定位的前提下，经依法批准后予以安排勘查项目。</w:t>
                  </w:r>
                </w:p>
              </w:tc>
              <w:tc>
                <w:tcPr>
                  <w:tcW w:w="3367" w:type="dxa"/>
                  <w:vAlign w:val="center"/>
                </w:tcPr>
                <w:p w14:paraId="1073C956">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本项目属于C2239其他纸制品制造，对照《产业结构调整指导目录》（2024年本）本项目不属于“鼓励类、限制类和淘汰类”</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新增的4t/h生物质专用锅炉及</w:t>
                  </w:r>
                  <w:r>
                    <w:rPr>
                      <w:rFonts w:hint="default" w:ascii="Times New Roman" w:hAnsi="Times New Roman" w:eastAsia="宋体" w:cs="Times New Roman"/>
                      <w:color w:val="auto"/>
                      <w:sz w:val="21"/>
                      <w:szCs w:val="21"/>
                    </w:rPr>
                    <w:t>产品、工艺和设备均不属于《产业结构调整指导目录》（2024年本）的“鼓励类”、“限制类”和“淘汰类”之列，根据《促进产业结构调整暂行规定》（国发〔2005〕40号）第十三条规定，本项目属于“允许类”。</w:t>
                  </w:r>
                </w:p>
              </w:tc>
              <w:tc>
                <w:tcPr>
                  <w:tcW w:w="851" w:type="dxa"/>
                  <w:vAlign w:val="center"/>
                </w:tcPr>
                <w:p w14:paraId="44FFAFA6">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DAB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13EEAF43">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②禁止在生态保护红线范围内投资建设除国家重大战略资源勘查项目、生态保护修复和环境治理项目、重大基础设施项目、军事国防项目以及农牧民基本生产生活等必要的民生项目以外的项目。</w:t>
                  </w:r>
                </w:p>
              </w:tc>
              <w:tc>
                <w:tcPr>
                  <w:tcW w:w="3367" w:type="dxa"/>
                  <w:vMerge w:val="restart"/>
                  <w:vAlign w:val="center"/>
                </w:tcPr>
                <w:p w14:paraId="46C65C21">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项目租赁</w:t>
                  </w:r>
                  <w:r>
                    <w:rPr>
                      <w:rFonts w:hint="default" w:ascii="Times New Roman" w:hAnsi="Times New Roman" w:eastAsia="宋体" w:cs="Times New Roman"/>
                      <w:color w:val="auto"/>
                      <w:sz w:val="21"/>
                      <w:szCs w:val="21"/>
                      <w:lang w:val="en-US" w:eastAsia="zh-CN"/>
                    </w:rPr>
                    <w:t>云南新兴仁恒包装材料有限公司内的闲置</w:t>
                  </w:r>
                  <w:r>
                    <w:rPr>
                      <w:rFonts w:hint="default" w:ascii="Times New Roman" w:hAnsi="Times New Roman" w:eastAsia="宋体" w:cs="Times New Roman"/>
                      <w:color w:val="auto"/>
                      <w:sz w:val="21"/>
                      <w:szCs w:val="21"/>
                      <w:lang w:eastAsia="zh-CN"/>
                    </w:rPr>
                    <w:t>厂房</w:t>
                  </w:r>
                  <w:r>
                    <w:rPr>
                      <w:rFonts w:hint="default" w:ascii="Times New Roman" w:hAnsi="Times New Roman" w:eastAsia="宋体" w:cs="Times New Roman"/>
                      <w:color w:val="auto"/>
                      <w:sz w:val="21"/>
                      <w:szCs w:val="21"/>
                    </w:rPr>
                    <w:t>进行建设，</w:t>
                  </w:r>
                  <w:r>
                    <w:rPr>
                      <w:rFonts w:hint="default" w:ascii="Times New Roman" w:hAnsi="Times New Roman" w:eastAsia="宋体" w:cs="Times New Roman"/>
                      <w:color w:val="auto"/>
                      <w:sz w:val="21"/>
                      <w:szCs w:val="21"/>
                      <w:lang w:val="en-US" w:eastAsia="zh-CN"/>
                    </w:rPr>
                    <w:t>用地性质为工业用地，</w:t>
                  </w:r>
                  <w:r>
                    <w:rPr>
                      <w:rFonts w:hint="default" w:ascii="Times New Roman" w:hAnsi="Times New Roman" w:eastAsia="宋体" w:cs="Times New Roman"/>
                      <w:color w:val="auto"/>
                      <w:kern w:val="0"/>
                      <w:sz w:val="21"/>
                      <w:szCs w:val="21"/>
                      <w:vertAlign w:val="baseline"/>
                      <w:lang w:eastAsia="zh-CN"/>
                    </w:rPr>
                    <w:t>不在生态保护红线范围内，不在自然保护区核心区、缓冲区的岸线和河段范围内，也不在风景名胜区</w:t>
                  </w:r>
                  <w:r>
                    <w:rPr>
                      <w:rFonts w:hint="default" w:ascii="Times New Roman" w:hAnsi="Times New Roman" w:eastAsia="宋体" w:cs="Times New Roman"/>
                      <w:color w:val="auto"/>
                      <w:kern w:val="0"/>
                      <w:sz w:val="21"/>
                      <w:szCs w:val="21"/>
                      <w:vertAlign w:val="baseline"/>
                      <w:lang w:val="en-US" w:eastAsia="zh-CN"/>
                    </w:rPr>
                    <w:t>内</w:t>
                  </w:r>
                  <w:r>
                    <w:rPr>
                      <w:rFonts w:hint="default" w:ascii="Times New Roman" w:hAnsi="Times New Roman" w:eastAsia="宋体" w:cs="Times New Roman"/>
                      <w:color w:val="auto"/>
                      <w:sz w:val="21"/>
                      <w:szCs w:val="21"/>
                    </w:rPr>
                    <w:t>。</w:t>
                  </w:r>
                </w:p>
              </w:tc>
              <w:tc>
                <w:tcPr>
                  <w:tcW w:w="851" w:type="dxa"/>
                  <w:vMerge w:val="restart"/>
                  <w:vAlign w:val="center"/>
                </w:tcPr>
                <w:p w14:paraId="42C94012">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8AD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4522" w:type="dxa"/>
                  <w:vAlign w:val="center"/>
                </w:tcPr>
                <w:p w14:paraId="0176664E">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③生态保护红线原则上按禁止开发区域的要求进行管理。</w:t>
                  </w:r>
                </w:p>
              </w:tc>
              <w:tc>
                <w:tcPr>
                  <w:tcW w:w="3367" w:type="dxa"/>
                  <w:vMerge w:val="continue"/>
                  <w:vAlign w:val="center"/>
                </w:tcPr>
                <w:p w14:paraId="363F690C">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p>
              </w:tc>
              <w:tc>
                <w:tcPr>
                  <w:tcW w:w="851" w:type="dxa"/>
                  <w:vMerge w:val="continue"/>
                  <w:vAlign w:val="center"/>
                </w:tcPr>
                <w:p w14:paraId="39ADB95E">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p>
              </w:tc>
            </w:tr>
            <w:tr w14:paraId="1B33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049C1928">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3367" w:type="dxa"/>
                  <w:vAlign w:val="center"/>
                </w:tcPr>
                <w:p w14:paraId="737DC49B">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val="en-US" w:eastAsia="zh-CN"/>
                    </w:rPr>
                    <w:t>改建</w:t>
                  </w:r>
                  <w:r>
                    <w:rPr>
                      <w:rFonts w:hint="default" w:ascii="Times New Roman" w:hAnsi="Times New Roman" w:eastAsia="宋体" w:cs="Times New Roman"/>
                      <w:color w:val="auto"/>
                      <w:sz w:val="21"/>
                      <w:szCs w:val="21"/>
                    </w:rPr>
                    <w:t>项目，租赁</w:t>
                  </w:r>
                  <w:r>
                    <w:rPr>
                      <w:rFonts w:hint="default" w:ascii="Times New Roman" w:hAnsi="Times New Roman" w:eastAsia="宋体" w:cs="Times New Roman"/>
                      <w:color w:val="auto"/>
                      <w:sz w:val="21"/>
                      <w:szCs w:val="21"/>
                      <w:lang w:eastAsia="zh-CN"/>
                    </w:rPr>
                    <w:t>厂房</w:t>
                  </w:r>
                  <w:r>
                    <w:rPr>
                      <w:rFonts w:hint="default" w:ascii="Times New Roman" w:hAnsi="Times New Roman" w:eastAsia="宋体" w:cs="Times New Roman"/>
                      <w:color w:val="auto"/>
                      <w:sz w:val="21"/>
                      <w:szCs w:val="21"/>
                    </w:rPr>
                    <w:t>进行建设，不新</w:t>
                  </w:r>
                  <w:r>
                    <w:rPr>
                      <w:rFonts w:hint="default" w:ascii="Times New Roman" w:hAnsi="Times New Roman" w:eastAsia="宋体" w:cs="Times New Roman"/>
                      <w:color w:val="auto"/>
                      <w:sz w:val="21"/>
                      <w:szCs w:val="21"/>
                      <w:lang w:val="en-US" w:eastAsia="zh-CN"/>
                    </w:rPr>
                    <w:t>征</w:t>
                  </w:r>
                  <w:r>
                    <w:rPr>
                      <w:rFonts w:hint="default" w:ascii="Times New Roman" w:hAnsi="Times New Roman" w:eastAsia="宋体" w:cs="Times New Roman"/>
                      <w:color w:val="auto"/>
                      <w:sz w:val="21"/>
                      <w:szCs w:val="21"/>
                    </w:rPr>
                    <w:t>土地，不占用永久基本农田。</w:t>
                  </w:r>
                </w:p>
              </w:tc>
              <w:tc>
                <w:tcPr>
                  <w:tcW w:w="851" w:type="dxa"/>
                  <w:vAlign w:val="center"/>
                </w:tcPr>
                <w:p w14:paraId="3AEC6D8A">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84D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103D67E5">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w:t>
                  </w:r>
                </w:p>
                <w:p w14:paraId="1EC77D4E">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⑥禁止在永久基本农田范围内建窑、建房、建坟、挖沙、采石、采矿、取土、堆放固体废弃物或者进行其他破坏永久基本农田的活动；禁止任何单位和个人破坏永久基本农田耕作层；禁止任何单位和个人闲置、荒芜永久基本农田。</w:t>
                  </w:r>
                </w:p>
                <w:p w14:paraId="661EED41">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⑦禁止以设施农用地为名违规占用永久基本农田建设休闲旅游、仓储厂房等设施，坚决防止永久基本农田“非农化”。</w:t>
                  </w:r>
                </w:p>
              </w:tc>
              <w:tc>
                <w:tcPr>
                  <w:tcW w:w="3367" w:type="dxa"/>
                  <w:vAlign w:val="center"/>
                </w:tcPr>
                <w:p w14:paraId="4B80C13C">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val="en-US" w:eastAsia="zh-CN"/>
                    </w:rPr>
                    <w:t>改建项目</w:t>
                  </w:r>
                  <w:r>
                    <w:rPr>
                      <w:rFonts w:hint="default" w:ascii="Times New Roman" w:hAnsi="Times New Roman" w:eastAsia="宋体" w:cs="Times New Roman"/>
                      <w:color w:val="auto"/>
                      <w:sz w:val="21"/>
                      <w:szCs w:val="21"/>
                    </w:rPr>
                    <w:t>，租赁</w:t>
                  </w:r>
                  <w:r>
                    <w:rPr>
                      <w:rFonts w:hint="default" w:ascii="Times New Roman" w:hAnsi="Times New Roman" w:eastAsia="宋体" w:cs="Times New Roman"/>
                      <w:color w:val="auto"/>
                      <w:sz w:val="21"/>
                      <w:szCs w:val="21"/>
                      <w:lang w:eastAsia="zh-CN"/>
                    </w:rPr>
                    <w:t>厂房</w:t>
                  </w:r>
                  <w:r>
                    <w:rPr>
                      <w:rFonts w:hint="default" w:ascii="Times New Roman" w:hAnsi="Times New Roman" w:eastAsia="宋体" w:cs="Times New Roman"/>
                      <w:color w:val="auto"/>
                      <w:sz w:val="21"/>
                      <w:szCs w:val="21"/>
                    </w:rPr>
                    <w:t>进行建设，不新</w:t>
                  </w:r>
                  <w:r>
                    <w:rPr>
                      <w:rFonts w:hint="default" w:ascii="Times New Roman" w:hAnsi="Times New Roman" w:eastAsia="宋体" w:cs="Times New Roman"/>
                      <w:color w:val="auto"/>
                      <w:sz w:val="21"/>
                      <w:szCs w:val="21"/>
                      <w:lang w:val="en-US" w:eastAsia="zh-CN"/>
                    </w:rPr>
                    <w:t>征</w:t>
                  </w:r>
                  <w:r>
                    <w:rPr>
                      <w:rFonts w:hint="default" w:ascii="Times New Roman" w:hAnsi="Times New Roman" w:eastAsia="宋体" w:cs="Times New Roman"/>
                      <w:color w:val="auto"/>
                      <w:sz w:val="21"/>
                      <w:szCs w:val="21"/>
                    </w:rPr>
                    <w:t>土地，不占用永久基本农田。</w:t>
                  </w:r>
                </w:p>
              </w:tc>
              <w:tc>
                <w:tcPr>
                  <w:tcW w:w="851" w:type="dxa"/>
                  <w:vAlign w:val="center"/>
                </w:tcPr>
                <w:p w14:paraId="258206D8">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92E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1BED7B4A">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⑨禁止新建、扩建不符合国家石化、现代煤化工等产业布局规划的项目。</w:t>
                  </w:r>
                </w:p>
              </w:tc>
              <w:tc>
                <w:tcPr>
                  <w:tcW w:w="3367" w:type="dxa"/>
                  <w:vAlign w:val="center"/>
                </w:tcPr>
                <w:p w14:paraId="009F7C0F">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51" w:type="dxa"/>
                  <w:vAlign w:val="center"/>
                </w:tcPr>
                <w:p w14:paraId="01670B71">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AB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3DA9CD32">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⑩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3367" w:type="dxa"/>
                  <w:vAlign w:val="center"/>
                </w:tcPr>
                <w:p w14:paraId="3631D546">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851" w:type="dxa"/>
                  <w:vAlign w:val="center"/>
                </w:tcPr>
                <w:p w14:paraId="30CFBDAA">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9A5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5C3FF42D">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⑪禁止建设高毒高残留以及对环境影响大的农药原药生产装置，严格控制尿素、磷铵、电石、焦炭、黄磷、烧碱、纯碱、聚氯乙烯等行业新增产能。</w:t>
                  </w:r>
                </w:p>
              </w:tc>
              <w:tc>
                <w:tcPr>
                  <w:tcW w:w="3367" w:type="dxa"/>
                  <w:vAlign w:val="center"/>
                </w:tcPr>
                <w:p w14:paraId="1C874B8D">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项目不属于尿素、磷铵、电石、焦炭、黄磷、烧碱、纯碱、聚氯乙烯等高毒高残留行业。</w:t>
                  </w:r>
                </w:p>
              </w:tc>
              <w:tc>
                <w:tcPr>
                  <w:tcW w:w="851" w:type="dxa"/>
                  <w:vAlign w:val="center"/>
                </w:tcPr>
                <w:p w14:paraId="0D6A149A">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7C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2" w:type="dxa"/>
                  <w:vAlign w:val="center"/>
                </w:tcPr>
                <w:p w14:paraId="0B83221C">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⑫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3367" w:type="dxa"/>
                  <w:vAlign w:val="center"/>
                </w:tcPr>
                <w:p w14:paraId="40C03888">
                  <w:pPr>
                    <w:pStyle w:val="11"/>
                    <w:spacing w:before="72" w:beforeLines="30" w:after="72" w:afterLines="30" w:line="24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项目不属于《云南省城镇人口密集区危险化学品生产企业搬迁改造名单》的搬迁改造企业。</w:t>
                  </w:r>
                </w:p>
              </w:tc>
              <w:tc>
                <w:tcPr>
                  <w:tcW w:w="851" w:type="dxa"/>
                  <w:vAlign w:val="center"/>
                </w:tcPr>
                <w:p w14:paraId="29458144">
                  <w:pPr>
                    <w:pStyle w:val="11"/>
                    <w:spacing w:before="72" w:beforeLines="30" w:after="72" w:afterLines="30" w:line="240" w:lineRule="auto"/>
                    <w:ind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0286694">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2、项目选址合理性分析</w:t>
            </w:r>
          </w:p>
          <w:p w14:paraId="38F4232B">
            <w:pPr>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项目租赁</w:t>
            </w:r>
            <w:r>
              <w:rPr>
                <w:rFonts w:hint="default" w:ascii="Times New Roman" w:hAnsi="Times New Roman" w:eastAsia="宋体" w:cs="Times New Roman"/>
                <w:color w:val="auto"/>
                <w:sz w:val="21"/>
                <w:szCs w:val="21"/>
                <w:lang w:val="en-US" w:eastAsia="zh-CN"/>
              </w:rPr>
              <w:t>云南新兴仁恒包装材料有限公司内的闲置</w:t>
            </w:r>
            <w:r>
              <w:rPr>
                <w:rFonts w:hint="default" w:ascii="Times New Roman" w:hAnsi="Times New Roman" w:eastAsia="宋体" w:cs="Times New Roman"/>
                <w:color w:val="auto"/>
                <w:sz w:val="21"/>
                <w:szCs w:val="21"/>
              </w:rPr>
              <w:t>厂房进行建设，</w:t>
            </w:r>
            <w:r>
              <w:rPr>
                <w:rFonts w:hint="default" w:ascii="Times New Roman" w:hAnsi="Times New Roman" w:eastAsia="宋体" w:cs="Times New Roman"/>
                <w:color w:val="auto"/>
                <w:sz w:val="21"/>
                <w:szCs w:val="21"/>
                <w:lang w:val="en-US" w:eastAsia="zh-CN"/>
              </w:rPr>
              <w:t>根据2026年1月26日玉溪市红塔区人民政府春和街道办事处出具的选址意见，同意项目建设；</w:t>
            </w:r>
            <w:r>
              <w:rPr>
                <w:rFonts w:hint="default" w:ascii="Times New Roman" w:hAnsi="Times New Roman" w:eastAsia="宋体" w:cs="Times New Roman"/>
                <w:color w:val="auto"/>
                <w:sz w:val="21"/>
                <w:szCs w:val="21"/>
              </w:rPr>
              <w:t>项目所在地属于工业用地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根据2026年1月26日红塔区自然资源局产的查询结果项目位于红塔区城镇开发边界范围内，项目</w:t>
            </w:r>
            <w:r>
              <w:rPr>
                <w:rFonts w:hint="default" w:ascii="Times New Roman" w:hAnsi="Times New Roman" w:eastAsia="宋体" w:cs="Times New Roman"/>
                <w:color w:val="auto"/>
                <w:sz w:val="21"/>
                <w:szCs w:val="21"/>
              </w:rPr>
              <w:t>不在生态保护红线范围内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不占用永久基本农田、</w:t>
            </w:r>
            <w:r>
              <w:rPr>
                <w:rFonts w:hint="default" w:ascii="Times New Roman" w:hAnsi="Times New Roman" w:eastAsia="宋体" w:cs="Times New Roman"/>
                <w:color w:val="auto"/>
                <w:sz w:val="21"/>
                <w:szCs w:val="21"/>
              </w:rPr>
              <w:t>符合“三线一单”相关要求，本项目租赁现有</w:t>
            </w:r>
            <w:r>
              <w:rPr>
                <w:rFonts w:hint="default" w:ascii="Times New Roman" w:hAnsi="Times New Roman" w:eastAsia="宋体" w:cs="Times New Roman"/>
                <w:color w:val="auto"/>
                <w:sz w:val="21"/>
                <w:szCs w:val="21"/>
                <w:lang w:eastAsia="zh-CN"/>
              </w:rPr>
              <w:t>标准厂房</w:t>
            </w:r>
            <w:r>
              <w:rPr>
                <w:rFonts w:hint="default" w:ascii="Times New Roman" w:hAnsi="Times New Roman" w:eastAsia="宋体" w:cs="Times New Roman"/>
                <w:color w:val="auto"/>
                <w:sz w:val="21"/>
                <w:szCs w:val="21"/>
              </w:rPr>
              <w:t>进行建设，不新增土地，不进行动土作业。项目选址范围及周边无自然保护区、风景名胜区、森林公园、饮用水水源保区等环境敏感区，本项目区域内无国家地方保护的珍稀濒危动植物，500m范围内有</w:t>
            </w:r>
            <w:r>
              <w:rPr>
                <w:rFonts w:hint="default" w:ascii="Times New Roman" w:hAnsi="Times New Roman" w:eastAsia="宋体" w:cs="Times New Roman"/>
                <w:color w:val="auto"/>
                <w:sz w:val="21"/>
                <w:szCs w:val="21"/>
                <w:lang w:val="en-US" w:eastAsia="zh-CN"/>
              </w:rPr>
              <w:t>刘家山坡</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太极名城、腾家边、顾家屯、代家边、上郝、殷山咀7</w:t>
            </w:r>
            <w:r>
              <w:rPr>
                <w:rFonts w:hint="default" w:ascii="Times New Roman" w:hAnsi="Times New Roman" w:eastAsia="宋体" w:cs="Times New Roman"/>
                <w:color w:val="auto"/>
                <w:sz w:val="21"/>
                <w:szCs w:val="21"/>
              </w:rPr>
              <w:t>个保护目标，</w:t>
            </w:r>
            <w:r>
              <w:rPr>
                <w:rFonts w:hint="default" w:ascii="Times New Roman" w:hAnsi="Times New Roman" w:eastAsia="宋体" w:cs="Times New Roman"/>
                <w:color w:val="auto"/>
                <w:sz w:val="21"/>
                <w:szCs w:val="21"/>
                <w:lang w:val="en-US" w:eastAsia="zh-CN"/>
              </w:rPr>
              <w:t>50m范围内无声环境保护目标，</w:t>
            </w:r>
            <w:r>
              <w:rPr>
                <w:rFonts w:hint="default" w:ascii="Times New Roman" w:hAnsi="Times New Roman" w:eastAsia="宋体" w:cs="Times New Roman"/>
                <w:color w:val="auto"/>
                <w:sz w:val="21"/>
                <w:szCs w:val="21"/>
              </w:rPr>
              <w:t>项目环保设施完善后对周边保护目标影响不大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项目周边企业有</w:t>
            </w:r>
            <w:r>
              <w:rPr>
                <w:rFonts w:hint="default" w:ascii="Times New Roman" w:hAnsi="Times New Roman" w:eastAsia="宋体" w:cs="Times New Roman"/>
                <w:color w:val="auto"/>
                <w:sz w:val="21"/>
                <w:szCs w:val="21"/>
                <w:lang w:val="en-US" w:eastAsia="zh-CN"/>
              </w:rPr>
              <w:t>混凝土企业</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南侧紧邻</w:t>
            </w:r>
            <w:r>
              <w:rPr>
                <w:rFonts w:hint="default" w:ascii="Times New Roman" w:hAnsi="Times New Roman" w:eastAsia="宋体" w:cs="Times New Roman"/>
                <w:color w:val="auto"/>
                <w:sz w:val="21"/>
                <w:szCs w:val="21"/>
              </w:rPr>
              <w:t>的</w:t>
            </w:r>
            <w:r>
              <w:rPr>
                <w:rFonts w:hint="default" w:ascii="Times New Roman" w:hAnsi="Times New Roman" w:eastAsia="宋体" w:cs="Times New Roman"/>
                <w:color w:val="auto"/>
                <w:sz w:val="21"/>
                <w:szCs w:val="21"/>
                <w:lang w:val="en-US" w:eastAsia="zh-CN"/>
              </w:rPr>
              <w:t>富强混凝土有限公司</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汽车修理厂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南侧60m处宏旺汽修、东南69m处同邦汽车修理厂、东南测紧邻玉溪汇成汽车销售有限公司、东南262m处的利民汽修、东南318m处的法士特维修</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木制品加工企业</w:t>
            </w:r>
            <w:r>
              <w:rPr>
                <w:rFonts w:hint="default" w:ascii="Times New Roman" w:hAnsi="Times New Roman" w:eastAsia="宋体" w:cs="Times New Roman"/>
                <w:color w:val="auto"/>
                <w:sz w:val="21"/>
                <w:szCs w:val="21"/>
              </w:rPr>
              <w:t>类（</w:t>
            </w:r>
            <w:r>
              <w:rPr>
                <w:rFonts w:hint="default" w:ascii="Times New Roman" w:hAnsi="Times New Roman" w:eastAsia="宋体" w:cs="Times New Roman"/>
                <w:color w:val="auto"/>
                <w:sz w:val="21"/>
                <w:szCs w:val="21"/>
                <w:lang w:val="en-US" w:eastAsia="zh-CN"/>
              </w:rPr>
              <w:t>东北</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rPr>
              <w:t>m处的</w:t>
            </w:r>
            <w:r>
              <w:rPr>
                <w:rFonts w:hint="default" w:ascii="Times New Roman" w:hAnsi="Times New Roman" w:eastAsia="宋体" w:cs="Times New Roman"/>
                <w:color w:val="auto"/>
                <w:sz w:val="21"/>
                <w:szCs w:val="21"/>
                <w:lang w:val="en-US" w:eastAsia="zh-CN"/>
              </w:rPr>
              <w:t>太极木制品</w:t>
            </w:r>
            <w:r>
              <w:rPr>
                <w:rFonts w:hint="default" w:ascii="Times New Roman" w:hAnsi="Times New Roman" w:eastAsia="宋体" w:cs="Times New Roman"/>
                <w:color w:val="auto"/>
                <w:sz w:val="21"/>
                <w:szCs w:val="21"/>
              </w:rPr>
              <w:t>有限公司）等，项目附近</w:t>
            </w:r>
            <w:r>
              <w:rPr>
                <w:rFonts w:hint="default" w:ascii="Times New Roman" w:hAnsi="Times New Roman" w:eastAsia="宋体" w:cs="Times New Roman"/>
                <w:color w:val="auto"/>
                <w:sz w:val="21"/>
                <w:szCs w:val="21"/>
                <w:lang w:val="en-US" w:eastAsia="zh-CN"/>
              </w:rPr>
              <w:t>汽修</w:t>
            </w:r>
            <w:r>
              <w:rPr>
                <w:rFonts w:hint="default" w:ascii="Times New Roman" w:hAnsi="Times New Roman" w:eastAsia="宋体" w:cs="Times New Roman"/>
                <w:color w:val="auto"/>
                <w:sz w:val="21"/>
                <w:szCs w:val="21"/>
              </w:rPr>
              <w:t>企业较多，均位于本项目上风向，距离本项目较远，项目落实本次环评提出的各项环保措施后，对周围环境影响较，与周围企业相容，项目选址合理。</w:t>
            </w:r>
          </w:p>
          <w:p w14:paraId="08F5F593">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r>
              <w:rPr>
                <w:rFonts w:hint="default" w:ascii="Times New Roman" w:hAnsi="Times New Roman" w:eastAsia="宋体" w:cs="Times New Roman"/>
                <w:b/>
                <w:bCs/>
                <w:color w:val="auto"/>
                <w:kern w:val="0"/>
                <w:sz w:val="21"/>
                <w:szCs w:val="21"/>
              </w:rPr>
              <w:t>项目平面布置合理性分析</w:t>
            </w:r>
          </w:p>
          <w:p w14:paraId="5EDAD0C8">
            <w:pPr>
              <w:autoSpaceDE w:val="0"/>
              <w:autoSpaceDN w:val="0"/>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新增（租赁</w:t>
            </w:r>
            <w:r>
              <w:rPr>
                <w:rFonts w:hint="default" w:ascii="Times New Roman" w:hAnsi="Times New Roman" w:eastAsia="宋体" w:cs="Times New Roman"/>
                <w:color w:val="auto"/>
                <w:sz w:val="21"/>
                <w:szCs w:val="21"/>
                <w:lang w:val="en-US" w:eastAsia="zh-CN"/>
              </w:rPr>
              <w:t>云南新兴仁恒包装材料有限公司）4A车间3447.6㎡、回转车间1962.3㎡、工具间153.8㎡、工具间北侧停车区20㎡的使用，其中4A车间（辅助车间1060㎡）用于堆存原纸、设置40㎡配电室和20㎡办公室；4A车间主体部分2327.6㎡用于1条瓦楞纸板生产线的建设；同时将粘（钉）箱工序搬至回转车间东侧，设置一个270㎡的粘（钉）箱区；回转车间西侧设置80㎡制胶区和24㎡的空压机房；在工具间基础上建设4t/h生物质锅炉房；工具间北侧停车区改建10㎡生物质燃料堆场和10㎡炉渣堆场</w:t>
            </w:r>
            <w:r>
              <w:rPr>
                <w:rFonts w:hint="default" w:ascii="Times New Roman" w:hAnsi="Times New Roman" w:eastAsia="宋体" w:cs="Times New Roman"/>
                <w:color w:val="auto"/>
                <w:sz w:val="21"/>
                <w:szCs w:val="21"/>
              </w:rPr>
              <w:t>。其余基础设施依托租赁厂房现有设施。项目平面布置合理，详见附图。</w:t>
            </w:r>
          </w:p>
          <w:p w14:paraId="0B887455">
            <w:pPr>
              <w:autoSpaceDE w:val="0"/>
              <w:autoSpaceDN w:val="0"/>
              <w:adjustRightInd w:val="0"/>
              <w:spacing w:line="360" w:lineRule="auto"/>
              <w:ind w:firstLine="422" w:firstLineChars="200"/>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4、</w:t>
            </w:r>
            <w:r>
              <w:rPr>
                <w:rFonts w:hint="default" w:ascii="Times New Roman" w:hAnsi="Times New Roman" w:eastAsia="宋体" w:cs="Times New Roman"/>
                <w:b/>
                <w:bCs/>
                <w:color w:val="auto"/>
                <w:kern w:val="0"/>
                <w:sz w:val="21"/>
                <w:szCs w:val="21"/>
              </w:rPr>
              <w:t>与“三线一单”相符性分析</w:t>
            </w:r>
          </w:p>
          <w:p w14:paraId="0CE39508">
            <w:pPr>
              <w:spacing w:line="360" w:lineRule="auto"/>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2021年12月6日玉溪市人民政府印发了《玉溪市“三线一单”生态环境分区管控实施意见的通知》（玉政发〔2021〕15号）（以下简称《通知》）。本项目位于</w:t>
            </w:r>
            <w:r>
              <w:rPr>
                <w:rFonts w:hint="default" w:ascii="Times New Roman" w:hAnsi="Times New Roman" w:eastAsia="宋体" w:cs="Times New Roman"/>
                <w:b w:val="0"/>
                <w:bCs w:val="0"/>
                <w:color w:val="auto"/>
                <w:kern w:val="2"/>
                <w:sz w:val="21"/>
                <w:szCs w:val="21"/>
                <w:lang w:val="en-US" w:eastAsia="zh-CN" w:bidi="ar-SA"/>
              </w:rPr>
              <w:t>红塔区城区生活污染源重点管控单元</w:t>
            </w:r>
            <w:r>
              <w:rPr>
                <w:rFonts w:hint="default" w:ascii="Times New Roman" w:hAnsi="Times New Roman" w:eastAsia="宋体" w:cs="Times New Roman"/>
                <w:color w:val="auto"/>
                <w:sz w:val="21"/>
                <w:szCs w:val="21"/>
              </w:rPr>
              <w:t>。项目与玉溪市“三线一单”相关要求相符性分析详见下表。</w:t>
            </w:r>
          </w:p>
          <w:p w14:paraId="11D91792">
            <w:pPr>
              <w:pStyle w:val="34"/>
              <w:spacing w:line="240" w:lineRule="auto"/>
              <w:ind w:firstLine="42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表1-5  项目与玉溪市“三线一单”分区管控符合性分析</w:t>
            </w:r>
          </w:p>
          <w:tbl>
            <w:tblPr>
              <w:tblStyle w:val="26"/>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472"/>
              <w:gridCol w:w="3857"/>
              <w:gridCol w:w="667"/>
            </w:tblGrid>
            <w:tr w14:paraId="4198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14:paraId="5069F057">
                  <w:pPr>
                    <w:pStyle w:val="75"/>
                    <w:snapToGrid w:val="0"/>
                    <w:spacing w:line="240" w:lineRule="auto"/>
                    <w:ind w:firstLine="0" w:firstLineChars="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472" w:type="dxa"/>
                  <w:vAlign w:val="center"/>
                </w:tcPr>
                <w:p w14:paraId="0B360B35">
                  <w:pPr>
                    <w:pStyle w:val="75"/>
                    <w:snapToGrid w:val="0"/>
                    <w:spacing w:line="240" w:lineRule="auto"/>
                    <w:ind w:firstLine="0" w:firstLineChars="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《通知》要求</w:t>
                  </w:r>
                </w:p>
              </w:tc>
              <w:tc>
                <w:tcPr>
                  <w:tcW w:w="3857" w:type="dxa"/>
                  <w:vAlign w:val="center"/>
                </w:tcPr>
                <w:p w14:paraId="33589C50">
                  <w:pPr>
                    <w:pStyle w:val="75"/>
                    <w:snapToGrid w:val="0"/>
                    <w:spacing w:line="240" w:lineRule="auto"/>
                    <w:ind w:firstLine="0" w:firstLineChars="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项目情况</w:t>
                  </w:r>
                </w:p>
              </w:tc>
              <w:tc>
                <w:tcPr>
                  <w:tcW w:w="667" w:type="dxa"/>
                  <w:vAlign w:val="center"/>
                </w:tcPr>
                <w:p w14:paraId="69717B68">
                  <w:pPr>
                    <w:pStyle w:val="75"/>
                    <w:snapToGrid w:val="0"/>
                    <w:spacing w:line="240" w:lineRule="auto"/>
                    <w:ind w:firstLine="0" w:firstLineChars="0"/>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符合性</w:t>
                  </w:r>
                </w:p>
              </w:tc>
            </w:tr>
            <w:tr w14:paraId="023E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9" w:type="dxa"/>
                  <w:gridSpan w:val="4"/>
                  <w:vAlign w:val="center"/>
                </w:tcPr>
                <w:p w14:paraId="0770822F">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sz w:val="21"/>
                      <w:szCs w:val="21"/>
                    </w:rPr>
                    <w:t>一、生态保护红线和一般生态空间</w:t>
                  </w:r>
                </w:p>
              </w:tc>
            </w:tr>
            <w:tr w14:paraId="3A57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14:paraId="4336FD63">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472" w:type="dxa"/>
                  <w:vAlign w:val="center"/>
                </w:tcPr>
                <w:p w14:paraId="2FA3A638">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3857" w:type="dxa"/>
                  <w:vAlign w:val="center"/>
                </w:tcPr>
                <w:p w14:paraId="342C885D">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本项目位于云南省</w:t>
                  </w:r>
                  <w:r>
                    <w:rPr>
                      <w:rFonts w:hint="default" w:ascii="Times New Roman" w:hAnsi="Times New Roman" w:eastAsia="宋体" w:cs="Times New Roman"/>
                      <w:color w:val="auto"/>
                      <w:sz w:val="21"/>
                      <w:szCs w:val="21"/>
                      <w:lang w:eastAsia="zh-CN"/>
                    </w:rPr>
                    <w:t>玉溪春和街道孙井社区太极山（</w:t>
                  </w:r>
                  <w:r>
                    <w:rPr>
                      <w:rFonts w:hint="default" w:ascii="Times New Roman" w:hAnsi="Times New Roman" w:eastAsia="宋体" w:cs="Times New Roman"/>
                      <w:color w:val="auto"/>
                      <w:sz w:val="21"/>
                      <w:szCs w:val="21"/>
                      <w:lang w:val="en-US" w:eastAsia="zh-CN"/>
                    </w:rPr>
                    <w:t>现</w:t>
                  </w:r>
                  <w:r>
                    <w:rPr>
                      <w:rFonts w:hint="default" w:ascii="Times New Roman" w:hAnsi="Times New Roman" w:eastAsia="宋体" w:cs="Times New Roman"/>
                      <w:color w:val="auto"/>
                      <w:sz w:val="21"/>
                      <w:szCs w:val="21"/>
                      <w:lang w:eastAsia="zh-CN"/>
                    </w:rPr>
                    <w:t>云南新兴仁恒包装材料有限公司内的闲置车间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，用地属于工业园区规划用地，评价范围内不涉及自然保护区、风景名胜区、自然遗产地、森林公园、饮用水源保护区等生态敏感区，不涉及一般生态空间，属于</w:t>
                  </w:r>
                  <w:r>
                    <w:rPr>
                      <w:rFonts w:hint="default" w:ascii="Times New Roman" w:hAnsi="Times New Roman" w:eastAsia="宋体" w:cs="Times New Roman"/>
                      <w:b w:val="0"/>
                      <w:bCs w:val="0"/>
                      <w:color w:val="auto"/>
                      <w:kern w:val="2"/>
                      <w:sz w:val="21"/>
                      <w:szCs w:val="21"/>
                      <w:lang w:val="en-US" w:eastAsia="zh-CN" w:bidi="ar-SA"/>
                    </w:rPr>
                    <w:t>红塔区城区生活污染源重点管控单元</w:t>
                  </w:r>
                  <w:r>
                    <w:rPr>
                      <w:rFonts w:hint="default" w:ascii="Times New Roman" w:hAnsi="Times New Roman" w:eastAsia="宋体" w:cs="Times New Roman"/>
                      <w:color w:val="auto"/>
                      <w:sz w:val="21"/>
                      <w:szCs w:val="21"/>
                    </w:rPr>
                    <w:t>。</w:t>
                  </w:r>
                </w:p>
              </w:tc>
              <w:tc>
                <w:tcPr>
                  <w:tcW w:w="667" w:type="dxa"/>
                  <w:vAlign w:val="center"/>
                </w:tcPr>
                <w:p w14:paraId="2B781F58">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86E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9" w:type="dxa"/>
                  <w:gridSpan w:val="4"/>
                  <w:vAlign w:val="center"/>
                </w:tcPr>
                <w:p w14:paraId="3F19B62D">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b/>
                      <w:bCs w:val="0"/>
                      <w:color w:val="auto"/>
                      <w:sz w:val="21"/>
                      <w:szCs w:val="21"/>
                    </w:rPr>
                    <w:t>二、环境质量底线</w:t>
                  </w:r>
                </w:p>
              </w:tc>
            </w:tr>
            <w:tr w14:paraId="11A6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14:paraId="2C1EEC4A">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472" w:type="dxa"/>
                  <w:vAlign w:val="center"/>
                </w:tcPr>
                <w:p w14:paraId="395BA0F5">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3857" w:type="dxa"/>
                  <w:vAlign w:val="center"/>
                </w:tcPr>
                <w:p w14:paraId="0B3ABB30">
                  <w:pPr>
                    <w:pStyle w:val="76"/>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本项目地表径流受纳水体为</w:t>
                  </w:r>
                  <w:r>
                    <w:rPr>
                      <w:rFonts w:hint="default" w:ascii="Times New Roman" w:hAnsi="Times New Roman" w:eastAsia="宋体" w:cs="Times New Roman"/>
                      <w:bCs/>
                      <w:color w:val="auto"/>
                      <w:sz w:val="21"/>
                      <w:szCs w:val="21"/>
                      <w:lang w:val="en-US" w:eastAsia="zh-CN"/>
                    </w:rPr>
                    <w:t>西侧的八里大沟，汇入新西河后</w:t>
                  </w:r>
                  <w:r>
                    <w:rPr>
                      <w:rFonts w:hint="default" w:ascii="Times New Roman" w:hAnsi="Times New Roman" w:eastAsia="宋体" w:cs="Times New Roman"/>
                      <w:bCs/>
                      <w:color w:val="auto"/>
                      <w:sz w:val="21"/>
                      <w:szCs w:val="21"/>
                    </w:rPr>
                    <w:t>，最终受纳水体为玉溪大河。根据《云南省水功能区划》（云南省水利厅 2014 年修订版），规划区内“曲江红塔-峨山工业、农业用水区”，2030年水质考核目标为Ⅲ类；同时参考《玉溪市水功能区划》（玉溪市水利局，2014年版）和《玉溪高新区技术产业开发区总体规划修编（2021-2035年）环境影响报告书》，新西河执行《地表水环境质量标准》（GB3838-2002）Ⅴ类标准；玉溪大河“东风水库坝址-红塔区汇溪闸”，水环境功能为景观用水、农灌用水，水质目标为Ⅲ类。玉溪大河水质能够满足水功能区划（Ⅲ类）要求。</w:t>
                  </w:r>
                </w:p>
                <w:p w14:paraId="672BCE4B">
                  <w:pPr>
                    <w:pStyle w:val="75"/>
                    <w:snapToGrid w:val="0"/>
                    <w:spacing w:line="240" w:lineRule="auto"/>
                    <w:ind w:firstLine="42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生产废水为制胶、糊胶设备清洗废水锅炉软水制备产生的废水、锅炉排污水、车间清洁废水；制胶、糊胶设备清洗废水暂存于清洗桶内，回用于制胶；锅炉软水制备产生的废水、锅炉排污水进入依托云南新兴仁恒包装材料有限公司40m³/d的生活污水处理设施处理达标后回用于绿化及厂区洒水降尘；本项目不新增劳动定员，不新增生活污水，生活污水依托云南新兴仁恒包装材料有限公司40m³/d的生活污水处理设施处理达标后回用于绿化及厂区洒水降尘</w:t>
                  </w:r>
                  <w:r>
                    <w:rPr>
                      <w:rFonts w:hint="default" w:ascii="Times New Roman" w:hAnsi="Times New Roman" w:eastAsia="宋体" w:cs="Times New Roman"/>
                      <w:color w:val="auto"/>
                      <w:sz w:val="21"/>
                      <w:szCs w:val="21"/>
                      <w:lang w:eastAsia="zh-CN"/>
                    </w:rPr>
                    <w:t>。</w:t>
                  </w:r>
                </w:p>
              </w:tc>
              <w:tc>
                <w:tcPr>
                  <w:tcW w:w="667" w:type="dxa"/>
                  <w:vAlign w:val="center"/>
                </w:tcPr>
                <w:p w14:paraId="1695F362">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8D1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Align w:val="center"/>
                </w:tcPr>
                <w:p w14:paraId="4219AFF7">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3</w:t>
                  </w:r>
                </w:p>
              </w:tc>
              <w:tc>
                <w:tcPr>
                  <w:tcW w:w="3472" w:type="dxa"/>
                  <w:vAlign w:val="center"/>
                </w:tcPr>
                <w:p w14:paraId="6E805E0F">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3857" w:type="dxa"/>
                  <w:vAlign w:val="center"/>
                </w:tcPr>
                <w:p w14:paraId="5CC68E96">
                  <w:pPr>
                    <w:snapToGri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项目所在区域属于环境空气二类功能区，根据玉溪当地生态环境保护部门在本项目东面直线距离</w:t>
                  </w:r>
                  <w:r>
                    <w:rPr>
                      <w:rFonts w:hint="default" w:ascii="Times New Roman" w:hAnsi="Times New Roman" w:eastAsia="宋体" w:cs="Times New Roman"/>
                      <w:bCs/>
                      <w:color w:val="auto"/>
                      <w:sz w:val="21"/>
                      <w:szCs w:val="21"/>
                      <w:lang w:eastAsia="zh-CN"/>
                    </w:rPr>
                    <w:t>3.516km</w:t>
                  </w:r>
                  <w:r>
                    <w:rPr>
                      <w:rFonts w:hint="default" w:ascii="Times New Roman" w:hAnsi="Times New Roman" w:eastAsia="宋体" w:cs="Times New Roman"/>
                      <w:bCs/>
                      <w:color w:val="auto"/>
                      <w:sz w:val="21"/>
                      <w:szCs w:val="21"/>
                    </w:rPr>
                    <w:t>处的北城街道办事处楼顶设置的空气自动监测站202</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年1月1日~12月31日自动监测数据可知，可吸入颗粒物（PM</w:t>
                  </w:r>
                  <w:r>
                    <w:rPr>
                      <w:rFonts w:hint="default" w:ascii="Times New Roman" w:hAnsi="Times New Roman" w:eastAsia="宋体" w:cs="Times New Roman"/>
                      <w:bCs/>
                      <w:color w:val="auto"/>
                      <w:sz w:val="21"/>
                      <w:szCs w:val="21"/>
                      <w:vertAlign w:val="subscript"/>
                    </w:rPr>
                    <w:t>10</w:t>
                  </w:r>
                  <w:r>
                    <w:rPr>
                      <w:rFonts w:hint="default" w:ascii="Times New Roman" w:hAnsi="Times New Roman" w:eastAsia="宋体" w:cs="Times New Roman"/>
                      <w:bCs/>
                      <w:color w:val="auto"/>
                      <w:sz w:val="21"/>
                      <w:szCs w:val="21"/>
                    </w:rPr>
                    <w:t>）、细颗粒物（PM</w:t>
                  </w:r>
                  <w:r>
                    <w:rPr>
                      <w:rFonts w:hint="default" w:ascii="Times New Roman" w:hAnsi="Times New Roman" w:eastAsia="宋体" w:cs="Times New Roman"/>
                      <w:bCs/>
                      <w:color w:val="auto"/>
                      <w:sz w:val="21"/>
                      <w:szCs w:val="21"/>
                      <w:vertAlign w:val="subscript"/>
                    </w:rPr>
                    <w:t>2.5</w:t>
                  </w:r>
                  <w:r>
                    <w:rPr>
                      <w:rFonts w:hint="default" w:ascii="Times New Roman" w:hAnsi="Times New Roman" w:eastAsia="宋体" w:cs="Times New Roman"/>
                      <w:bCs/>
                      <w:color w:val="auto"/>
                      <w:sz w:val="21"/>
                      <w:szCs w:val="21"/>
                    </w:rPr>
                    <w:t>）、二氧化硫（SO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）、二氧化氮（NOx）、一氧化碳（CO）、臭氧（O</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）年均浓度达到《环境空气质量标准》（GB3095-2012）及其2018修改单二级标准。</w:t>
                  </w:r>
                </w:p>
              </w:tc>
              <w:tc>
                <w:tcPr>
                  <w:tcW w:w="667" w:type="dxa"/>
                  <w:vAlign w:val="center"/>
                </w:tcPr>
                <w:p w14:paraId="4858FC3D">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D75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14:paraId="3ACD267B">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472" w:type="dxa"/>
                  <w:vAlign w:val="center"/>
                </w:tcPr>
                <w:p w14:paraId="6B4A17B8">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3857" w:type="dxa"/>
                  <w:vAlign w:val="center"/>
                </w:tcPr>
                <w:p w14:paraId="147CE249">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本项目主要生产</w:t>
                  </w:r>
                  <w:r>
                    <w:rPr>
                      <w:rFonts w:hint="default" w:ascii="Times New Roman" w:hAnsi="Times New Roman" w:eastAsia="宋体" w:cs="Times New Roman"/>
                      <w:color w:val="auto"/>
                      <w:sz w:val="21"/>
                      <w:szCs w:val="21"/>
                      <w:lang w:val="en-US" w:eastAsia="zh-CN"/>
                    </w:rPr>
                    <w:t>瓦楞纸板用于原项目生产瓦楞纸箱</w:t>
                  </w:r>
                  <w:r>
                    <w:rPr>
                      <w:rFonts w:hint="default" w:ascii="Times New Roman" w:hAnsi="Times New Roman" w:eastAsia="宋体" w:cs="Times New Roman"/>
                      <w:color w:val="auto"/>
                      <w:sz w:val="21"/>
                      <w:szCs w:val="21"/>
                    </w:rPr>
                    <w:t>，不涉及有毒有害物质，对周围土地不构成污染的风险，且项目用地为工业用地，运营期废气达标排放，无生产废水外排，固废均得到合理处置，且项目区内采取分区防渗措施。项目建成后对区域土壤环境质量产生影响较小，土壤环境风险较低。</w:t>
                  </w:r>
                </w:p>
              </w:tc>
              <w:tc>
                <w:tcPr>
                  <w:tcW w:w="667" w:type="dxa"/>
                  <w:vAlign w:val="center"/>
                </w:tcPr>
                <w:p w14:paraId="1601C87D">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B8E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9" w:type="dxa"/>
                  <w:gridSpan w:val="4"/>
                  <w:vAlign w:val="center"/>
                </w:tcPr>
                <w:p w14:paraId="713AE5C7">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三、资源利用上线</w:t>
                  </w:r>
                </w:p>
              </w:tc>
            </w:tr>
            <w:tr w14:paraId="0239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653" w:type="dxa"/>
                  <w:vAlign w:val="center"/>
                </w:tcPr>
                <w:p w14:paraId="1287CC8B">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472" w:type="dxa"/>
                  <w:vAlign w:val="center"/>
                </w:tcPr>
                <w:p w14:paraId="7EBEB50D">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强化资源能源节约集约利用，持续提升资源能源利用效率，水资源、土地资源、能源消耗等达到或优于省下达的总量和强度控制目标。</w:t>
                  </w:r>
                </w:p>
              </w:tc>
              <w:tc>
                <w:tcPr>
                  <w:tcW w:w="3857" w:type="dxa"/>
                  <w:vAlign w:val="center"/>
                </w:tcPr>
                <w:p w14:paraId="7534BBA4">
                  <w:pPr>
                    <w:pStyle w:val="75"/>
                    <w:snapToGrid w:val="0"/>
                    <w:spacing w:line="240" w:lineRule="auto"/>
                    <w:ind w:firstLine="42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本项目采用先进Y3节能电机设备，所用能源主要为电能；项目水、电等资源不会突破区域的资源利用上线。</w:t>
                  </w:r>
                </w:p>
              </w:tc>
              <w:tc>
                <w:tcPr>
                  <w:tcW w:w="667" w:type="dxa"/>
                  <w:vAlign w:val="center"/>
                </w:tcPr>
                <w:p w14:paraId="030F6F9A">
                  <w:pPr>
                    <w:pStyle w:val="75"/>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560DFC4">
            <w:pPr>
              <w:autoSpaceDE w:val="0"/>
              <w:autoSpaceDN w:val="0"/>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综上，本项目与玉溪市人民政府《关于印发玉溪市“三线一单”生态环境分区管控实施意见的通知》（玉政发〔2021〕15号）相符合。</w:t>
            </w:r>
          </w:p>
          <w:p w14:paraId="5075567D">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根据《玉溪市生态环境局关于印发玉溪市生态环境分区管控动态更新调整方案（2023年）的通知》（玉市环〔2024〕40号）基本情况如下。</w:t>
            </w:r>
          </w:p>
          <w:p w14:paraId="4083C803">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表1-5-2  项目与玉溪市生态环境分区管控动态更新调整方案（2023年）符合性分析</w:t>
            </w:r>
          </w:p>
          <w:tbl>
            <w:tblPr>
              <w:tblStyle w:val="26"/>
              <w:tblW w:w="8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4248"/>
              <w:gridCol w:w="2699"/>
              <w:gridCol w:w="941"/>
            </w:tblGrid>
            <w:tr w14:paraId="501E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1A9CE353">
                  <w:pPr>
                    <w:snapToGrid w:val="0"/>
                    <w:spacing w:before="72" w:beforeLines="30" w:after="72" w:afterLines="3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4248" w:type="dxa"/>
                  <w:vAlign w:val="center"/>
                </w:tcPr>
                <w:p w14:paraId="0FC99E87">
                  <w:pPr>
                    <w:snapToGrid w:val="0"/>
                    <w:spacing w:before="72" w:beforeLines="30" w:after="72" w:afterLines="3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分析内容</w:t>
                  </w:r>
                </w:p>
              </w:tc>
              <w:tc>
                <w:tcPr>
                  <w:tcW w:w="2699" w:type="dxa"/>
                  <w:vAlign w:val="center"/>
                </w:tcPr>
                <w:p w14:paraId="44D35D6F">
                  <w:pPr>
                    <w:snapToGrid w:val="0"/>
                    <w:spacing w:before="72" w:beforeLines="30" w:after="72" w:afterLines="3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941" w:type="dxa"/>
                  <w:vAlign w:val="center"/>
                </w:tcPr>
                <w:p w14:paraId="7BB45498">
                  <w:pPr>
                    <w:snapToGrid w:val="0"/>
                    <w:spacing w:before="72" w:beforeLines="30" w:after="72" w:afterLines="3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B61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trPr>
              <w:tc>
                <w:tcPr>
                  <w:tcW w:w="734" w:type="dxa"/>
                  <w:vAlign w:val="center"/>
                </w:tcPr>
                <w:p w14:paraId="366E1254">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环境管控单元调整结果</w:t>
                  </w:r>
                </w:p>
              </w:tc>
              <w:tc>
                <w:tcPr>
                  <w:tcW w:w="4248" w:type="dxa"/>
                  <w:vAlign w:val="center"/>
                </w:tcPr>
                <w:p w14:paraId="37C1EF31">
                  <w:pPr>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调整后，全市环境管控单元数量由原有的82个调整至83个。</w:t>
                  </w:r>
                </w:p>
                <w:p w14:paraId="2601FA00">
                  <w:pPr>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优先保护单元：个数不变；面积占比由49、90%调整49、68%，较原有减少0、22%。</w:t>
                  </w:r>
                </w:p>
                <w:p w14:paraId="34E0AB9E">
                  <w:pPr>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重点管控单元：增加1个；面积占比由14、28%调整为9、57%，较原有减少4、71%。</w:t>
                  </w:r>
                </w:p>
                <w:p w14:paraId="2A24892B">
                  <w:pPr>
                    <w:snapToGrid w:val="0"/>
                    <w:spacing w:before="72" w:beforeLines="30" w:after="72" w:afterLines="3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一般管控单元：个数不变；面积占比由35、82%调整40、75%，较原有增加4、93%。</w:t>
                  </w:r>
                </w:p>
              </w:tc>
              <w:tc>
                <w:tcPr>
                  <w:tcW w:w="2699" w:type="dxa"/>
                  <w:vAlign w:val="center"/>
                </w:tcPr>
                <w:p w14:paraId="56AEF602">
                  <w:pPr>
                    <w:snapToGrid w:val="0"/>
                    <w:spacing w:before="72" w:beforeLines="30" w:after="72" w:afterLines="3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本项目位于云南省</w:t>
                  </w:r>
                  <w:r>
                    <w:rPr>
                      <w:rFonts w:hint="default" w:ascii="Times New Roman" w:hAnsi="Times New Roman" w:eastAsia="宋体" w:cs="Times New Roman"/>
                      <w:color w:val="auto"/>
                      <w:sz w:val="21"/>
                      <w:szCs w:val="21"/>
                      <w:lang w:eastAsia="zh-CN"/>
                    </w:rPr>
                    <w:t>玉溪春和街道孙井社区太极山（</w:t>
                  </w:r>
                  <w:r>
                    <w:rPr>
                      <w:rFonts w:hint="default" w:ascii="Times New Roman" w:hAnsi="Times New Roman" w:eastAsia="宋体" w:cs="Times New Roman"/>
                      <w:color w:val="auto"/>
                      <w:sz w:val="21"/>
                      <w:szCs w:val="21"/>
                      <w:lang w:val="en-US" w:eastAsia="zh-CN"/>
                    </w:rPr>
                    <w:t>现</w:t>
                  </w:r>
                  <w:r>
                    <w:rPr>
                      <w:rFonts w:hint="default" w:ascii="Times New Roman" w:hAnsi="Times New Roman" w:eastAsia="宋体" w:cs="Times New Roman"/>
                      <w:color w:val="auto"/>
                      <w:sz w:val="21"/>
                      <w:szCs w:val="21"/>
                      <w:lang w:eastAsia="zh-CN"/>
                    </w:rPr>
                    <w:t>云南新兴仁恒包装材料有限公司内的闲置车间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，分区管控调整后项目位于</w:t>
                  </w:r>
                  <w:r>
                    <w:rPr>
                      <w:rFonts w:hint="default" w:ascii="Times New Roman" w:hAnsi="Times New Roman" w:eastAsia="宋体" w:cs="Times New Roman"/>
                      <w:b w:val="0"/>
                      <w:bCs w:val="0"/>
                      <w:color w:val="auto"/>
                      <w:kern w:val="2"/>
                      <w:sz w:val="21"/>
                      <w:szCs w:val="21"/>
                      <w:lang w:val="en-US" w:eastAsia="zh-CN" w:bidi="ar-SA"/>
                    </w:rPr>
                    <w:t>红塔区城区生活污染源重点管控单元</w:t>
                  </w:r>
                  <w:r>
                    <w:rPr>
                      <w:rFonts w:hint="default" w:ascii="Times New Roman" w:hAnsi="Times New Roman" w:eastAsia="宋体" w:cs="Times New Roman"/>
                      <w:color w:val="auto"/>
                      <w:sz w:val="21"/>
                      <w:szCs w:val="21"/>
                    </w:rPr>
                    <w:t>。</w:t>
                  </w:r>
                </w:p>
              </w:tc>
              <w:tc>
                <w:tcPr>
                  <w:tcW w:w="941" w:type="dxa"/>
                  <w:vAlign w:val="center"/>
                </w:tcPr>
                <w:p w14:paraId="11209E32">
                  <w:pPr>
                    <w:snapToGrid w:val="0"/>
                    <w:spacing w:before="72" w:beforeLines="30" w:after="72" w:afterLines="3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0AD7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2" w:type="dxa"/>
                  <w:gridSpan w:val="4"/>
                  <w:vAlign w:val="center"/>
                </w:tcPr>
                <w:p w14:paraId="597C2654">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kern w:val="2"/>
                      <w:sz w:val="21"/>
                      <w:szCs w:val="21"/>
                      <w:lang w:val="en-US" w:eastAsia="zh-CN" w:bidi="ar-SA"/>
                    </w:rPr>
                    <w:t>红塔区城区生活污染源重点管控单元</w:t>
                  </w:r>
                  <w:r>
                    <w:rPr>
                      <w:rFonts w:hint="default" w:ascii="Times New Roman" w:hAnsi="Times New Roman" w:eastAsia="宋体" w:cs="Times New Roman"/>
                      <w:b/>
                      <w:bCs/>
                      <w:color w:val="auto"/>
                      <w:sz w:val="21"/>
                      <w:szCs w:val="21"/>
                    </w:rPr>
                    <w:t>符合性分析</w:t>
                  </w:r>
                </w:p>
              </w:tc>
            </w:tr>
            <w:tr w14:paraId="5BB2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7EB69845">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248" w:type="dxa"/>
                  <w:vAlign w:val="center"/>
                </w:tcPr>
                <w:p w14:paraId="5C2DE6CA">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1.中心城区及周边严重影响城区环境空气质量的建材、钢铁、化工、有色金属冶炼等重污染企业和危险化学品企业，应与居住、商业等人口密集的地区保持安全距离，限期搬迁改造。</w:t>
                  </w:r>
                </w:p>
                <w:p w14:paraId="115BC60B">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2.禁止在居民住宅楼、未配套设立专用烟道的商住综合楼以及商住综合楼内与居住层相邻的商业楼层内新建、改建、扩建产生油烟、异味、废气的餐饮服务项目。</w:t>
                  </w:r>
                </w:p>
                <w:p w14:paraId="6ECF9999">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3.高污染燃料禁燃区，禁止新建、改建、扩建高污染燃料燃用设施。</w:t>
                  </w:r>
                </w:p>
              </w:tc>
              <w:tc>
                <w:tcPr>
                  <w:tcW w:w="2699" w:type="dxa"/>
                  <w:vAlign w:val="center"/>
                </w:tcPr>
                <w:p w14:paraId="45EC171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1、本项目不属于建材、钢铁、化工、有色金属冶炼等重污染企业和危险化学品企业；</w:t>
                  </w:r>
                </w:p>
                <w:p w14:paraId="3DBD509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2、本项目不属于餐饮服务项目；</w:t>
                  </w:r>
                </w:p>
                <w:p w14:paraId="7F141E0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3、项目使用生物质专用锅炉，且配套多管除尘+布袋除尘高效除尘器，因此项目使用的生物质燃料不属于《高污染燃料目录》（2017年版）规定的第Ⅲ类高污染燃料。</w:t>
                  </w:r>
                </w:p>
              </w:tc>
              <w:tc>
                <w:tcPr>
                  <w:tcW w:w="941" w:type="dxa"/>
                  <w:vAlign w:val="center"/>
                </w:tcPr>
                <w:p w14:paraId="4DA8B19D">
                  <w:pPr>
                    <w:snapToGrid w:val="0"/>
                    <w:spacing w:before="72" w:beforeLines="30" w:after="72" w:afterLines="3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3DB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7140D67C">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4248" w:type="dxa"/>
                  <w:vAlign w:val="center"/>
                </w:tcPr>
                <w:p w14:paraId="34264A00">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1.</w:t>
                  </w:r>
                  <w:r>
                    <w:rPr>
                      <w:rFonts w:hint="default" w:ascii="Times New Roman" w:hAnsi="Times New Roman" w:eastAsia="宋体" w:cs="Times New Roman"/>
                      <w:i w:val="0"/>
                      <w:iCs w:val="0"/>
                      <w:caps w:val="0"/>
                      <w:color w:val="auto"/>
                      <w:spacing w:val="0"/>
                      <w:sz w:val="21"/>
                      <w:szCs w:val="21"/>
                      <w:shd w:val="clear" w:color="auto" w:fill="FFFFFF"/>
                    </w:rPr>
                    <w:t>禁止在人口集中地区、交通干线附近和其他依法需要特殊保护的区域内焚烧沥青、油毡、橡胶、塑料、皮革、秸秆、落叶、垃圾以及其他产生有毒有害烟尘和恶臭气体的物质。</w:t>
                  </w:r>
                </w:p>
                <w:p w14:paraId="0EEA87CD">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2.</w:t>
                  </w:r>
                  <w:r>
                    <w:rPr>
                      <w:rFonts w:hint="default" w:ascii="Times New Roman" w:hAnsi="Times New Roman" w:eastAsia="宋体" w:cs="Times New Roman"/>
                      <w:i w:val="0"/>
                      <w:iCs w:val="0"/>
                      <w:caps w:val="0"/>
                      <w:color w:val="auto"/>
                      <w:spacing w:val="0"/>
                      <w:sz w:val="21"/>
                      <w:szCs w:val="21"/>
                      <w:shd w:val="clear" w:color="auto" w:fill="FFFFFF"/>
                    </w:rPr>
                    <w:t>现有城市建成区及周边严重影响城区环境空气质量的建材、钢铁、化工、有色金属冶炼等重污染企业和危险化学品企业应限期搬迁改造。</w:t>
                  </w:r>
                </w:p>
                <w:p w14:paraId="5A8C78F6">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3.城市新建及改造区域严格实行雨污分流，完善城区污水管网，建设海绵城市，加快扩建第二污水处理厂。现有城镇污水处理设施确保稳定达到《城镇污水处理厂污染物排放标准》（GB18918－2002）一级标准的A标准。</w:t>
                  </w:r>
                </w:p>
                <w:p w14:paraId="532CDEC5">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4.严禁洗车污水、餐饮泔水、施工泥浆等通过雨水口进入管网后直排入河。</w:t>
                  </w:r>
                </w:p>
                <w:p w14:paraId="04D52118">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5.推进四库三河环境综合整治。</w:t>
                  </w:r>
                </w:p>
                <w:p w14:paraId="7BE80010">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6.优化能源消费结构，远期城镇燃气气化率达到90%以上，农村燃气气化率达到60%以上。</w:t>
                  </w:r>
                </w:p>
                <w:p w14:paraId="50496625">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7.全面推行建筑工地扬尘污染防治网格化管理，严格渣土运输车辆规范化管理，严格执行餐饮业油烟排放标准。</w:t>
                  </w:r>
                </w:p>
                <w:p w14:paraId="4D968684">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8.建立现代化城市垃圾处理系统，至2025年城镇生活垃圾回收利用率达到40%，2035年城镇生活垃圾回收利用率达到60%，生活垃圾无害化处理率提高到100%。</w:t>
                  </w:r>
                </w:p>
              </w:tc>
              <w:tc>
                <w:tcPr>
                  <w:tcW w:w="2699" w:type="dxa"/>
                  <w:vAlign w:val="center"/>
                </w:tcPr>
                <w:p w14:paraId="44BA9D2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i w:val="0"/>
                      <w:iCs w:val="0"/>
                      <w:caps w:val="0"/>
                      <w:color w:val="auto"/>
                      <w:spacing w:val="0"/>
                      <w:sz w:val="21"/>
                      <w:szCs w:val="21"/>
                      <w:shd w:val="clear" w:color="auto" w:fill="FFFFFF"/>
                      <w:lang w:eastAsia="zh-CN"/>
                    </w:rPr>
                  </w:pPr>
                  <w:r>
                    <w:rPr>
                      <w:rFonts w:hint="default" w:ascii="Times New Roman" w:hAnsi="Times New Roman" w:eastAsia="宋体" w:cs="Times New Roman"/>
                      <w:color w:val="auto"/>
                      <w:sz w:val="21"/>
                      <w:szCs w:val="21"/>
                      <w:lang w:val="en-US" w:eastAsia="zh-CN"/>
                    </w:rPr>
                    <w:t>1、本项目不在</w:t>
                  </w:r>
                  <w:r>
                    <w:rPr>
                      <w:rFonts w:hint="default" w:ascii="Times New Roman" w:hAnsi="Times New Roman" w:eastAsia="宋体" w:cs="Times New Roman"/>
                      <w:i w:val="0"/>
                      <w:iCs w:val="0"/>
                      <w:caps w:val="0"/>
                      <w:color w:val="auto"/>
                      <w:spacing w:val="0"/>
                      <w:sz w:val="21"/>
                      <w:szCs w:val="21"/>
                      <w:shd w:val="clear" w:color="auto" w:fill="FFFFFF"/>
                    </w:rPr>
                    <w:t>人口集中地区、交通干线附近和其他依法需要特殊保护的区域内</w:t>
                  </w:r>
                  <w:r>
                    <w:rPr>
                      <w:rFonts w:hint="default"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lang w:val="en-US" w:eastAsia="zh-CN"/>
                    </w:rPr>
                    <w:t>不排放</w:t>
                  </w:r>
                  <w:r>
                    <w:rPr>
                      <w:rFonts w:hint="default" w:ascii="Times New Roman" w:hAnsi="Times New Roman" w:eastAsia="宋体" w:cs="Times New Roman"/>
                      <w:i w:val="0"/>
                      <w:iCs w:val="0"/>
                      <w:caps w:val="0"/>
                      <w:color w:val="auto"/>
                      <w:spacing w:val="0"/>
                      <w:sz w:val="21"/>
                      <w:szCs w:val="21"/>
                      <w:shd w:val="clear" w:color="auto" w:fill="FFFFFF"/>
                    </w:rPr>
                    <w:t>有毒有害烟尘和恶臭气体的物质</w:t>
                  </w:r>
                  <w:r>
                    <w:rPr>
                      <w:rFonts w:hint="default" w:ascii="Times New Roman" w:hAnsi="Times New Roman" w:eastAsia="宋体" w:cs="Times New Roman"/>
                      <w:i w:val="0"/>
                      <w:iCs w:val="0"/>
                      <w:caps w:val="0"/>
                      <w:color w:val="auto"/>
                      <w:spacing w:val="0"/>
                      <w:sz w:val="21"/>
                      <w:szCs w:val="21"/>
                      <w:shd w:val="clear" w:color="auto" w:fill="FFFFFF"/>
                      <w:lang w:eastAsia="zh-CN"/>
                    </w:rPr>
                    <w:t>；</w:t>
                  </w:r>
                </w:p>
                <w:p w14:paraId="46726B1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2、</w:t>
                  </w:r>
                  <w:r>
                    <w:rPr>
                      <w:rFonts w:hint="default" w:ascii="Times New Roman" w:hAnsi="Times New Roman" w:eastAsia="宋体" w:cs="Times New Roman"/>
                      <w:color w:val="auto"/>
                      <w:sz w:val="21"/>
                      <w:szCs w:val="21"/>
                      <w:lang w:val="en-US" w:eastAsia="zh-CN"/>
                    </w:rPr>
                    <w:t>项目不属于建材、钢铁、化工、有色金属冶炼等重污染企业和危险化学品企业；</w:t>
                  </w:r>
                </w:p>
                <w:p w14:paraId="479CEAF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3、本项目不涉及；</w:t>
                  </w:r>
                </w:p>
                <w:p w14:paraId="7563EF65">
                  <w:pPr>
                    <w:pStyle w:val="2"/>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4、本项目废水不外排；</w:t>
                  </w:r>
                </w:p>
                <w:p w14:paraId="535EC8F0">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5、本项目不涉及</w:t>
                  </w:r>
                  <w:r>
                    <w:rPr>
                      <w:rFonts w:hint="default" w:ascii="Times New Roman" w:hAnsi="Times New Roman" w:eastAsia="宋体" w:cs="Times New Roman"/>
                      <w:i w:val="0"/>
                      <w:iCs w:val="0"/>
                      <w:caps w:val="0"/>
                      <w:color w:val="auto"/>
                      <w:spacing w:val="0"/>
                      <w:sz w:val="21"/>
                      <w:szCs w:val="21"/>
                      <w:shd w:val="clear" w:color="auto" w:fill="FFFFFF"/>
                      <w:lang w:val="en-US" w:eastAsia="zh-CN"/>
                    </w:rPr>
                    <w:t>四库三河环境综合整治</w:t>
                  </w:r>
                  <w:r>
                    <w:rPr>
                      <w:rFonts w:hint="default" w:ascii="Times New Roman" w:hAnsi="Times New Roman" w:eastAsia="宋体" w:cs="Times New Roman"/>
                      <w:color w:val="auto"/>
                      <w:sz w:val="21"/>
                      <w:szCs w:val="21"/>
                      <w:lang w:val="en-US" w:eastAsia="zh-CN"/>
                    </w:rPr>
                    <w:t>；</w:t>
                  </w:r>
                </w:p>
                <w:p w14:paraId="346D935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6、本项目不涉及；</w:t>
                  </w:r>
                </w:p>
                <w:p w14:paraId="29B547C1">
                  <w:pPr>
                    <w:pStyle w:val="2"/>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7、项目施工期建筑工地进行扬尘污染防治，渣土运输车辆进行严格规范化管理。项目不设置食堂；</w:t>
                  </w:r>
                </w:p>
                <w:p w14:paraId="2328DE83">
                  <w:pPr>
                    <w:pStyle w:val="2"/>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8、项目</w:t>
                  </w:r>
                  <w:r>
                    <w:rPr>
                      <w:rFonts w:hint="default" w:ascii="Times New Roman" w:hAnsi="Times New Roman" w:eastAsia="宋体" w:cs="Times New Roman"/>
                      <w:color w:val="auto"/>
                      <w:sz w:val="21"/>
                      <w:szCs w:val="21"/>
                    </w:rPr>
                    <w:t>生活垃圾统一收集后放至指定地点，</w:t>
                  </w:r>
                  <w:r>
                    <w:rPr>
                      <w:rFonts w:hint="default" w:ascii="Times New Roman" w:hAnsi="Times New Roman" w:eastAsia="宋体" w:cs="Times New Roman"/>
                      <w:color w:val="auto"/>
                      <w:sz w:val="21"/>
                      <w:szCs w:val="21"/>
                      <w:lang w:val="en-US" w:eastAsia="zh-CN"/>
                    </w:rPr>
                    <w:t>委托</w:t>
                  </w:r>
                  <w:r>
                    <w:rPr>
                      <w:rFonts w:hint="default" w:ascii="Times New Roman" w:hAnsi="Times New Roman" w:eastAsia="宋体" w:cs="Times New Roman"/>
                      <w:color w:val="auto"/>
                      <w:sz w:val="21"/>
                      <w:szCs w:val="21"/>
                    </w:rPr>
                    <w:t>环卫部门清运处置</w:t>
                  </w:r>
                  <w:r>
                    <w:rPr>
                      <w:rFonts w:hint="default" w:ascii="Times New Roman" w:hAnsi="Times New Roman" w:eastAsia="宋体" w:cs="Times New Roman"/>
                      <w:color w:val="auto"/>
                      <w:sz w:val="21"/>
                      <w:szCs w:val="21"/>
                      <w:lang w:val="en-US" w:eastAsia="zh-CN"/>
                    </w:rPr>
                    <w:t>，处置率100%。</w:t>
                  </w:r>
                </w:p>
              </w:tc>
              <w:tc>
                <w:tcPr>
                  <w:tcW w:w="941" w:type="dxa"/>
                  <w:vAlign w:val="center"/>
                </w:tcPr>
                <w:p w14:paraId="069DEEB9">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7D2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52F38382">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4248" w:type="dxa"/>
                  <w:vAlign w:val="center"/>
                </w:tcPr>
                <w:p w14:paraId="4C12339B">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i w:val="0"/>
                      <w:iCs w:val="0"/>
                      <w:caps w:val="0"/>
                      <w:color w:val="auto"/>
                      <w:spacing w:val="0"/>
                      <w:sz w:val="21"/>
                      <w:szCs w:val="21"/>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1.</w:t>
                  </w:r>
                  <w:r>
                    <w:rPr>
                      <w:rFonts w:hint="default" w:ascii="Times New Roman" w:hAnsi="Times New Roman" w:eastAsia="宋体" w:cs="Times New Roman"/>
                      <w:i w:val="0"/>
                      <w:iCs w:val="0"/>
                      <w:caps w:val="0"/>
                      <w:color w:val="auto"/>
                      <w:spacing w:val="0"/>
                      <w:sz w:val="21"/>
                      <w:szCs w:val="21"/>
                      <w:shd w:val="clear" w:color="auto" w:fill="FFFFFF"/>
                    </w:rPr>
                    <w:t>禁止建设排放“三致物”、剧毒物质污染物的项目，严格控制持久性有机污染物的项目。</w:t>
                  </w:r>
                </w:p>
                <w:p w14:paraId="1562789F">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2.</w:t>
                  </w:r>
                  <w:r>
                    <w:rPr>
                      <w:rFonts w:hint="default" w:ascii="Times New Roman" w:hAnsi="Times New Roman" w:eastAsia="宋体" w:cs="Times New Roman"/>
                      <w:i w:val="0"/>
                      <w:iCs w:val="0"/>
                      <w:caps w:val="0"/>
                      <w:color w:val="auto"/>
                      <w:spacing w:val="0"/>
                      <w:sz w:val="21"/>
                      <w:szCs w:val="21"/>
                      <w:shd w:val="clear" w:color="auto" w:fill="FFFFFF"/>
                    </w:rPr>
                    <w:t>居民点与</w:t>
                  </w:r>
                  <w:r>
                    <w:rPr>
                      <w:rFonts w:hint="default" w:ascii="Times New Roman" w:hAnsi="Times New Roman" w:eastAsia="宋体" w:cs="Times New Roman"/>
                      <w:i w:val="0"/>
                      <w:iCs w:val="0"/>
                      <w:caps w:val="0"/>
                      <w:color w:val="auto"/>
                      <w:spacing w:val="0"/>
                      <w:sz w:val="21"/>
                      <w:szCs w:val="21"/>
                      <w:shd w:val="clear" w:color="auto" w:fill="FFFFFF"/>
                      <w:lang w:val="en-US" w:eastAsia="zh-CN"/>
                    </w:rPr>
                    <w:t>产</w:t>
                  </w:r>
                  <w:r>
                    <w:rPr>
                      <w:rFonts w:hint="default" w:ascii="Times New Roman" w:hAnsi="Times New Roman" w:eastAsia="宋体" w:cs="Times New Roman"/>
                      <w:i w:val="0"/>
                      <w:iCs w:val="0"/>
                      <w:caps w:val="0"/>
                      <w:color w:val="auto"/>
                      <w:spacing w:val="0"/>
                      <w:sz w:val="21"/>
                      <w:szCs w:val="21"/>
                      <w:shd w:val="clear" w:color="auto" w:fill="FFFFFF"/>
                    </w:rPr>
                    <w:t>业</w:t>
                  </w:r>
                  <w:r>
                    <w:rPr>
                      <w:rFonts w:hint="default" w:ascii="Times New Roman" w:hAnsi="Times New Roman" w:eastAsia="宋体" w:cs="Times New Roman"/>
                      <w:i w:val="0"/>
                      <w:iCs w:val="0"/>
                      <w:caps w:val="0"/>
                      <w:color w:val="auto"/>
                      <w:spacing w:val="0"/>
                      <w:sz w:val="21"/>
                      <w:szCs w:val="21"/>
                      <w:shd w:val="clear" w:color="auto" w:fill="FFFFFF"/>
                      <w:lang w:val="en-US" w:eastAsia="zh-CN"/>
                    </w:rPr>
                    <w:t>园区</w:t>
                  </w:r>
                  <w:r>
                    <w:rPr>
                      <w:rFonts w:hint="default" w:ascii="Times New Roman" w:hAnsi="Times New Roman" w:eastAsia="宋体" w:cs="Times New Roman"/>
                      <w:i w:val="0"/>
                      <w:iCs w:val="0"/>
                      <w:caps w:val="0"/>
                      <w:color w:val="auto"/>
                      <w:spacing w:val="0"/>
                      <w:sz w:val="21"/>
                      <w:szCs w:val="21"/>
                      <w:shd w:val="clear" w:color="auto" w:fill="FFFFFF"/>
                    </w:rPr>
                    <w:t>各片区之间应保留足够的安全防护距离。</w:t>
                  </w:r>
                </w:p>
              </w:tc>
              <w:tc>
                <w:tcPr>
                  <w:tcW w:w="2699" w:type="dxa"/>
                  <w:vAlign w:val="center"/>
                </w:tcPr>
                <w:p w14:paraId="6164560A">
                  <w:pPr>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1、本项目不涉及排放“三致物”、剧毒物质污染物；</w:t>
                  </w:r>
                </w:p>
                <w:p w14:paraId="793A2E6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2、本项目不位于产业园区内；企业正在进行安全“三同时”评价，安全防护距离以安评结果为准。</w:t>
                  </w:r>
                </w:p>
              </w:tc>
              <w:tc>
                <w:tcPr>
                  <w:tcW w:w="941" w:type="dxa"/>
                  <w:vAlign w:val="center"/>
                </w:tcPr>
                <w:p w14:paraId="24B9D2A1">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B5F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22C31F2E">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4248" w:type="dxa"/>
                  <w:vAlign w:val="center"/>
                </w:tcPr>
                <w:p w14:paraId="7798ACE3">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1.完善城市供水干线。</w:t>
                  </w:r>
                </w:p>
                <w:p w14:paraId="62C94495">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2.完善再生利用设施及其管道，污水处理厂处理达标后出水优先回用于城市绿化，中心城区再生水利用率达20%。</w:t>
                  </w:r>
                </w:p>
                <w:p w14:paraId="4061E6DD">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3.高污染燃料禁燃区按照《玉溪市红塔区人民政府关于划定红塔区高污染燃料禁燃区的通告》执行，逐步将高污染燃料禁燃区扩大到城区近郊。</w:t>
                  </w:r>
                </w:p>
                <w:p w14:paraId="22004E61">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color="auto" w:fill="FFFFFF"/>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4.推进“煤改气”、“煤改电”。</w:t>
                  </w:r>
                </w:p>
                <w:p w14:paraId="4222E561">
                  <w:pPr>
                    <w:pStyle w:val="21"/>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color="auto" w:fill="FFFFFF"/>
                      <w:lang w:val="en-US" w:eastAsia="zh-CN"/>
                    </w:rPr>
                    <w:t>5.提高土地节约集约利用水平。</w:t>
                  </w:r>
                </w:p>
              </w:tc>
              <w:tc>
                <w:tcPr>
                  <w:tcW w:w="2699" w:type="dxa"/>
                  <w:vAlign w:val="center"/>
                </w:tcPr>
                <w:p w14:paraId="6B002A5E">
                  <w:pPr>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1、本项目供水由周边自来水供水管网供给；</w:t>
                  </w:r>
                </w:p>
                <w:p w14:paraId="00E90AA2">
                  <w:pPr>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生产废水为制胶、糊胶设备清洗废水锅炉软水制备产生的废水、锅炉排污水、车间清洁废水；制胶、糊胶设备清洗废水暂存于清洗桶内，回用于制胶；锅炉软水制备产生的废水、锅炉排污水进入依托云南新兴仁恒包装材料有限公司40m³/d的生活污水处理设施处理达标后回用于绿化及厂区洒水降尘；本项目不新增劳动定员，不新增生活污水，生活污水依托云南新兴仁恒包装材料有限公司40m³/d的生活污水处理设施处理达标后回用于绿化及厂区洒水降尘；</w:t>
                  </w:r>
                </w:p>
                <w:p w14:paraId="2A6F2E05">
                  <w:pPr>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3、项目使用生物质专用锅炉，且配套多管除尘+布袋除尘高效除尘器，因此项目使用的生物质燃料不属于《高污染燃料目录》（2017年版）规定的第Ⅲ类高污染燃料；</w:t>
                  </w:r>
                </w:p>
                <w:p w14:paraId="5BCA9507">
                  <w:pPr>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4、本项目不使用煤；</w:t>
                  </w:r>
                </w:p>
                <w:p w14:paraId="464EC93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5、本项目租用现有厂房，不新征用地。</w:t>
                  </w:r>
                </w:p>
              </w:tc>
              <w:tc>
                <w:tcPr>
                  <w:tcW w:w="941" w:type="dxa"/>
                  <w:vAlign w:val="center"/>
                </w:tcPr>
                <w:p w14:paraId="47881A23">
                  <w:pPr>
                    <w:snapToGrid w:val="0"/>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0DF0A8BF">
            <w:pPr>
              <w:pStyle w:val="66"/>
              <w:keepNext w:val="0"/>
              <w:keepLines w:val="0"/>
              <w:pageBreakBefore w:val="0"/>
              <w:widowControl w:val="0"/>
              <w:kinsoku/>
              <w:wordWrap/>
              <w:overflowPunct/>
              <w:topLinePunct w:val="0"/>
              <w:bidi w:val="0"/>
              <w:adjustRightInd/>
              <w:snapToGrid w:val="0"/>
              <w:spacing w:before="0" w:line="360" w:lineRule="auto"/>
              <w:ind w:firstLine="422"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bCs/>
                <w:color w:val="auto"/>
                <w:sz w:val="21"/>
                <w:szCs w:val="21"/>
                <w:u w:val="none"/>
                <w:lang w:val="en-US" w:eastAsia="zh-CN"/>
              </w:rPr>
              <w:t>5</w:t>
            </w:r>
            <w:r>
              <w:rPr>
                <w:rFonts w:hint="default" w:ascii="Times New Roman" w:hAnsi="Times New Roman" w:eastAsia="宋体" w:cs="Times New Roman"/>
                <w:b/>
                <w:bCs/>
                <w:color w:val="auto"/>
                <w:sz w:val="21"/>
                <w:szCs w:val="21"/>
                <w:u w:val="none"/>
              </w:rPr>
              <w:t>、与《中华人民共和国大气污染防治法》符合性分析</w:t>
            </w:r>
          </w:p>
          <w:p w14:paraId="0C7B38AF">
            <w:pPr>
              <w:pStyle w:val="81"/>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项目与《中华人民共和国大气污染防治法》符合性分析见下表</w:t>
            </w:r>
          </w:p>
          <w:p w14:paraId="40FCD06A">
            <w:pPr>
              <w:pStyle w:val="81"/>
              <w:autoSpaceDE w:val="0"/>
              <w:autoSpaceDN w:val="0"/>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bCs/>
                <w:color w:val="auto"/>
                <w:sz w:val="21"/>
                <w:szCs w:val="21"/>
                <w:u w:val="none"/>
              </w:rPr>
              <w:t>表1-</w:t>
            </w:r>
            <w:r>
              <w:rPr>
                <w:rFonts w:hint="default" w:ascii="Times New Roman" w:hAnsi="Times New Roman" w:eastAsia="宋体"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rPr>
              <w:tab/>
            </w:r>
            <w:r>
              <w:rPr>
                <w:rFonts w:hint="default" w:ascii="Times New Roman" w:hAnsi="Times New Roman" w:eastAsia="宋体" w:cs="Times New Roman"/>
                <w:b/>
                <w:bCs/>
                <w:color w:val="auto"/>
                <w:sz w:val="21"/>
                <w:szCs w:val="21"/>
                <w:u w:val="none"/>
              </w:rPr>
              <w:t>与《中华人民共和国大气污染防治法》符合性分析一览表</w:t>
            </w:r>
          </w:p>
          <w:tbl>
            <w:tblPr>
              <w:tblStyle w:val="25"/>
              <w:tblW w:w="866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3530"/>
              <w:gridCol w:w="4172"/>
              <w:gridCol w:w="966"/>
            </w:tblGrid>
            <w:tr w14:paraId="424AD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2036" w:type="pct"/>
                  <w:noWrap w:val="0"/>
                  <w:vAlign w:val="center"/>
                </w:tcPr>
                <w:p w14:paraId="35AD9A48">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防治法要求</w:t>
                  </w:r>
                </w:p>
              </w:tc>
              <w:tc>
                <w:tcPr>
                  <w:tcW w:w="2406" w:type="pct"/>
                  <w:noWrap w:val="0"/>
                  <w:vAlign w:val="center"/>
                </w:tcPr>
                <w:p w14:paraId="17DA855F">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本项目</w:t>
                  </w:r>
                </w:p>
              </w:tc>
              <w:tc>
                <w:tcPr>
                  <w:tcW w:w="557" w:type="pct"/>
                  <w:noWrap w:val="0"/>
                  <w:vAlign w:val="center"/>
                </w:tcPr>
                <w:p w14:paraId="553C219A">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符合性</w:t>
                  </w:r>
                </w:p>
              </w:tc>
            </w:tr>
            <w:tr w14:paraId="01412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5000" w:type="pct"/>
                  <w:gridSpan w:val="3"/>
                  <w:noWrap w:val="0"/>
                  <w:vAlign w:val="center"/>
                </w:tcPr>
                <w:p w14:paraId="57B9274B">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总则</w:t>
                  </w:r>
                </w:p>
              </w:tc>
            </w:tr>
            <w:tr w14:paraId="799EC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46035BEE">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企业事业单位和其他生产经营者应当采取有效措施，防止、减少大气污染，对所造成的损害依法承担责任。</w:t>
                  </w:r>
                </w:p>
              </w:tc>
              <w:tc>
                <w:tcPr>
                  <w:tcW w:w="2406" w:type="pct"/>
                  <w:noWrap w:val="0"/>
                  <w:vAlign w:val="center"/>
                </w:tcPr>
                <w:p w14:paraId="672DAF6E">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项目锅炉废气经</w:t>
                  </w:r>
                  <w:r>
                    <w:rPr>
                      <w:rFonts w:hint="default" w:ascii="Times New Roman" w:hAnsi="Times New Roman" w:eastAsia="宋体" w:cs="Times New Roman"/>
                      <w:b w:val="0"/>
                      <w:bCs/>
                      <w:color w:val="auto"/>
                      <w:sz w:val="21"/>
                      <w:szCs w:val="21"/>
                      <w:lang w:val="en-US" w:eastAsia="zh-CN"/>
                    </w:rPr>
                    <w:t>多管除尘+布袋除尘器</w:t>
                  </w:r>
                  <w:r>
                    <w:rPr>
                      <w:rFonts w:hint="default" w:ascii="Times New Roman" w:hAnsi="Times New Roman" w:eastAsia="宋体" w:cs="Times New Roman"/>
                      <w:b w:val="0"/>
                      <w:bCs w:val="0"/>
                      <w:color w:val="auto"/>
                      <w:sz w:val="21"/>
                      <w:szCs w:val="21"/>
                      <w:u w:val="none"/>
                      <w:lang w:val="en-US" w:eastAsia="zh-CN"/>
                    </w:rPr>
                    <w:t>治理后，通过</w:t>
                  </w:r>
                  <w:r>
                    <w:rPr>
                      <w:rFonts w:hint="default" w:ascii="Times New Roman" w:hAnsi="Times New Roman" w:eastAsia="宋体" w:cs="Times New Roman"/>
                      <w:b w:val="0"/>
                      <w:bCs w:val="0"/>
                      <w:color w:val="auto"/>
                      <w:sz w:val="21"/>
                      <w:szCs w:val="21"/>
                      <w:u w:val="none"/>
                    </w:rPr>
                    <w:t>1根</w:t>
                  </w:r>
                  <w:r>
                    <w:rPr>
                      <w:rFonts w:hint="default" w:ascii="Times New Roman" w:hAnsi="Times New Roman" w:eastAsia="宋体" w:cs="Times New Roman"/>
                      <w:b w:val="0"/>
                      <w:bCs w:val="0"/>
                      <w:color w:val="auto"/>
                      <w:sz w:val="21"/>
                      <w:szCs w:val="21"/>
                      <w:u w:val="none"/>
                      <w:lang w:val="en-US" w:eastAsia="zh-CN"/>
                    </w:rPr>
                    <w:t>35</w:t>
                  </w:r>
                  <w:r>
                    <w:rPr>
                      <w:rFonts w:hint="default" w:ascii="Times New Roman" w:hAnsi="Times New Roman" w:eastAsia="宋体" w:cs="Times New Roman"/>
                      <w:b w:val="0"/>
                      <w:bCs w:val="0"/>
                      <w:color w:val="auto"/>
                      <w:sz w:val="21"/>
                      <w:szCs w:val="21"/>
                      <w:u w:val="none"/>
                    </w:rPr>
                    <w:t>m高排气筒排放，能够达到《锅炉大气污染物排放标准》（GB13271-2014）中</w:t>
                  </w:r>
                  <w:r>
                    <w:rPr>
                      <w:rFonts w:hint="default" w:ascii="Times New Roman" w:hAnsi="Times New Roman" w:eastAsia="宋体" w:cs="Times New Roman"/>
                      <w:b w:val="0"/>
                      <w:bCs w:val="0"/>
                      <w:color w:val="auto"/>
                      <w:sz w:val="21"/>
                      <w:szCs w:val="21"/>
                      <w:u w:val="none"/>
                      <w:lang w:eastAsia="zh-CN"/>
                    </w:rPr>
                    <w:t>新建燃煤锅炉大气污染物排放限值</w:t>
                  </w:r>
                  <w:r>
                    <w:rPr>
                      <w:rFonts w:hint="default" w:ascii="Times New Roman" w:hAnsi="Times New Roman" w:eastAsia="宋体" w:cs="Times New Roman"/>
                      <w:b w:val="0"/>
                      <w:bCs w:val="0"/>
                      <w:color w:val="auto"/>
                      <w:sz w:val="21"/>
                      <w:szCs w:val="21"/>
                      <w:u w:val="none"/>
                    </w:rPr>
                    <w:t>。项目运营期废气均能够实现达标排放，不会改变区域环境空气质量功能。</w:t>
                  </w:r>
                </w:p>
              </w:tc>
              <w:tc>
                <w:tcPr>
                  <w:tcW w:w="557" w:type="pct"/>
                  <w:noWrap w:val="0"/>
                  <w:vAlign w:val="center"/>
                </w:tcPr>
                <w:p w14:paraId="657F035B">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4393C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5000" w:type="pct"/>
                  <w:gridSpan w:val="3"/>
                  <w:noWrap w:val="0"/>
                  <w:vAlign w:val="center"/>
                </w:tcPr>
                <w:p w14:paraId="17A623C1">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大气污染防治的监督管理</w:t>
                  </w:r>
                </w:p>
              </w:tc>
            </w:tr>
            <w:tr w14:paraId="6094E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11699CD3">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406" w:type="pct"/>
                  <w:noWrap w:val="0"/>
                  <w:vAlign w:val="center"/>
                </w:tcPr>
                <w:p w14:paraId="016D132E">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根据《建设项目环境影响评价分类管理名录（2021年版）》，本项目应编制环境影响评价报告表，本项目依法进行环境影响评价、公开环境影响评价文件。锅炉废气经1根</w:t>
                  </w:r>
                  <w:r>
                    <w:rPr>
                      <w:rFonts w:hint="default" w:ascii="Times New Roman" w:hAnsi="Times New Roman" w:eastAsia="宋体" w:cs="Times New Roman"/>
                      <w:b w:val="0"/>
                      <w:bCs w:val="0"/>
                      <w:color w:val="auto"/>
                      <w:sz w:val="21"/>
                      <w:szCs w:val="21"/>
                      <w:u w:val="none"/>
                      <w:lang w:val="en-US" w:eastAsia="zh-CN"/>
                    </w:rPr>
                    <w:t>35</w:t>
                  </w:r>
                  <w:r>
                    <w:rPr>
                      <w:rFonts w:hint="default" w:ascii="Times New Roman" w:hAnsi="Times New Roman" w:eastAsia="宋体" w:cs="Times New Roman"/>
                      <w:b w:val="0"/>
                      <w:bCs w:val="0"/>
                      <w:color w:val="auto"/>
                      <w:sz w:val="21"/>
                      <w:szCs w:val="21"/>
                      <w:u w:val="none"/>
                    </w:rPr>
                    <w:t>m高排气筒排放。能够达到《锅炉大气污染物排放标准》（GB13271-2014）中</w:t>
                  </w:r>
                  <w:r>
                    <w:rPr>
                      <w:rFonts w:hint="default" w:ascii="Times New Roman" w:hAnsi="Times New Roman" w:eastAsia="宋体" w:cs="Times New Roman"/>
                      <w:b w:val="0"/>
                      <w:bCs w:val="0"/>
                      <w:color w:val="auto"/>
                      <w:sz w:val="21"/>
                      <w:szCs w:val="21"/>
                      <w:u w:val="none"/>
                      <w:lang w:eastAsia="zh-CN"/>
                    </w:rPr>
                    <w:t>新建燃煤锅炉大气污染物排放限值</w:t>
                  </w:r>
                  <w:r>
                    <w:rPr>
                      <w:rFonts w:hint="default" w:ascii="Times New Roman" w:hAnsi="Times New Roman" w:eastAsia="宋体" w:cs="Times New Roman"/>
                      <w:b w:val="0"/>
                      <w:bCs w:val="0"/>
                      <w:color w:val="auto"/>
                      <w:sz w:val="21"/>
                      <w:szCs w:val="21"/>
                      <w:u w:val="none"/>
                    </w:rPr>
                    <w:t>，遵守重点大气污染物排放总量控制要求。</w:t>
                  </w:r>
                </w:p>
              </w:tc>
              <w:tc>
                <w:tcPr>
                  <w:tcW w:w="557" w:type="pct"/>
                  <w:noWrap w:val="0"/>
                  <w:vAlign w:val="center"/>
                </w:tcPr>
                <w:p w14:paraId="6AD6FFE2">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636B1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725E07E8">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排放工业废气或者本法第七十八条规定名录中所列有毒有害大气污染物的企业事业单位、集中供热设施的燃煤热源生产运营单位以及其他依法实行排污许可管理的单位，应当取得排污许可证。</w:t>
                  </w:r>
                </w:p>
              </w:tc>
              <w:tc>
                <w:tcPr>
                  <w:tcW w:w="2406" w:type="pct"/>
                  <w:noWrap w:val="0"/>
                  <w:vAlign w:val="center"/>
                </w:tcPr>
                <w:p w14:paraId="3519DC9B">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lang w:val="en-US" w:eastAsia="zh-CN"/>
                    </w:rPr>
                    <w:t>原有项目已取得《全国排污许可证》，编号：</w:t>
                  </w:r>
                  <w:r>
                    <w:rPr>
                      <w:rFonts w:hint="default" w:ascii="Times New Roman" w:hAnsi="Times New Roman" w:eastAsia="宋体" w:cs="Times New Roman"/>
                      <w:color w:val="auto"/>
                      <w:sz w:val="21"/>
                      <w:szCs w:val="21"/>
                    </w:rPr>
                    <w:t>91530402760430724N001P</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有效期：</w:t>
                  </w:r>
                  <w:r>
                    <w:rPr>
                      <w:rFonts w:hint="default" w:ascii="Times New Roman" w:hAnsi="Times New Roman" w:eastAsia="宋体" w:cs="Times New Roman"/>
                      <w:color w:val="auto"/>
                      <w:sz w:val="21"/>
                      <w:szCs w:val="21"/>
                    </w:rPr>
                    <w:t>2025</w:t>
                  </w:r>
                  <w:r>
                    <w:rPr>
                      <w:rFonts w:hint="default" w:ascii="Times New Roman" w:hAns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rPr>
                    <w:t>07</w:t>
                  </w:r>
                  <w:r>
                    <w:rPr>
                      <w:rFonts w:hint="default" w:ascii="Times New Roman" w:hAnsi="Times New Roman" w:eastAsia="宋体" w:cs="Times New Roman"/>
                      <w:color w:val="auto"/>
                      <w:sz w:val="21"/>
                      <w:szCs w:val="21"/>
                      <w:lang w:val="en-US" w:eastAsia="zh-CN"/>
                    </w:rPr>
                    <w:t>月</w:t>
                  </w:r>
                  <w:r>
                    <w:rPr>
                      <w:rFonts w:hint="default" w:ascii="Times New Roman" w:hAnsi="Times New Roman" w:eastAsia="宋体" w:cs="Times New Roman"/>
                      <w:color w:val="auto"/>
                      <w:sz w:val="21"/>
                      <w:szCs w:val="21"/>
                    </w:rPr>
                    <w:t>22</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至2030</w:t>
                  </w:r>
                  <w:r>
                    <w:rPr>
                      <w:rFonts w:hint="default" w:ascii="Times New Roman" w:hAns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rPr>
                    <w:t>07</w:t>
                  </w:r>
                  <w:r>
                    <w:rPr>
                      <w:rFonts w:hint="default" w:ascii="Times New Roman" w:hAnsi="Times New Roman" w:eastAsia="宋体" w:cs="Times New Roman"/>
                      <w:color w:val="auto"/>
                      <w:sz w:val="21"/>
                      <w:szCs w:val="21"/>
                      <w:lang w:val="en-US" w:eastAsia="zh-CN"/>
                    </w:rPr>
                    <w:t>月</w:t>
                  </w:r>
                  <w:r>
                    <w:rPr>
                      <w:rFonts w:hint="default" w:ascii="Times New Roman" w:hAnsi="Times New Roman" w:eastAsia="宋体" w:cs="Times New Roman"/>
                      <w:color w:val="auto"/>
                      <w:sz w:val="21"/>
                      <w:szCs w:val="21"/>
                    </w:rPr>
                    <w:t>21</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lang w:val="en-US" w:eastAsia="zh-CN"/>
                    </w:rPr>
                    <w:t>；本项目生物质专用锅炉的废气不含有</w:t>
                  </w:r>
                  <w:r>
                    <w:rPr>
                      <w:rFonts w:hint="default" w:ascii="Times New Roman" w:hAnsi="Times New Roman" w:eastAsia="宋体" w:cs="Times New Roman"/>
                      <w:b w:val="0"/>
                      <w:bCs w:val="0"/>
                      <w:color w:val="auto"/>
                      <w:sz w:val="21"/>
                      <w:szCs w:val="21"/>
                      <w:u w:val="none"/>
                    </w:rPr>
                    <w:t>有毒有害大气污染物</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本项目获得批复后，应依法像玉溪市生态环境局重新申请《全国排污许可证》</w:t>
                  </w:r>
                  <w:r>
                    <w:rPr>
                      <w:rFonts w:hint="default" w:ascii="Times New Roman" w:hAnsi="Times New Roman" w:eastAsia="宋体" w:cs="Times New Roman"/>
                      <w:b w:val="0"/>
                      <w:bCs w:val="0"/>
                      <w:color w:val="auto"/>
                      <w:sz w:val="21"/>
                      <w:szCs w:val="21"/>
                      <w:u w:val="none"/>
                    </w:rPr>
                    <w:t>。</w:t>
                  </w:r>
                </w:p>
              </w:tc>
              <w:tc>
                <w:tcPr>
                  <w:tcW w:w="557" w:type="pct"/>
                  <w:noWrap w:val="0"/>
                  <w:vAlign w:val="center"/>
                </w:tcPr>
                <w:p w14:paraId="0AEA8A1D">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163CF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00715828">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企业事业单位和其他生产经营者向大气排放污染物的，应当依照法律法规和国务院环境保护主管部门的规定设置大气污染物排放口。</w:t>
                  </w:r>
                </w:p>
              </w:tc>
              <w:tc>
                <w:tcPr>
                  <w:tcW w:w="2406" w:type="pct"/>
                  <w:noWrap w:val="0"/>
                  <w:vAlign w:val="center"/>
                </w:tcPr>
                <w:p w14:paraId="417D3BCE">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w:t>
                  </w:r>
                  <w:r>
                    <w:rPr>
                      <w:rFonts w:hint="default" w:ascii="Times New Roman" w:hAnsi="Times New Roman" w:eastAsia="宋体" w:cs="Times New Roman"/>
                      <w:b w:val="0"/>
                      <w:bCs w:val="0"/>
                      <w:color w:val="auto"/>
                      <w:sz w:val="21"/>
                      <w:szCs w:val="21"/>
                      <w:u w:val="none"/>
                      <w:lang w:val="en-US" w:eastAsia="zh-CN"/>
                    </w:rPr>
                    <w:t>仅在锅炉房内进行改建</w:t>
                  </w:r>
                  <w:r>
                    <w:rPr>
                      <w:rFonts w:hint="default" w:ascii="Times New Roman" w:hAnsi="Times New Roman" w:eastAsia="宋体" w:cs="Times New Roman"/>
                      <w:b w:val="0"/>
                      <w:bCs w:val="0"/>
                      <w:color w:val="auto"/>
                      <w:sz w:val="21"/>
                      <w:szCs w:val="21"/>
                      <w:u w:val="none"/>
                    </w:rPr>
                    <w:t>，</w:t>
                  </w:r>
                  <w:r>
                    <w:rPr>
                      <w:rFonts w:hint="default" w:ascii="Times New Roman" w:hAnsi="Times New Roman" w:eastAsia="宋体" w:cs="Times New Roman"/>
                      <w:b w:val="0"/>
                      <w:bCs w:val="0"/>
                      <w:color w:val="auto"/>
                      <w:sz w:val="21"/>
                      <w:szCs w:val="21"/>
                      <w:u w:val="none"/>
                      <w:lang w:val="en-US" w:eastAsia="zh-CN"/>
                    </w:rPr>
                    <w:t>根据现有《全国排污许可证》“排放口规范化设置情况”可知：锅炉房内设置一根35m的烟囱，</w:t>
                  </w:r>
                  <w:r>
                    <w:rPr>
                      <w:rFonts w:hint="default" w:ascii="Times New Roman" w:hAnsi="Times New Roman" w:eastAsia="宋体" w:cs="Times New Roman"/>
                      <w:b w:val="0"/>
                      <w:bCs w:val="0"/>
                      <w:color w:val="auto"/>
                      <w:sz w:val="21"/>
                      <w:szCs w:val="21"/>
                      <w:u w:val="none"/>
                    </w:rPr>
                    <w:t>并设置便于采样、监测的采样口。采样口的设置符合《污染源监测技术规范》要求。</w:t>
                  </w:r>
                </w:p>
              </w:tc>
              <w:tc>
                <w:tcPr>
                  <w:tcW w:w="557" w:type="pct"/>
                  <w:noWrap w:val="0"/>
                  <w:vAlign w:val="center"/>
                </w:tcPr>
                <w:p w14:paraId="37A5E866">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2235C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5C8F8FBA">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环境保护主管部门的监控设备联网，保证监测设备正常运行并依法公开排放信息。</w:t>
                  </w:r>
                </w:p>
              </w:tc>
              <w:tc>
                <w:tcPr>
                  <w:tcW w:w="2406" w:type="pct"/>
                  <w:noWrap w:val="0"/>
                  <w:vAlign w:val="center"/>
                </w:tcPr>
                <w:p w14:paraId="721F67BD">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w:t>
                  </w:r>
                  <w:r>
                    <w:rPr>
                      <w:rFonts w:hint="default" w:ascii="Times New Roman" w:hAnsi="Times New Roman" w:eastAsia="宋体" w:cs="Times New Roman"/>
                      <w:b w:val="0"/>
                      <w:bCs w:val="0"/>
                      <w:color w:val="auto"/>
                      <w:sz w:val="21"/>
                      <w:szCs w:val="21"/>
                      <w:u w:val="none"/>
                      <w:lang w:val="en-US" w:eastAsia="zh-CN"/>
                    </w:rPr>
                    <w:t>评价新增DA002生物质专用锅炉排放口，本次评价</w:t>
                  </w:r>
                  <w:r>
                    <w:rPr>
                      <w:rFonts w:hint="default" w:ascii="Times New Roman" w:hAnsi="Times New Roman" w:eastAsia="宋体" w:cs="Times New Roman"/>
                      <w:b w:val="0"/>
                      <w:bCs w:val="0"/>
                      <w:color w:val="auto"/>
                      <w:sz w:val="21"/>
                      <w:szCs w:val="21"/>
                      <w:u w:val="none"/>
                    </w:rPr>
                    <w:t>按照《排污许可证申请与核发技术规范锅炉》(HJ953-2018)、《排污单位自行监测技术指南火力发电及锅炉》(HJ820-2017)的相关要求对锅炉废气</w:t>
                  </w:r>
                  <w:r>
                    <w:rPr>
                      <w:rFonts w:hint="default" w:ascii="Times New Roman" w:hAnsi="Times New Roman" w:eastAsia="宋体" w:cs="Times New Roman"/>
                      <w:b w:val="0"/>
                      <w:bCs w:val="0"/>
                      <w:color w:val="auto"/>
                      <w:sz w:val="21"/>
                      <w:szCs w:val="21"/>
                      <w:u w:val="none"/>
                      <w:lang w:val="en-US" w:eastAsia="zh-CN"/>
                    </w:rPr>
                    <w:t>制定</w:t>
                  </w:r>
                  <w:r>
                    <w:rPr>
                      <w:rFonts w:hint="default" w:ascii="Times New Roman" w:hAnsi="Times New Roman" w:eastAsia="宋体" w:cs="Times New Roman"/>
                      <w:b w:val="0"/>
                      <w:bCs w:val="0"/>
                      <w:color w:val="auto"/>
                      <w:sz w:val="21"/>
                      <w:szCs w:val="21"/>
                      <w:u w:val="none"/>
                    </w:rPr>
                    <w:t>自行监测</w:t>
                  </w:r>
                  <w:r>
                    <w:rPr>
                      <w:rFonts w:hint="default" w:ascii="Times New Roman" w:hAnsi="Times New Roman" w:eastAsia="宋体" w:cs="Times New Roman"/>
                      <w:b w:val="0"/>
                      <w:bCs w:val="0"/>
                      <w:color w:val="auto"/>
                      <w:sz w:val="21"/>
                      <w:szCs w:val="21"/>
                      <w:u w:val="none"/>
                      <w:lang w:val="en-US" w:eastAsia="zh-CN"/>
                    </w:rPr>
                    <w:t>计划</w:t>
                  </w:r>
                  <w:r>
                    <w:rPr>
                      <w:rFonts w:hint="default" w:ascii="Times New Roman" w:hAnsi="Times New Roman" w:eastAsia="宋体" w:cs="Times New Roman"/>
                      <w:b w:val="0"/>
                      <w:bCs w:val="0"/>
                      <w:color w:val="auto"/>
                      <w:sz w:val="21"/>
                      <w:szCs w:val="21"/>
                      <w:u w:val="none"/>
                    </w:rPr>
                    <w:t>，并保存原始监测记录。</w:t>
                  </w:r>
                  <w:r>
                    <w:rPr>
                      <w:rFonts w:hint="default" w:ascii="Times New Roman" w:hAnsi="Times New Roman" w:eastAsia="宋体" w:cs="Times New Roman"/>
                      <w:b w:val="0"/>
                      <w:bCs w:val="0"/>
                      <w:color w:val="auto"/>
                      <w:sz w:val="21"/>
                      <w:szCs w:val="21"/>
                      <w:u w:val="none"/>
                      <w:lang w:val="en-US" w:eastAsia="zh-CN"/>
                    </w:rPr>
                    <w:t>对照</w:t>
                  </w:r>
                  <w:r>
                    <w:rPr>
                      <w:rFonts w:hint="default" w:ascii="Times New Roman" w:hAnsi="Times New Roman" w:eastAsia="宋体" w:cs="Times New Roman"/>
                      <w:color w:val="auto"/>
                      <w:w w:val="100"/>
                      <w:sz w:val="21"/>
                      <w:szCs w:val="21"/>
                    </w:rPr>
                    <w:t>《固定污染源排污许可分类管理名录》（2019版）本项目属于“五十一、通用工序-109锅炉-单台且合计输出功率20吨/小时以下的锅炉”为登记管理，结合《排污许可证申请与核发技术规范总则》（HJ942-2018）《排污许可证申请与核发技术规范锅炉》（HJ953-2018），本项目</w:t>
                  </w:r>
                  <w:r>
                    <w:rPr>
                      <w:rFonts w:hint="default" w:ascii="Times New Roman" w:hAnsi="Times New Roman" w:eastAsia="宋体" w:cs="Times New Roman"/>
                      <w:color w:val="auto"/>
                      <w:w w:val="100"/>
                      <w:sz w:val="21"/>
                      <w:szCs w:val="21"/>
                      <w:lang w:val="en-US" w:eastAsia="zh-CN"/>
                    </w:rPr>
                    <w:t>生物质专用锅炉</w:t>
                  </w:r>
                  <w:r>
                    <w:rPr>
                      <w:rFonts w:hint="default" w:ascii="Times New Roman" w:hAnsi="Times New Roman" w:eastAsia="宋体" w:cs="Times New Roman"/>
                      <w:color w:val="auto"/>
                      <w:w w:val="100"/>
                      <w:sz w:val="21"/>
                      <w:szCs w:val="21"/>
                    </w:rPr>
                    <w:t>排放口为一般排放口，不设置排放总量</w:t>
                  </w:r>
                  <w:r>
                    <w:rPr>
                      <w:rFonts w:hint="default" w:ascii="Times New Roman" w:hAnsi="Times New Roman" w:eastAsia="宋体" w:cs="Times New Roman"/>
                      <w:b w:val="0"/>
                      <w:bCs w:val="0"/>
                      <w:color w:val="auto"/>
                      <w:sz w:val="21"/>
                      <w:szCs w:val="21"/>
                      <w:u w:val="none"/>
                    </w:rPr>
                    <w:t>。</w:t>
                  </w:r>
                </w:p>
              </w:tc>
              <w:tc>
                <w:tcPr>
                  <w:tcW w:w="557" w:type="pct"/>
                  <w:noWrap w:val="0"/>
                  <w:vAlign w:val="center"/>
                </w:tcPr>
                <w:p w14:paraId="75A3C0C6">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5D2FF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5000" w:type="pct"/>
                  <w:gridSpan w:val="3"/>
                  <w:noWrap w:val="0"/>
                  <w:vAlign w:val="center"/>
                </w:tcPr>
                <w:p w14:paraId="6D66E1FA">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大气污染防治措施</w:t>
                  </w:r>
                </w:p>
              </w:tc>
            </w:tr>
            <w:tr w14:paraId="242F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 w:hRule="atLeast"/>
                <w:jc w:val="center"/>
              </w:trPr>
              <w:tc>
                <w:tcPr>
                  <w:tcW w:w="2036" w:type="pct"/>
                  <w:noWrap w:val="0"/>
                  <w:vAlign w:val="center"/>
                </w:tcPr>
                <w:p w14:paraId="3BAB08DA">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城市人民政府可以划定并公布高污染燃料禁燃区，并根据大气环境质量改善要求，逐步扩大高污染燃料禁燃区范围。高污染燃料的目录由国务院环境保护主管部门确定。在禁燃区内，禁止销售、燃用高污染燃料；禁止新建、扩建燃用高污染燃料的设施，已建成的，应当在城市人民政府规定的期限内改用天然气、页岩气、液化石油气、电或者其他清洁能源。</w:t>
                  </w:r>
                </w:p>
              </w:tc>
              <w:tc>
                <w:tcPr>
                  <w:tcW w:w="2406" w:type="pct"/>
                  <w:noWrap w:val="0"/>
                  <w:vAlign w:val="center"/>
                </w:tcPr>
                <w:p w14:paraId="38B24BE3">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本项目所在地属于高污染燃料禁燃区</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color w:val="auto"/>
                      <w:sz w:val="21"/>
                      <w:szCs w:val="21"/>
                      <w:lang w:val="en-US" w:eastAsia="zh-CN"/>
                    </w:rPr>
                    <w:t>项目使用生物质专用锅炉，且配套多管除尘+布袋除尘高效除尘器，因此项目使用的生物质燃料不属于《高污染燃料目录》（2017年版）规定的第Ⅲ类高污染燃料</w:t>
                  </w:r>
                  <w:r>
                    <w:rPr>
                      <w:rFonts w:hint="default" w:ascii="Times New Roman" w:hAnsi="Times New Roman" w:eastAsia="宋体" w:cs="Times New Roman"/>
                      <w:b w:val="0"/>
                      <w:bCs w:val="0"/>
                      <w:color w:val="auto"/>
                      <w:sz w:val="21"/>
                      <w:szCs w:val="21"/>
                      <w:u w:val="none"/>
                    </w:rPr>
                    <w:t>。</w:t>
                  </w:r>
                </w:p>
              </w:tc>
              <w:tc>
                <w:tcPr>
                  <w:tcW w:w="557" w:type="pct"/>
                  <w:noWrap w:val="0"/>
                  <w:vAlign w:val="center"/>
                </w:tcPr>
                <w:p w14:paraId="593D73D6">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0097B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7AA3E757">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工业生产企业应当采取密闭、围挡、遮盖、清扫、洒水等措施，减少内部物料的堆存、传输、装卸等环节产生的粉尘和气态污染物的排放。</w:t>
                  </w:r>
                </w:p>
              </w:tc>
              <w:tc>
                <w:tcPr>
                  <w:tcW w:w="2406" w:type="pct"/>
                  <w:noWrap w:val="0"/>
                  <w:vAlign w:val="center"/>
                </w:tcPr>
                <w:p w14:paraId="51222F24">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w:t>
                  </w:r>
                  <w:r>
                    <w:rPr>
                      <w:rFonts w:hint="default" w:ascii="Times New Roman" w:hAnsi="Times New Roman" w:eastAsia="宋体" w:cs="Times New Roman"/>
                      <w:b w:val="0"/>
                      <w:bCs w:val="0"/>
                      <w:color w:val="auto"/>
                      <w:sz w:val="21"/>
                      <w:szCs w:val="21"/>
                      <w:u w:val="none"/>
                      <w:lang w:val="en-US" w:eastAsia="zh-CN"/>
                    </w:rPr>
                    <w:t>涉及袋装的生物质燃料的堆存，燃料棚为三面围挡设有顶棚，可减少堆存粉尘的产生</w:t>
                  </w:r>
                  <w:r>
                    <w:rPr>
                      <w:rFonts w:hint="default" w:ascii="Times New Roman" w:hAnsi="Times New Roman" w:eastAsia="宋体" w:cs="Times New Roman"/>
                      <w:b w:val="0"/>
                      <w:bCs w:val="0"/>
                      <w:color w:val="auto"/>
                      <w:sz w:val="21"/>
                      <w:szCs w:val="21"/>
                      <w:u w:val="none"/>
                    </w:rPr>
                    <w:t>。</w:t>
                  </w:r>
                </w:p>
              </w:tc>
              <w:tc>
                <w:tcPr>
                  <w:tcW w:w="557" w:type="pct"/>
                  <w:noWrap w:val="0"/>
                  <w:vAlign w:val="center"/>
                </w:tcPr>
                <w:p w14:paraId="05CBD9C4">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204F1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2283294E">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建设单位应当将防治扬尘污染的费用列入工程造价，并在施工承包合同中明确施工单位扬尘污染防治责任。施工单位应当制定具体的施工扬尘污染防治实施方案。</w:t>
                  </w:r>
                </w:p>
              </w:tc>
              <w:tc>
                <w:tcPr>
                  <w:tcW w:w="2406" w:type="pct"/>
                  <w:noWrap w:val="0"/>
                  <w:vAlign w:val="center"/>
                </w:tcPr>
                <w:p w14:paraId="1BAB7DE7">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本项目主要为</w:t>
                  </w:r>
                  <w:r>
                    <w:rPr>
                      <w:rFonts w:hint="default" w:ascii="Times New Roman" w:hAnsi="Times New Roman" w:eastAsia="宋体" w:cs="Times New Roman"/>
                      <w:b w:val="0"/>
                      <w:bCs w:val="0"/>
                      <w:color w:val="auto"/>
                      <w:sz w:val="21"/>
                      <w:szCs w:val="21"/>
                      <w:u w:val="none"/>
                      <w:lang w:val="en-US" w:eastAsia="zh-CN"/>
                    </w:rPr>
                    <w:t>在现有工具房内进行锅炉及配套设施的建设</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在现有闲置车间内安装瓦楞纸板生产线；</w:t>
                  </w:r>
                  <w:r>
                    <w:rPr>
                      <w:rFonts w:hint="default" w:ascii="Times New Roman" w:hAnsi="Times New Roman" w:eastAsia="宋体" w:cs="Times New Roman"/>
                      <w:b w:val="0"/>
                      <w:bCs w:val="0"/>
                      <w:color w:val="auto"/>
                      <w:sz w:val="21"/>
                      <w:szCs w:val="21"/>
                      <w:u w:val="none"/>
                    </w:rPr>
                    <w:t>工程量较少，</w:t>
                  </w:r>
                  <w:r>
                    <w:rPr>
                      <w:rFonts w:hint="default" w:ascii="Times New Roman" w:hAnsi="Times New Roman" w:eastAsia="宋体" w:cs="Times New Roman"/>
                      <w:b w:val="0"/>
                      <w:bCs w:val="0"/>
                      <w:color w:val="auto"/>
                      <w:sz w:val="21"/>
                      <w:szCs w:val="21"/>
                      <w:u w:val="none"/>
                      <w:lang w:val="en-US" w:eastAsia="zh-CN"/>
                    </w:rPr>
                    <w:t>施工期较短，</w:t>
                  </w:r>
                  <w:r>
                    <w:rPr>
                      <w:rFonts w:hint="default" w:ascii="Times New Roman" w:hAnsi="Times New Roman" w:eastAsia="宋体" w:cs="Times New Roman"/>
                      <w:b w:val="0"/>
                      <w:bCs w:val="0"/>
                      <w:color w:val="auto"/>
                      <w:sz w:val="21"/>
                      <w:szCs w:val="21"/>
                      <w:u w:val="none"/>
                    </w:rPr>
                    <w:t>产生扬尘较少。</w:t>
                  </w:r>
                </w:p>
              </w:tc>
              <w:tc>
                <w:tcPr>
                  <w:tcW w:w="557" w:type="pct"/>
                  <w:noWrap w:val="0"/>
                  <w:vAlign w:val="center"/>
                </w:tcPr>
                <w:p w14:paraId="06ACDD32">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65F46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2036" w:type="pct"/>
                  <w:noWrap w:val="0"/>
                  <w:vAlign w:val="center"/>
                </w:tcPr>
                <w:p w14:paraId="529F243F">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施工单位应当在施工工地公示扬尘污染防治措施、负责人、扬尘监督管理主管部门等信息。</w:t>
                  </w:r>
                </w:p>
              </w:tc>
              <w:tc>
                <w:tcPr>
                  <w:tcW w:w="2406" w:type="pct"/>
                  <w:noWrap w:val="0"/>
                  <w:vAlign w:val="center"/>
                </w:tcPr>
                <w:p w14:paraId="7A126D98">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本项目主要为</w:t>
                  </w:r>
                  <w:r>
                    <w:rPr>
                      <w:rFonts w:hint="default" w:ascii="Times New Roman" w:hAnsi="Times New Roman" w:eastAsia="宋体" w:cs="Times New Roman"/>
                      <w:b w:val="0"/>
                      <w:bCs w:val="0"/>
                      <w:color w:val="auto"/>
                      <w:sz w:val="21"/>
                      <w:szCs w:val="21"/>
                      <w:u w:val="none"/>
                      <w:lang w:val="en-US" w:eastAsia="zh-CN"/>
                    </w:rPr>
                    <w:t>在现有工具房内进行锅炉及配套设施的建设</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在现有闲置车间内安装瓦楞纸板生产线；</w:t>
                  </w:r>
                  <w:r>
                    <w:rPr>
                      <w:rFonts w:hint="default" w:ascii="Times New Roman" w:hAnsi="Times New Roman" w:eastAsia="宋体" w:cs="Times New Roman"/>
                      <w:b w:val="0"/>
                      <w:bCs w:val="0"/>
                      <w:color w:val="auto"/>
                      <w:sz w:val="21"/>
                      <w:szCs w:val="21"/>
                      <w:u w:val="none"/>
                    </w:rPr>
                    <w:t>工程量较少，</w:t>
                  </w:r>
                  <w:r>
                    <w:rPr>
                      <w:rFonts w:hint="default" w:ascii="Times New Roman" w:hAnsi="Times New Roman" w:eastAsia="宋体" w:cs="Times New Roman"/>
                      <w:b w:val="0"/>
                      <w:bCs w:val="0"/>
                      <w:color w:val="auto"/>
                      <w:sz w:val="21"/>
                      <w:szCs w:val="21"/>
                      <w:u w:val="none"/>
                      <w:lang w:val="en-US" w:eastAsia="zh-CN"/>
                    </w:rPr>
                    <w:t>施工期较短，</w:t>
                  </w:r>
                  <w:r>
                    <w:rPr>
                      <w:rFonts w:hint="default" w:ascii="Times New Roman" w:hAnsi="Times New Roman" w:eastAsia="宋体" w:cs="Times New Roman"/>
                      <w:b w:val="0"/>
                      <w:bCs w:val="0"/>
                      <w:color w:val="auto"/>
                      <w:sz w:val="21"/>
                      <w:szCs w:val="21"/>
                      <w:u w:val="none"/>
                    </w:rPr>
                    <w:t>产生扬尘较少</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Cs/>
                      <w:color w:val="auto"/>
                      <w:sz w:val="21"/>
                      <w:szCs w:val="21"/>
                    </w:rPr>
                    <w:t>建筑垃圾可回收利用的，集中收集后交由有回收资质的废品收购站处理；不能回收利用的，集中收集后交由专业的运渣公司清运至玉溪市</w:t>
                  </w:r>
                  <w:r>
                    <w:rPr>
                      <w:rFonts w:hint="default" w:ascii="Times New Roman" w:hAnsi="Times New Roman" w:eastAsia="宋体" w:cs="Times New Roman"/>
                      <w:bCs/>
                      <w:color w:val="auto"/>
                      <w:sz w:val="21"/>
                      <w:szCs w:val="21"/>
                      <w:lang w:val="en-US" w:eastAsia="zh-CN"/>
                    </w:rPr>
                    <w:t>红塔区</w:t>
                  </w:r>
                  <w:r>
                    <w:rPr>
                      <w:rFonts w:hint="default" w:ascii="Times New Roman" w:hAnsi="Times New Roman" w:eastAsia="宋体" w:cs="Times New Roman"/>
                      <w:bCs/>
                      <w:color w:val="auto"/>
                      <w:sz w:val="21"/>
                      <w:szCs w:val="21"/>
                    </w:rPr>
                    <w:t>指定的建筑垃圾堆放点进行处置，严禁随意倾弃</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施工期内应依法对外公示施工信息</w:t>
                  </w:r>
                  <w:r>
                    <w:rPr>
                      <w:rFonts w:hint="default" w:ascii="Times New Roman" w:hAnsi="Times New Roman" w:eastAsia="宋体" w:cs="Times New Roman"/>
                      <w:b w:val="0"/>
                      <w:bCs w:val="0"/>
                      <w:color w:val="auto"/>
                      <w:sz w:val="21"/>
                      <w:szCs w:val="21"/>
                      <w:u w:val="none"/>
                    </w:rPr>
                    <w:t>。</w:t>
                  </w:r>
                </w:p>
              </w:tc>
              <w:tc>
                <w:tcPr>
                  <w:tcW w:w="557" w:type="pct"/>
                  <w:noWrap w:val="0"/>
                  <w:vAlign w:val="center"/>
                </w:tcPr>
                <w:p w14:paraId="0588CBC7">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bl>
          <w:p w14:paraId="1B9C7B07">
            <w:pPr>
              <w:pStyle w:val="66"/>
              <w:keepNext w:val="0"/>
              <w:keepLines w:val="0"/>
              <w:pageBreakBefore w:val="0"/>
              <w:widowControl w:val="0"/>
              <w:kinsoku/>
              <w:wordWrap/>
              <w:overflowPunct/>
              <w:topLinePunct w:val="0"/>
              <w:bidi w:val="0"/>
              <w:adjustRightInd/>
              <w:snapToGrid w:val="0"/>
              <w:spacing w:before="0" w:line="360" w:lineRule="auto"/>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项目与《中华人民共和国大气污染防治法》不冲突。</w:t>
            </w:r>
          </w:p>
          <w:p w14:paraId="3F45AEC7">
            <w:pPr>
              <w:pStyle w:val="66"/>
              <w:keepNext w:val="0"/>
              <w:keepLines w:val="0"/>
              <w:pageBreakBefore w:val="0"/>
              <w:widowControl w:val="0"/>
              <w:kinsoku/>
              <w:wordWrap/>
              <w:overflowPunct/>
              <w:topLinePunct w:val="0"/>
              <w:bidi w:val="0"/>
              <w:adjustRightInd/>
              <w:snapToGrid w:val="0"/>
              <w:spacing w:before="0" w:line="360" w:lineRule="auto"/>
              <w:ind w:firstLine="422" w:firstLineChars="200"/>
              <w:jc w:val="both"/>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rPr>
              <w:t>、与《大气污染防治行动计划》（简称“气十条”）相关符合性分析</w:t>
            </w:r>
          </w:p>
          <w:p w14:paraId="4F844D36">
            <w:pPr>
              <w:pStyle w:val="82"/>
              <w:keepNext w:val="0"/>
              <w:keepLines w:val="0"/>
              <w:pageBreakBefore w:val="0"/>
              <w:widowControl w:val="0"/>
              <w:kinsoku/>
              <w:wordWrap/>
              <w:overflowPunct/>
              <w:topLinePunct w:val="0"/>
              <w:bidi w:val="0"/>
              <w:adjustRightInd/>
              <w:snapToGrid w:val="0"/>
              <w:spacing w:line="360" w:lineRule="auto"/>
              <w:ind w:firstLine="0" w:firstLineChars="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表1-</w:t>
            </w:r>
            <w:r>
              <w:rPr>
                <w:rFonts w:hint="default" w:ascii="Times New Roman" w:hAnsi="Times New Roman" w:eastAsia="宋体" w:cs="Times New Roman"/>
                <w:b/>
                <w:bCs/>
                <w:color w:val="auto"/>
                <w:sz w:val="21"/>
                <w:szCs w:val="21"/>
                <w:u w:val="none"/>
                <w:lang w:val="en-US" w:eastAsia="zh-CN"/>
              </w:rPr>
              <w:t>7</w:t>
            </w:r>
            <w:r>
              <w:rPr>
                <w:rFonts w:hint="default" w:ascii="Times New Roman" w:hAnsi="Times New Roman" w:eastAsia="宋体" w:cs="Times New Roman"/>
                <w:b/>
                <w:bCs/>
                <w:color w:val="auto"/>
                <w:sz w:val="21"/>
                <w:szCs w:val="21"/>
                <w:u w:val="none"/>
              </w:rPr>
              <w:tab/>
            </w:r>
            <w:r>
              <w:rPr>
                <w:rFonts w:hint="default" w:ascii="Times New Roman" w:hAnsi="Times New Roman" w:eastAsia="宋体" w:cs="Times New Roman"/>
                <w:b/>
                <w:bCs/>
                <w:color w:val="auto"/>
                <w:sz w:val="21"/>
                <w:szCs w:val="21"/>
                <w:u w:val="none"/>
              </w:rPr>
              <w:t>项目与《大气污染防治行动计划》（简称“气十条”）符合性分析</w:t>
            </w:r>
          </w:p>
          <w:tbl>
            <w:tblPr>
              <w:tblStyle w:val="25"/>
              <w:tblW w:w="86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555"/>
              <w:gridCol w:w="4550"/>
              <w:gridCol w:w="2625"/>
              <w:gridCol w:w="908"/>
            </w:tblGrid>
            <w:tr w14:paraId="2853A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1" w:type="pct"/>
                  <w:noWrap w:val="0"/>
                  <w:vAlign w:val="center"/>
                </w:tcPr>
                <w:p w14:paraId="21312F12">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序号</w:t>
                  </w:r>
                </w:p>
              </w:tc>
              <w:tc>
                <w:tcPr>
                  <w:tcW w:w="2633" w:type="pct"/>
                  <w:noWrap w:val="0"/>
                  <w:vAlign w:val="center"/>
                </w:tcPr>
                <w:p w14:paraId="3B8520FE">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文件内容</w:t>
                  </w:r>
                </w:p>
              </w:tc>
              <w:tc>
                <w:tcPr>
                  <w:tcW w:w="1519" w:type="pct"/>
                  <w:noWrap w:val="0"/>
                  <w:vAlign w:val="center"/>
                </w:tcPr>
                <w:p w14:paraId="120002D2">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相符性分析</w:t>
                  </w:r>
                </w:p>
              </w:tc>
              <w:tc>
                <w:tcPr>
                  <w:tcW w:w="525" w:type="pct"/>
                  <w:noWrap w:val="0"/>
                  <w:vAlign w:val="center"/>
                </w:tcPr>
                <w:p w14:paraId="44A90CC2">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符合性</w:t>
                  </w:r>
                </w:p>
              </w:tc>
            </w:tr>
            <w:tr w14:paraId="7F753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 w:hRule="atLeast"/>
                <w:jc w:val="center"/>
              </w:trPr>
              <w:tc>
                <w:tcPr>
                  <w:tcW w:w="321" w:type="pct"/>
                  <w:noWrap w:val="0"/>
                  <w:vAlign w:val="center"/>
                </w:tcPr>
                <w:p w14:paraId="1B4671E5">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w:t>
                  </w:r>
                </w:p>
              </w:tc>
              <w:tc>
                <w:tcPr>
                  <w:tcW w:w="2633" w:type="pct"/>
                  <w:noWrap w:val="0"/>
                  <w:vAlign w:val="center"/>
                </w:tcPr>
                <w:p w14:paraId="448A03C2">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一、加大综合治理力度，减少多污染物排放：加强工业企业大气污染综合治理。全面整治燃煤小锅炉。加快推进集中供热、“煤改气”、“煤改电”工程建设，到2017年除必要保留的以外，地级及以上城市建成区基本淘汰每小时10蒸吨及以下的燃煤锅炉，禁止新建每小时20蒸吨以下的燃煤锅炉，其他地区原则上不再新建每小时10蒸吨以下的燃煤锅炉。</w:t>
                  </w:r>
                </w:p>
              </w:tc>
              <w:tc>
                <w:tcPr>
                  <w:tcW w:w="1519" w:type="pct"/>
                  <w:noWrap w:val="0"/>
                  <w:vAlign w:val="center"/>
                </w:tcPr>
                <w:p w14:paraId="29D0BFAC">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本项目使用4t/h生物质专用锅炉，不使用燃煤锅炉。</w:t>
                  </w:r>
                </w:p>
              </w:tc>
              <w:tc>
                <w:tcPr>
                  <w:tcW w:w="525" w:type="pct"/>
                  <w:noWrap w:val="0"/>
                  <w:vAlign w:val="center"/>
                </w:tcPr>
                <w:p w14:paraId="35BF8810">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5B21B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1" w:type="pct"/>
                  <w:noWrap w:val="0"/>
                  <w:vAlign w:val="center"/>
                </w:tcPr>
                <w:p w14:paraId="113062DF">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w:t>
                  </w:r>
                </w:p>
              </w:tc>
              <w:tc>
                <w:tcPr>
                  <w:tcW w:w="2633" w:type="pct"/>
                  <w:noWrap w:val="0"/>
                  <w:vAlign w:val="center"/>
                </w:tcPr>
                <w:p w14:paraId="6B4358CE">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二、调整优化产业结构，推动产业转型升级：①严控“两高”行业新增产能。修订高耗能、高污染和资源性行业准入条件明确资源能源节约和污染物排放等指标。②加快淘汰落后产能。结合产业发展实际和环境质量状况，进一步提高环保、能耗、安全、质量等标准，分区域明确落后产能淘汰任务，倒逼产业转型升级。③压缩过剩产能。加大环保、能耗、安全执法处罚力度，建立以节能环保标准促进“两高”行业过剩产能退出的机制。制定财政、土地、金融等扶持政策支持产能过剩“两高”行业企业退出、转型发展。严禁核准产能严重过剩行业新增产能项目。④坚决停建产能严重过剩行业违规在建项目。认真清理产能严重过剩行业违规在建项目，对未批先建、边批边建、越权核准的违规项目</w:t>
                  </w:r>
                  <w:r>
                    <w:rPr>
                      <w:rFonts w:hint="default" w:ascii="Times New Roman" w:hAnsi="Times New Roman" w:eastAsia="宋体" w:cs="Times New Roman"/>
                      <w:b w:val="0"/>
                      <w:bCs w:val="0"/>
                      <w:color w:val="auto"/>
                      <w:sz w:val="21"/>
                      <w:szCs w:val="21"/>
                      <w:u w:val="none"/>
                    </w:rPr>
                    <w:tab/>
                  </w:r>
                  <w:r>
                    <w:rPr>
                      <w:rFonts w:hint="default" w:ascii="Times New Roman" w:hAnsi="Times New Roman" w:eastAsia="宋体" w:cs="Times New Roman"/>
                      <w:b w:val="0"/>
                      <w:bCs w:val="0"/>
                      <w:color w:val="auto"/>
                      <w:sz w:val="21"/>
                      <w:szCs w:val="21"/>
                      <w:u w:val="none"/>
                    </w:rPr>
                    <w:t>尚未开工建设的，不准开工；正在建设的，要停止建设。地方人民政府要加强组织领导和监督检查</w:t>
                  </w:r>
                  <w:r>
                    <w:rPr>
                      <w:rFonts w:hint="default" w:ascii="Times New Roman" w:hAnsi="Times New Roman" w:eastAsia="宋体" w:cs="Times New Roman"/>
                      <w:b w:val="0"/>
                      <w:bCs w:val="0"/>
                      <w:color w:val="auto"/>
                      <w:sz w:val="21"/>
                      <w:szCs w:val="21"/>
                      <w:u w:val="none"/>
                    </w:rPr>
                    <w:tab/>
                  </w:r>
                  <w:r>
                    <w:rPr>
                      <w:rFonts w:hint="default" w:ascii="Times New Roman" w:hAnsi="Times New Roman" w:eastAsia="宋体" w:cs="Times New Roman"/>
                      <w:b w:val="0"/>
                      <w:bCs w:val="0"/>
                      <w:color w:val="auto"/>
                      <w:sz w:val="21"/>
                      <w:szCs w:val="21"/>
                      <w:u w:val="none"/>
                    </w:rPr>
                    <w:t>坚决遏制产能严重过剩行业盲目扩张。</w:t>
                  </w:r>
                </w:p>
              </w:tc>
              <w:tc>
                <w:tcPr>
                  <w:tcW w:w="1519" w:type="pct"/>
                  <w:noWrap w:val="0"/>
                  <w:vAlign w:val="center"/>
                </w:tcPr>
                <w:p w14:paraId="4A143310">
                  <w:pPr>
                    <w:pStyle w:val="66"/>
                    <w:keepNext w:val="0"/>
                    <w:keepLines w:val="0"/>
                    <w:pageBreakBefore w:val="0"/>
                    <w:widowControl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w:t>
                  </w:r>
                  <w:r>
                    <w:rPr>
                      <w:rFonts w:hint="default" w:ascii="Times New Roman" w:hAnsi="Times New Roman" w:eastAsia="宋体" w:cs="Times New Roman"/>
                      <w:b w:val="0"/>
                      <w:bCs w:val="0"/>
                      <w:color w:val="auto"/>
                      <w:sz w:val="21"/>
                      <w:szCs w:val="21"/>
                      <w:u w:val="none"/>
                      <w:lang w:val="en-US" w:eastAsia="zh-CN"/>
                    </w:rPr>
                    <w:t>不属于“两高”行业新增产能；</w:t>
                  </w:r>
                  <w:r>
                    <w:rPr>
                      <w:rFonts w:hint="default" w:ascii="Times New Roman" w:hAnsi="Times New Roman" w:eastAsia="宋体" w:cs="Times New Roman"/>
                      <w:b w:val="0"/>
                      <w:bCs w:val="0"/>
                      <w:color w:val="auto"/>
                      <w:sz w:val="21"/>
                      <w:szCs w:val="21"/>
                      <w:u w:val="none"/>
                    </w:rPr>
                    <w:t>未列入国家发展和改革委员会文件《产业结构调整指导目录（2024年本）》中淘汰类、限制类、鼓励类项目，根据国务院《促进产业结构调整暂行规定》（国发[2005]40号）第十三条“不属于鼓励类、限制类及淘汰类，且符合国家有关法律、法规和政策规定的，为允许类”。则项目不属于落后、过剩产能项目，不属于高能耗、高排放项目。</w:t>
                  </w:r>
                </w:p>
              </w:tc>
              <w:tc>
                <w:tcPr>
                  <w:tcW w:w="525" w:type="pct"/>
                  <w:noWrap w:val="0"/>
                  <w:vAlign w:val="center"/>
                </w:tcPr>
                <w:p w14:paraId="62EF8B22">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6D9C3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5000" w:type="pct"/>
                  <w:gridSpan w:val="4"/>
                  <w:noWrap w:val="0"/>
                  <w:vAlign w:val="center"/>
                </w:tcPr>
                <w:p w14:paraId="4607D316">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备注：其它与项目无关项未列入</w:t>
                  </w:r>
                </w:p>
              </w:tc>
            </w:tr>
          </w:tbl>
          <w:p w14:paraId="43455B50">
            <w:pPr>
              <w:keepNext w:val="0"/>
              <w:keepLines w:val="0"/>
              <w:pageBreakBefore w:val="0"/>
              <w:widowControl w:val="0"/>
              <w:tabs>
                <w:tab w:val="left" w:pos="3750"/>
              </w:tabs>
              <w:kinsoku/>
              <w:wordWrap/>
              <w:overflowPunct/>
              <w:topLinePunct w:val="0"/>
              <w:autoSpaceDE/>
              <w:autoSpaceDN/>
              <w:bidi w:val="0"/>
              <w:snapToGrid w:val="0"/>
              <w:spacing w:line="360" w:lineRule="auto"/>
              <w:ind w:firstLine="420" w:firstLineChars="200"/>
              <w:jc w:val="left"/>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项目与《大气污染防治行动计划》（简称“气十条”）不冲突。</w:t>
            </w:r>
          </w:p>
          <w:p w14:paraId="1AD6D97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7、与</w:t>
            </w:r>
            <w:r>
              <w:rPr>
                <w:rFonts w:hint="default" w:ascii="Times New Roman" w:hAnsi="Times New Roman" w:eastAsia="宋体" w:cs="Times New Roman"/>
                <w:b/>
                <w:bCs/>
                <w:color w:val="auto"/>
                <w:sz w:val="21"/>
                <w:szCs w:val="21"/>
                <w:lang w:eastAsia="zh-CN"/>
              </w:rPr>
              <w:t>《玉溪市国土空间总体规划》</w:t>
            </w:r>
            <w:r>
              <w:rPr>
                <w:rFonts w:hint="default" w:ascii="Times New Roman" w:hAnsi="Times New Roman" w:eastAsia="宋体" w:cs="Times New Roman"/>
                <w:b/>
                <w:bCs/>
                <w:color w:val="auto"/>
                <w:sz w:val="21"/>
                <w:szCs w:val="21"/>
                <w:lang w:val="en-US" w:eastAsia="zh-CN"/>
              </w:rPr>
              <w:t>符合性分析</w:t>
            </w:r>
          </w:p>
          <w:p w14:paraId="22D43FA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《玉溪市国土空间总体规划（2021-2035年）》于2024年3月29日经云南省人民政府批复实施，本项目的符合性如下：</w:t>
            </w:r>
          </w:p>
          <w:p w14:paraId="113763F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表1-8  项目与</w:t>
            </w:r>
            <w:r>
              <w:rPr>
                <w:rFonts w:hint="default" w:ascii="Times New Roman" w:hAnsi="Times New Roman" w:eastAsia="宋体" w:cs="Times New Roman"/>
                <w:b/>
                <w:bCs/>
                <w:color w:val="auto"/>
                <w:sz w:val="21"/>
                <w:szCs w:val="21"/>
                <w:lang w:eastAsia="zh-CN"/>
              </w:rPr>
              <w:t>《玉溪市国土空间总体规划》</w:t>
            </w:r>
            <w:r>
              <w:rPr>
                <w:rFonts w:hint="default" w:ascii="Times New Roman" w:hAnsi="Times New Roman" w:eastAsia="宋体" w:cs="Times New Roman"/>
                <w:b/>
                <w:bCs/>
                <w:color w:val="auto"/>
                <w:sz w:val="21"/>
                <w:szCs w:val="21"/>
                <w:lang w:val="en-US" w:eastAsia="zh-CN"/>
              </w:rPr>
              <w:t>符合性分析（摘抄）</w:t>
            </w:r>
          </w:p>
          <w:tbl>
            <w:tblPr>
              <w:tblStyle w:val="26"/>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3440"/>
              <w:gridCol w:w="3430"/>
              <w:gridCol w:w="848"/>
            </w:tblGrid>
            <w:tr w14:paraId="4504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5801A86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序号</w:t>
                  </w:r>
                </w:p>
              </w:tc>
              <w:tc>
                <w:tcPr>
                  <w:tcW w:w="3440" w:type="dxa"/>
                  <w:vAlign w:val="center"/>
                </w:tcPr>
                <w:p w14:paraId="3844811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规划内容</w:t>
                  </w:r>
                </w:p>
              </w:tc>
              <w:tc>
                <w:tcPr>
                  <w:tcW w:w="3430" w:type="dxa"/>
                  <w:vAlign w:val="center"/>
                </w:tcPr>
                <w:p w14:paraId="51F7E4E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w:t>
                  </w:r>
                </w:p>
              </w:tc>
              <w:tc>
                <w:tcPr>
                  <w:tcW w:w="848" w:type="dxa"/>
                  <w:vAlign w:val="center"/>
                </w:tcPr>
                <w:p w14:paraId="16B94E1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符合性</w:t>
                  </w:r>
                </w:p>
              </w:tc>
            </w:tr>
            <w:tr w14:paraId="7F5D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2983EC4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w:t>
                  </w:r>
                </w:p>
              </w:tc>
              <w:tc>
                <w:tcPr>
                  <w:tcW w:w="3440" w:type="dxa"/>
                  <w:vAlign w:val="center"/>
                </w:tcPr>
                <w:p w14:paraId="4E71BBB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严守三条控制线：</w:t>
                  </w:r>
                </w:p>
                <w:p w14:paraId="7052040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bidi="ar-SA"/>
                    </w:rPr>
                    <w:t>1、</w:t>
                  </w:r>
                  <w:r>
                    <w:rPr>
                      <w:rFonts w:hint="default" w:ascii="Times New Roman" w:hAnsi="Times New Roman" w:eastAsia="宋体" w:cs="Times New Roman"/>
                      <w:color w:val="auto"/>
                      <w:kern w:val="0"/>
                      <w:sz w:val="21"/>
                      <w:szCs w:val="21"/>
                      <w:vertAlign w:val="baseline"/>
                      <w:lang w:val="en-US" w:eastAsia="zh-CN"/>
                    </w:rPr>
                    <w:t>到2035年，玉溪市耕地保有量不低于293.46万亩，其中永久基本农田保护面积不低于224.00万亩；</w:t>
                  </w:r>
                </w:p>
                <w:p w14:paraId="25264A8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bidi="ar-SA"/>
                    </w:rPr>
                    <w:t>2、</w:t>
                  </w:r>
                  <w:r>
                    <w:rPr>
                      <w:rFonts w:hint="default" w:ascii="Times New Roman" w:hAnsi="Times New Roman" w:eastAsia="宋体" w:cs="Times New Roman"/>
                      <w:color w:val="auto"/>
                      <w:kern w:val="0"/>
                      <w:sz w:val="21"/>
                      <w:szCs w:val="21"/>
                      <w:vertAlign w:val="baseline"/>
                      <w:lang w:val="en-US" w:eastAsia="zh-CN"/>
                    </w:rPr>
                    <w:t>到2035年，生态保护红线面积不低于3852.89平方千米；</w:t>
                  </w:r>
                </w:p>
                <w:p w14:paraId="574AB5E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3、到2035年，城镇开发边界扩展倍数控制在基于2020年城镇建设用地规模的1.293倍以内。</w:t>
                  </w:r>
                </w:p>
              </w:tc>
              <w:tc>
                <w:tcPr>
                  <w:tcW w:w="3430" w:type="dxa"/>
                  <w:vAlign w:val="center"/>
                </w:tcPr>
                <w:p w14:paraId="3159519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1、根据玉溪市红塔区自然资源局查询的结果，本项目不占用永久基本农田；</w:t>
                  </w:r>
                </w:p>
                <w:p w14:paraId="68E899A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2、根据玉溪市红塔区自然资源局查询的结果，本项目不占用生态红线；</w:t>
                  </w:r>
                </w:p>
                <w:p w14:paraId="37D0E18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3、根据玉溪市红塔区自然资源局查询的结果，本项目位于城镇开发边界内。</w:t>
                  </w:r>
                </w:p>
              </w:tc>
              <w:tc>
                <w:tcPr>
                  <w:tcW w:w="848" w:type="dxa"/>
                  <w:vAlign w:val="center"/>
                </w:tcPr>
                <w:p w14:paraId="06D7636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006C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626AB5D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w:t>
                  </w:r>
                </w:p>
              </w:tc>
              <w:tc>
                <w:tcPr>
                  <w:tcW w:w="3440" w:type="dxa"/>
                  <w:vAlign w:val="center"/>
                </w:tcPr>
                <w:p w14:paraId="2C8E7F7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国土空间开发保护总体格局：</w:t>
                  </w:r>
                </w:p>
                <w:p w14:paraId="3F60246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bidi="ar-SA"/>
                    </w:rPr>
                    <w:t>严格保护抚仙湖、星云湖、杞麓湖、阳宗海四大高原湖泊生态环境安全，锚固哀牢山生态屏障，维护森林生态系统与生物多样性，促进玉溪生态功能整体向好</w:t>
                  </w:r>
                  <w:r>
                    <w:rPr>
                      <w:rFonts w:hint="default" w:ascii="Times New Roman" w:hAnsi="Times New Roman" w:eastAsia="宋体" w:cs="Times New Roman"/>
                      <w:color w:val="auto"/>
                      <w:kern w:val="0"/>
                      <w:sz w:val="21"/>
                      <w:szCs w:val="21"/>
                      <w:vertAlign w:val="baseline"/>
                      <w:lang w:val="en-US" w:eastAsia="zh-CN"/>
                    </w:rPr>
                    <w:t>。</w:t>
                  </w:r>
                </w:p>
              </w:tc>
              <w:tc>
                <w:tcPr>
                  <w:tcW w:w="3430" w:type="dxa"/>
                  <w:vAlign w:val="center"/>
                </w:tcPr>
                <w:p w14:paraId="641F026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本项目不在</w:t>
                  </w:r>
                  <w:r>
                    <w:rPr>
                      <w:rFonts w:hint="default" w:ascii="Times New Roman" w:hAnsi="Times New Roman" w:eastAsia="宋体" w:cs="Times New Roman"/>
                      <w:color w:val="auto"/>
                      <w:kern w:val="0"/>
                      <w:sz w:val="21"/>
                      <w:szCs w:val="21"/>
                      <w:vertAlign w:val="baseline"/>
                      <w:lang w:val="en-US" w:eastAsia="zh-CN" w:bidi="ar-SA"/>
                    </w:rPr>
                    <w:t>护抚仙湖、星云湖、杞麓湖、阳宗海四大高原湖泊径流区范围内。</w:t>
                  </w:r>
                </w:p>
              </w:tc>
              <w:tc>
                <w:tcPr>
                  <w:tcW w:w="848" w:type="dxa"/>
                  <w:vAlign w:val="center"/>
                </w:tcPr>
                <w:p w14:paraId="1EBC2DB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符合</w:t>
                  </w:r>
                </w:p>
              </w:tc>
            </w:tr>
          </w:tbl>
          <w:p w14:paraId="4CE2C0E2">
            <w:pPr>
              <w:pStyle w:val="66"/>
              <w:keepNext w:val="0"/>
              <w:keepLines w:val="0"/>
              <w:pageBreakBefore w:val="0"/>
              <w:widowControl w:val="0"/>
              <w:kinsoku/>
              <w:wordWrap/>
              <w:overflowPunct/>
              <w:topLinePunct w:val="0"/>
              <w:bidi w:val="0"/>
              <w:adjustRightInd/>
              <w:snapToGrid w:val="0"/>
              <w:spacing w:before="0" w:line="360" w:lineRule="auto"/>
              <w:ind w:firstLine="422" w:firstLineChars="200"/>
              <w:jc w:val="both"/>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lang w:val="en-US" w:eastAsia="zh-CN"/>
              </w:rPr>
              <w:t>8</w:t>
            </w:r>
            <w:r>
              <w:rPr>
                <w:rFonts w:hint="default" w:ascii="Times New Roman" w:hAnsi="Times New Roman" w:eastAsia="宋体" w:cs="Times New Roman"/>
                <w:b/>
                <w:bCs/>
                <w:color w:val="auto"/>
                <w:sz w:val="21"/>
                <w:szCs w:val="21"/>
                <w:u w:val="none"/>
              </w:rPr>
              <w:t>、与《云南省大气污染防治行动实施方案》相关符合性分析</w:t>
            </w:r>
          </w:p>
          <w:p w14:paraId="76BA83AB">
            <w:pPr>
              <w:pStyle w:val="82"/>
              <w:keepNext w:val="0"/>
              <w:keepLines w:val="0"/>
              <w:pageBreakBefore w:val="0"/>
              <w:widowControl w:val="0"/>
              <w:kinsoku/>
              <w:wordWrap/>
              <w:overflowPunct/>
              <w:topLinePunct w:val="0"/>
              <w:bidi w:val="0"/>
              <w:adjustRightInd/>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表1-</w:t>
            </w:r>
            <w:r>
              <w:rPr>
                <w:rFonts w:hint="default" w:ascii="Times New Roman" w:hAnsi="Times New Roman" w:eastAsia="宋体" w:cs="Times New Roman"/>
                <w:b/>
                <w:bCs/>
                <w:color w:val="auto"/>
                <w:sz w:val="21"/>
                <w:szCs w:val="21"/>
                <w:u w:val="none"/>
                <w:lang w:val="en-US" w:eastAsia="zh-CN"/>
              </w:rPr>
              <w:t>9</w:t>
            </w:r>
            <w:r>
              <w:rPr>
                <w:rFonts w:hint="default" w:ascii="Times New Roman" w:hAnsi="Times New Roman" w:eastAsia="宋体" w:cs="Times New Roman"/>
                <w:b/>
                <w:bCs/>
                <w:color w:val="auto"/>
                <w:sz w:val="21"/>
                <w:szCs w:val="21"/>
                <w:u w:val="none"/>
              </w:rPr>
              <w:tab/>
            </w:r>
            <w:r>
              <w:rPr>
                <w:rFonts w:hint="default" w:ascii="Times New Roman" w:hAnsi="Times New Roman" w:eastAsia="宋体" w:cs="Times New Roman"/>
                <w:b/>
                <w:bCs/>
                <w:color w:val="auto"/>
                <w:sz w:val="21"/>
                <w:szCs w:val="21"/>
                <w:u w:val="none"/>
              </w:rPr>
              <w:t>项目与《云南省大气污染防治行动实施方案》相关符合性分析</w:t>
            </w:r>
          </w:p>
          <w:tbl>
            <w:tblPr>
              <w:tblStyle w:val="25"/>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17"/>
              <w:gridCol w:w="4659"/>
              <w:gridCol w:w="2650"/>
              <w:gridCol w:w="690"/>
            </w:tblGrid>
            <w:tr w14:paraId="73197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436" w:type="pct"/>
                  <w:noWrap w:val="0"/>
                  <w:vAlign w:val="center"/>
                </w:tcPr>
                <w:p w14:paraId="08E7543D">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序号</w:t>
                  </w:r>
                </w:p>
              </w:tc>
              <w:tc>
                <w:tcPr>
                  <w:tcW w:w="2782" w:type="pct"/>
                  <w:noWrap w:val="0"/>
                  <w:vAlign w:val="center"/>
                </w:tcPr>
                <w:p w14:paraId="1C761DC0">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文件内容</w:t>
                  </w:r>
                </w:p>
              </w:tc>
              <w:tc>
                <w:tcPr>
                  <w:tcW w:w="1304" w:type="pct"/>
                  <w:noWrap w:val="0"/>
                  <w:vAlign w:val="center"/>
                </w:tcPr>
                <w:p w14:paraId="5DF22A28">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相符性分析</w:t>
                  </w:r>
                </w:p>
              </w:tc>
              <w:tc>
                <w:tcPr>
                  <w:tcW w:w="478" w:type="pct"/>
                  <w:noWrap w:val="0"/>
                  <w:vAlign w:val="center"/>
                </w:tcPr>
                <w:p w14:paraId="29D2EF17">
                  <w:pPr>
                    <w:pStyle w:val="66"/>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符合性</w:t>
                  </w:r>
                </w:p>
              </w:tc>
            </w:tr>
            <w:tr w14:paraId="085BC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gridSpan w:val="4"/>
                  <w:noWrap w:val="0"/>
                  <w:vAlign w:val="center"/>
                </w:tcPr>
                <w:p w14:paraId="4DFB4C2C">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二、大气污染防治主要任务</w:t>
                  </w:r>
                </w:p>
              </w:tc>
            </w:tr>
            <w:tr w14:paraId="42563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436" w:type="pct"/>
                  <w:noWrap w:val="0"/>
                  <w:vAlign w:val="center"/>
                </w:tcPr>
                <w:p w14:paraId="767F99AB">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w:t>
                  </w:r>
                </w:p>
              </w:tc>
              <w:tc>
                <w:tcPr>
                  <w:tcW w:w="2782" w:type="pct"/>
                  <w:noWrap w:val="0"/>
                  <w:vAlign w:val="center"/>
                </w:tcPr>
                <w:p w14:paraId="7EB4D9ED">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优化产业空间布局：按照云南省主体功能区规划要求，合理确定我省重点产业发展布局、结构和规模。科学制定并严格实施城乡规划，强化城市空间管制和绿地控制要求，规范各类产业园区和城市新城、新区设立和布局。</w:t>
                  </w:r>
                </w:p>
              </w:tc>
              <w:tc>
                <w:tcPr>
                  <w:tcW w:w="1304" w:type="pct"/>
                  <w:noWrap w:val="0"/>
                  <w:vAlign w:val="center"/>
                </w:tcPr>
                <w:p w14:paraId="14AB4681">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项目位于</w:t>
                  </w:r>
                  <w:r>
                    <w:rPr>
                      <w:rFonts w:hint="default" w:ascii="Times New Roman" w:hAnsi="Times New Roman" w:eastAsia="宋体" w:cs="Times New Roman"/>
                      <w:b w:val="0"/>
                      <w:bCs w:val="0"/>
                      <w:color w:val="auto"/>
                      <w:sz w:val="21"/>
                      <w:szCs w:val="21"/>
                      <w:u w:val="none"/>
                      <w:lang w:eastAsia="zh-CN"/>
                    </w:rPr>
                    <w:t>云南省玉溪春和街道孙井社区太极山（现云南新兴仁恒包装材料有限公司内的闲置车间内）</w:t>
                  </w:r>
                  <w:r>
                    <w:rPr>
                      <w:rFonts w:hint="default" w:ascii="Times New Roman" w:hAnsi="Times New Roman" w:eastAsia="宋体" w:cs="Times New Roman"/>
                      <w:b w:val="0"/>
                      <w:bCs w:val="0"/>
                      <w:color w:val="auto"/>
                      <w:sz w:val="21"/>
                      <w:szCs w:val="21"/>
                      <w:u w:val="none"/>
                    </w:rPr>
                    <w:t>，用地属于工业园区规划用地，符合云南省主体功能区规划要求</w:t>
                  </w:r>
                </w:p>
              </w:tc>
              <w:tc>
                <w:tcPr>
                  <w:tcW w:w="478" w:type="pct"/>
                  <w:noWrap w:val="0"/>
                  <w:vAlign w:val="center"/>
                </w:tcPr>
                <w:p w14:paraId="5D44980D">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2C575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436" w:type="pct"/>
                  <w:tcBorders>
                    <w:bottom w:val="single" w:color="000000" w:sz="2" w:space="0"/>
                  </w:tcBorders>
                  <w:noWrap w:val="0"/>
                  <w:vAlign w:val="center"/>
                </w:tcPr>
                <w:p w14:paraId="49E56610">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w:t>
                  </w:r>
                </w:p>
              </w:tc>
              <w:tc>
                <w:tcPr>
                  <w:tcW w:w="2782" w:type="pct"/>
                  <w:tcBorders>
                    <w:bottom w:val="single" w:color="000000" w:sz="2" w:space="0"/>
                  </w:tcBorders>
                  <w:noWrap w:val="0"/>
                  <w:vAlign w:val="center"/>
                </w:tcPr>
                <w:p w14:paraId="067DDB94">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严格节能环保准入：提高高污染、高耗能行业准入门槛，进一步强化节能、环保指标约束，严控高污染、高耗能行业新增产能。对新增用能项目，要实施严格的节能评估审查和环境影响评价制度，把二氧化硫、氮氧化物、烟粉尘和挥发性有机物排放是否符合总量控制要求，作为建设项目环境影响评价审批的主要因素予以审查。未通过能评和环评审查的建设项目，有关部门不得审批、核准、备案。</w:t>
                  </w:r>
                </w:p>
              </w:tc>
              <w:tc>
                <w:tcPr>
                  <w:tcW w:w="1304" w:type="pct"/>
                  <w:vMerge w:val="restart"/>
                  <w:tcBorders>
                    <w:bottom w:val="single" w:color="000000" w:sz="2" w:space="0"/>
                  </w:tcBorders>
                  <w:noWrap w:val="0"/>
                  <w:vAlign w:val="center"/>
                </w:tcPr>
                <w:p w14:paraId="16DFB120">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1.项目为</w:t>
                  </w:r>
                  <w:r>
                    <w:rPr>
                      <w:rFonts w:hint="default" w:ascii="Times New Roman" w:hAnsi="Times New Roman" w:eastAsia="宋体" w:cs="Times New Roman"/>
                      <w:b w:val="0"/>
                      <w:bCs w:val="0"/>
                      <w:color w:val="auto"/>
                      <w:sz w:val="21"/>
                      <w:szCs w:val="21"/>
                      <w:u w:val="none"/>
                      <w:lang w:val="en-US" w:eastAsia="zh-CN"/>
                    </w:rPr>
                    <w:t>纸制品制造行业</w:t>
                  </w:r>
                  <w:r>
                    <w:rPr>
                      <w:rFonts w:hint="default" w:ascii="Times New Roman" w:hAnsi="Times New Roman" w:eastAsia="宋体" w:cs="Times New Roman"/>
                      <w:b w:val="0"/>
                      <w:bCs w:val="0"/>
                      <w:color w:val="auto"/>
                      <w:sz w:val="21"/>
                      <w:szCs w:val="21"/>
                      <w:u w:val="none"/>
                    </w:rPr>
                    <w:t>，未列入国家发展和改革委员会文件《产业结构调整指导目录（2024年本）》中淘汰类、限制类、鼓励类项目，根据国务院《促进产业结构调整暂行规定》（国发[2005]40号）第十三条“不属于鼓励类、限制类及淘汰类，且符合国家有关法律、法规和政策规定的，为允许类”。则项目不属于落后、过剩产能项目，不属于高能耗、高排放项目；</w:t>
                  </w:r>
                </w:p>
                <w:p w14:paraId="440581FA">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w:t>
                  </w:r>
                  <w:r>
                    <w:rPr>
                      <w:rFonts w:hint="default" w:ascii="Times New Roman" w:hAnsi="Times New Roman" w:eastAsia="宋体" w:cs="Times New Roman"/>
                      <w:color w:val="auto"/>
                      <w:sz w:val="21"/>
                      <w:szCs w:val="21"/>
                    </w:rPr>
                    <w:t>项目于202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日取得</w:t>
                  </w:r>
                  <w:r>
                    <w:rPr>
                      <w:rFonts w:hint="default" w:ascii="Times New Roman" w:hAnsi="Times New Roman" w:eastAsia="宋体" w:cs="Times New Roman"/>
                      <w:color w:val="auto"/>
                      <w:sz w:val="21"/>
                      <w:szCs w:val="21"/>
                      <w:lang w:eastAsia="zh-CN"/>
                    </w:rPr>
                    <w:t>玉溪市红塔区发展和改革局</w:t>
                  </w:r>
                  <w:r>
                    <w:rPr>
                      <w:rFonts w:hint="default" w:ascii="Times New Roman" w:hAnsi="Times New Roman" w:eastAsia="宋体" w:cs="Times New Roman"/>
                      <w:color w:val="auto"/>
                      <w:sz w:val="21"/>
                      <w:szCs w:val="21"/>
                    </w:rPr>
                    <w:t>核发的《云南省固定资产投资项目备案证》，项目代码</w:t>
                  </w:r>
                  <w:r>
                    <w:rPr>
                      <w:rFonts w:hint="default" w:ascii="Times New Roman" w:hAnsi="Times New Roman" w:eastAsia="宋体" w:cs="Times New Roman"/>
                      <w:color w:val="auto"/>
                      <w:sz w:val="21"/>
                      <w:szCs w:val="21"/>
                      <w:lang w:eastAsia="zh-CN"/>
                    </w:rPr>
                    <w:t>2511-530402-04-02-205949</w:t>
                  </w:r>
                  <w:r>
                    <w:rPr>
                      <w:rFonts w:hint="default" w:ascii="Times New Roman" w:hAnsi="Times New Roman" w:eastAsia="宋体" w:cs="Times New Roman"/>
                      <w:b w:val="0"/>
                      <w:bCs w:val="0"/>
                      <w:color w:val="auto"/>
                      <w:sz w:val="21"/>
                      <w:szCs w:val="21"/>
                      <w:u w:val="none"/>
                    </w:rPr>
                    <w:t>。</w:t>
                  </w:r>
                </w:p>
              </w:tc>
              <w:tc>
                <w:tcPr>
                  <w:tcW w:w="478" w:type="pct"/>
                  <w:vMerge w:val="restart"/>
                  <w:tcBorders>
                    <w:bottom w:val="single" w:color="000000" w:sz="2" w:space="0"/>
                  </w:tcBorders>
                  <w:noWrap w:val="0"/>
                  <w:vAlign w:val="center"/>
                </w:tcPr>
                <w:p w14:paraId="0EC66042">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7591D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436" w:type="pct"/>
                  <w:tcBorders>
                    <w:bottom w:val="single" w:color="000000" w:sz="2" w:space="0"/>
                  </w:tcBorders>
                  <w:noWrap w:val="0"/>
                  <w:vAlign w:val="center"/>
                </w:tcPr>
                <w:p w14:paraId="78F3D529">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w:t>
                  </w:r>
                </w:p>
              </w:tc>
              <w:tc>
                <w:tcPr>
                  <w:tcW w:w="2782" w:type="pct"/>
                  <w:tcBorders>
                    <w:bottom w:val="single" w:color="000000" w:sz="2" w:space="0"/>
                  </w:tcBorders>
                  <w:noWrap w:val="0"/>
                  <w:vAlign w:val="center"/>
                </w:tcPr>
                <w:p w14:paraId="4BD47EE0">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加快淘汰落后产能：:综合运用经济、技术和行政手段，提前1年完成全省“十二五”工业行业淘汰落后产能任务，结合各地产业发展实际和环境空气质量状况，争取在2015年底前再淘汰一批落后产能。按照《部分工业行业淘汰落后生产工艺装备和产品指导目录(2010年本)》、《产业结构调整指导目录(2011年本)(修正)》要求，重点针对钢铁、水泥等产能过剩行业制定“十三五”淘汰计划，确保国家下达的淘汰落后产能目标任务全面完成。</w:t>
                  </w:r>
                </w:p>
              </w:tc>
              <w:tc>
                <w:tcPr>
                  <w:tcW w:w="1304" w:type="pct"/>
                  <w:vMerge w:val="continue"/>
                  <w:tcBorders>
                    <w:bottom w:val="single" w:color="000000" w:sz="2" w:space="0"/>
                  </w:tcBorders>
                  <w:noWrap w:val="0"/>
                  <w:vAlign w:val="center"/>
                </w:tcPr>
                <w:p w14:paraId="4412B223">
                  <w:pPr>
                    <w:adjustRightInd w:val="0"/>
                    <w:snapToGrid w:val="0"/>
                    <w:jc w:val="center"/>
                    <w:rPr>
                      <w:rFonts w:hint="default" w:ascii="Times New Roman" w:hAnsi="Times New Roman" w:eastAsia="宋体" w:cs="Times New Roman"/>
                      <w:b w:val="0"/>
                      <w:bCs w:val="0"/>
                      <w:color w:val="auto"/>
                      <w:sz w:val="21"/>
                      <w:szCs w:val="21"/>
                      <w:u w:val="none"/>
                    </w:rPr>
                  </w:pPr>
                </w:p>
              </w:tc>
              <w:tc>
                <w:tcPr>
                  <w:tcW w:w="478" w:type="pct"/>
                  <w:vMerge w:val="continue"/>
                  <w:tcBorders>
                    <w:bottom w:val="single" w:color="000000" w:sz="2" w:space="0"/>
                  </w:tcBorders>
                  <w:noWrap w:val="0"/>
                  <w:vAlign w:val="center"/>
                </w:tcPr>
                <w:p w14:paraId="2485EA8D">
                  <w:pPr>
                    <w:adjustRightInd w:val="0"/>
                    <w:snapToGrid w:val="0"/>
                    <w:jc w:val="center"/>
                    <w:rPr>
                      <w:rFonts w:hint="default" w:ascii="Times New Roman" w:hAnsi="Times New Roman" w:eastAsia="宋体" w:cs="Times New Roman"/>
                      <w:b w:val="0"/>
                      <w:bCs w:val="0"/>
                      <w:color w:val="auto"/>
                      <w:sz w:val="21"/>
                      <w:szCs w:val="21"/>
                      <w:u w:val="none"/>
                    </w:rPr>
                  </w:pPr>
                </w:p>
              </w:tc>
            </w:tr>
            <w:tr w14:paraId="5022E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436" w:type="pct"/>
                  <w:noWrap w:val="0"/>
                  <w:vAlign w:val="center"/>
                </w:tcPr>
                <w:p w14:paraId="2B5CBA8C">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4</w:t>
                  </w:r>
                </w:p>
              </w:tc>
              <w:tc>
                <w:tcPr>
                  <w:tcW w:w="2782" w:type="pct"/>
                  <w:noWrap w:val="0"/>
                  <w:vAlign w:val="center"/>
                </w:tcPr>
                <w:p w14:paraId="492E498E">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全面整治燃煤小锅炉：①2014年底前，完成州、市人民政府所在地城市建成区“烟尘控制区”创建及划定工作，摸清燃煤小锅炉底数，建立燃煤锅炉综合整治台账，编制燃煤小锅炉淘汰方案。到2017年底，基本淘汰州、市人民政府所在地城市建成区内每小时10吨及以下燃煤锅炉；原则上不再新建、改建、扩建燃煤锅炉，禁止新建每小时20蒸吨以下燃煤锅炉。其他具备天然气供应和使用条件的地区，不再新建每小时10蒸吨以下燃煤锅炉。②产业聚集区要集中建设热电联产机组或大型集中供热设施，逐步淘汰分散燃煤锅炉。天然气干、支线可以覆盖的地区原则上不再审批以煤(油)作为燃料的新建、改建、扩建项目。</w:t>
                  </w:r>
                </w:p>
              </w:tc>
              <w:tc>
                <w:tcPr>
                  <w:tcW w:w="1304" w:type="pct"/>
                  <w:noWrap w:val="0"/>
                  <w:vAlign w:val="center"/>
                </w:tcPr>
                <w:p w14:paraId="1462217E">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w:t>
                  </w:r>
                  <w:r>
                    <w:rPr>
                      <w:rFonts w:hint="default" w:ascii="Times New Roman" w:hAnsi="Times New Roman" w:eastAsia="宋体" w:cs="Times New Roman"/>
                      <w:b w:val="0"/>
                      <w:bCs w:val="0"/>
                      <w:color w:val="auto"/>
                      <w:sz w:val="21"/>
                      <w:szCs w:val="21"/>
                      <w:u w:val="none"/>
                      <w:lang w:val="en-US" w:eastAsia="zh-CN"/>
                    </w:rPr>
                    <w:t>新建4t/h的生物质专用</w:t>
                  </w:r>
                  <w:r>
                    <w:rPr>
                      <w:rFonts w:hint="default" w:ascii="Times New Roman" w:hAnsi="Times New Roman" w:eastAsia="宋体" w:cs="Times New Roman"/>
                      <w:b w:val="0"/>
                      <w:bCs w:val="0"/>
                      <w:color w:val="auto"/>
                      <w:sz w:val="21"/>
                      <w:szCs w:val="21"/>
                      <w:u w:val="none"/>
                    </w:rPr>
                    <w:t>锅炉</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不属于淘汰类和限制类</w:t>
                  </w:r>
                  <w:r>
                    <w:rPr>
                      <w:rFonts w:hint="default" w:ascii="Times New Roman" w:hAnsi="Times New Roman" w:eastAsia="宋体" w:cs="Times New Roman"/>
                      <w:b w:val="0"/>
                      <w:bCs w:val="0"/>
                      <w:color w:val="auto"/>
                      <w:sz w:val="21"/>
                      <w:szCs w:val="21"/>
                      <w:u w:val="none"/>
                    </w:rPr>
                    <w:t>。</w:t>
                  </w:r>
                </w:p>
              </w:tc>
              <w:tc>
                <w:tcPr>
                  <w:tcW w:w="478" w:type="pct"/>
                  <w:noWrap w:val="0"/>
                  <w:vAlign w:val="center"/>
                </w:tcPr>
                <w:p w14:paraId="1DEE72B8">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1655F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436" w:type="pct"/>
                  <w:noWrap w:val="0"/>
                  <w:vAlign w:val="center"/>
                </w:tcPr>
                <w:p w14:paraId="7F272EBA">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5</w:t>
                  </w:r>
                </w:p>
              </w:tc>
              <w:tc>
                <w:tcPr>
                  <w:tcW w:w="2782" w:type="pct"/>
                  <w:noWrap w:val="0"/>
                  <w:vAlign w:val="center"/>
                </w:tcPr>
                <w:p w14:paraId="2D5930F3">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加强工业企业大气污染治理：①加快火电、水泥、钢铁、化工、有色金属冶炼等重点行业脱硫、脱硝及除尘改造工程建设。到2015年，现役燃煤机组必须安装脱硫设施并按照规定封堵或取消烟气旁路，不能稳定达标排放的要进行提升改造或者淘汰；20万千瓦以上燃煤机组要实施脱硝改造</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钢铁烧结机、球团设备要全面实施烟气脱硫改造</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现役新型干法水泥窑推行低氮燃烧技术改造，熟料生产规模在1000吨/日以上的生产线推行烟气脱硝改造。②制定钢铁、水泥、石化、有色金属冶炼等重点行业2014-2017年清洁生产审核分年度实施计划，并进行清洁生产审核。定期发布清洁生产审核企业名单，培育一批清洁生产示范企业。③推进挥发性有机物污染治理。制定加油站、储油库、油罐车油气回收治理计划，2017年底前完成治理工作</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开展有机化工、表面涂装、包装印刷等行业挥发性有机物的综合整治。</w:t>
                  </w:r>
                </w:p>
              </w:tc>
              <w:tc>
                <w:tcPr>
                  <w:tcW w:w="1304" w:type="pct"/>
                  <w:noWrap w:val="0"/>
                  <w:vAlign w:val="center"/>
                </w:tcPr>
                <w:p w14:paraId="00860ED9">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不涉及</w:t>
                  </w:r>
                </w:p>
              </w:tc>
              <w:tc>
                <w:tcPr>
                  <w:tcW w:w="478" w:type="pct"/>
                  <w:noWrap w:val="0"/>
                  <w:vAlign w:val="center"/>
                </w:tcPr>
                <w:p w14:paraId="01864D77">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2195A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gridSpan w:val="4"/>
                  <w:noWrap w:val="0"/>
                  <w:vAlign w:val="center"/>
                </w:tcPr>
                <w:p w14:paraId="22113C96">
                  <w:pPr>
                    <w:pStyle w:val="66"/>
                    <w:adjustRightInd w:val="0"/>
                    <w:snapToGrid w:val="0"/>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备注：其它与项目无关项未列入</w:t>
                  </w:r>
                </w:p>
              </w:tc>
            </w:tr>
          </w:tbl>
          <w:p w14:paraId="189B0B6C">
            <w:pPr>
              <w:pStyle w:val="82"/>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项目与《云南省大气污染防治行动实施方案》不冲突。</w:t>
            </w:r>
          </w:p>
          <w:p w14:paraId="148D99F2">
            <w:pPr>
              <w:pStyle w:val="82"/>
              <w:keepNext w:val="0"/>
              <w:keepLines w:val="0"/>
              <w:pageBreakBefore w:val="0"/>
              <w:widowControl w:val="0"/>
              <w:kinsoku/>
              <w:wordWrap/>
              <w:overflowPunct/>
              <w:topLinePunct w:val="0"/>
              <w:autoSpaceDE/>
              <w:autoSpaceDN/>
              <w:bidi w:val="0"/>
              <w:adjustRightInd/>
              <w:snapToGrid w:val="0"/>
              <w:ind w:firstLine="482"/>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lang w:val="en-US" w:eastAsia="zh-CN"/>
              </w:rPr>
              <w:t>9</w:t>
            </w:r>
            <w:r>
              <w:rPr>
                <w:rFonts w:hint="default" w:ascii="Times New Roman" w:hAnsi="Times New Roman" w:eastAsia="宋体" w:cs="Times New Roman"/>
                <w:b/>
                <w:bCs/>
                <w:color w:val="auto"/>
                <w:sz w:val="21"/>
                <w:szCs w:val="21"/>
                <w:u w:val="none"/>
              </w:rPr>
              <w:t>、与《玉溪市大气污染防治行动实施方案》相关符合性分析</w:t>
            </w:r>
          </w:p>
          <w:p w14:paraId="2DC0397B">
            <w:pPr>
              <w:pStyle w:val="66"/>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表1-1</w:t>
            </w:r>
            <w:r>
              <w:rPr>
                <w:rFonts w:hint="default" w:ascii="Times New Roman" w:hAnsi="Times New Roman" w:eastAsia="宋体" w:cs="Times New Roman"/>
                <w:b/>
                <w:bCs/>
                <w:color w:val="auto"/>
                <w:sz w:val="21"/>
                <w:szCs w:val="21"/>
                <w:u w:val="none"/>
                <w:lang w:val="en-US" w:eastAsia="zh-CN"/>
              </w:rPr>
              <w:t>0</w:t>
            </w:r>
            <w:r>
              <w:rPr>
                <w:rFonts w:hint="default" w:ascii="Times New Roman" w:hAnsi="Times New Roman" w:eastAsia="宋体" w:cs="Times New Roman"/>
                <w:b/>
                <w:bCs/>
                <w:color w:val="auto"/>
                <w:sz w:val="21"/>
                <w:szCs w:val="21"/>
                <w:u w:val="none"/>
              </w:rPr>
              <w:t>项目与《玉溪市大气污染防治行动实施方案》相关符合性分析</w:t>
            </w:r>
          </w:p>
          <w:tbl>
            <w:tblPr>
              <w:tblStyle w:val="25"/>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318"/>
              <w:gridCol w:w="6176"/>
              <w:gridCol w:w="1804"/>
              <w:gridCol w:w="318"/>
            </w:tblGrid>
            <w:tr w14:paraId="73BCB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0" w:type="auto"/>
                  <w:noWrap w:val="0"/>
                  <w:vAlign w:val="center"/>
                </w:tcPr>
                <w:p w14:paraId="3A4C77FF">
                  <w:pPr>
                    <w:pStyle w:val="66"/>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序号</w:t>
                  </w:r>
                </w:p>
              </w:tc>
              <w:tc>
                <w:tcPr>
                  <w:tcW w:w="3617" w:type="pct"/>
                  <w:noWrap w:val="0"/>
                  <w:vAlign w:val="center"/>
                </w:tcPr>
                <w:p w14:paraId="49CCA4C2">
                  <w:pPr>
                    <w:pStyle w:val="66"/>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内容</w:t>
                  </w:r>
                </w:p>
              </w:tc>
              <w:tc>
                <w:tcPr>
                  <w:tcW w:w="953" w:type="pct"/>
                  <w:noWrap w:val="0"/>
                  <w:vAlign w:val="center"/>
                </w:tcPr>
                <w:p w14:paraId="42DAA5B7">
                  <w:pPr>
                    <w:pStyle w:val="66"/>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相符性分析</w:t>
                  </w:r>
                </w:p>
              </w:tc>
              <w:tc>
                <w:tcPr>
                  <w:tcW w:w="0" w:type="auto"/>
                  <w:noWrap w:val="0"/>
                  <w:vAlign w:val="center"/>
                </w:tcPr>
                <w:p w14:paraId="79C8FA63">
                  <w:pPr>
                    <w:pStyle w:val="66"/>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符合性</w:t>
                  </w:r>
                </w:p>
              </w:tc>
            </w:tr>
            <w:tr w14:paraId="3E667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noWrap w:val="0"/>
                  <w:vAlign w:val="center"/>
                </w:tcPr>
                <w:p w14:paraId="5EF4C48C">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w:t>
                  </w:r>
                </w:p>
              </w:tc>
              <w:tc>
                <w:tcPr>
                  <w:tcW w:w="3617" w:type="pct"/>
                  <w:noWrap w:val="0"/>
                  <w:vAlign w:val="center"/>
                </w:tcPr>
                <w:p w14:paraId="2779B46E">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二）严格节能环保准入。提高高污染、高耗能行业准入门槛，进一步强化节能、环保指标约束，严控高污染、高耗能行业新增产能。对新增用能项目，要实施严格的节能评估审查和环境影响评价制度。把二氧化硫、氮氧化物、烟粉尘和挥发性有机物排放是否符合总量控制要求，作为建设项目环境影响评价审批的主要因素予以审查。未通过能评和环评审查的建设项目，有关部门不得审批、核准、备案。积极发展绿色建筑，新建建筑要严格执行强制性节能标准，大力推广使用太阳能热水系统和光伏建筑一体化等技术和装备。</w:t>
                  </w:r>
                </w:p>
              </w:tc>
              <w:tc>
                <w:tcPr>
                  <w:tcW w:w="953" w:type="pct"/>
                  <w:noWrap w:val="0"/>
                  <w:vAlign w:val="center"/>
                </w:tcPr>
                <w:p w14:paraId="236F9CDE">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w:t>
                  </w:r>
                  <w:r>
                    <w:rPr>
                      <w:rFonts w:hint="default" w:ascii="Times New Roman" w:hAnsi="Times New Roman" w:eastAsia="宋体" w:cs="Times New Roman"/>
                      <w:b w:val="0"/>
                      <w:bCs w:val="0"/>
                      <w:color w:val="auto"/>
                      <w:sz w:val="21"/>
                      <w:szCs w:val="21"/>
                      <w:u w:val="none"/>
                      <w:lang w:val="en-US" w:eastAsia="zh-CN"/>
                    </w:rPr>
                    <w:t>新建4t/h的生物质专用锅炉</w:t>
                  </w:r>
                  <w:r>
                    <w:rPr>
                      <w:rFonts w:hint="default" w:ascii="Times New Roman" w:hAnsi="Times New Roman" w:eastAsia="宋体" w:cs="Times New Roman"/>
                      <w:b w:val="0"/>
                      <w:bCs w:val="0"/>
                      <w:color w:val="auto"/>
                      <w:sz w:val="21"/>
                      <w:szCs w:val="21"/>
                      <w:u w:val="none"/>
                    </w:rPr>
                    <w:t>，为热力生产和供应行业，不属于高污染、高耗能行业。锅炉废气经</w:t>
                  </w:r>
                  <w:r>
                    <w:rPr>
                      <w:rFonts w:hint="default" w:ascii="Times New Roman" w:hAnsi="Times New Roman" w:eastAsia="宋体" w:cs="Times New Roman"/>
                      <w:b w:val="0"/>
                      <w:bCs/>
                      <w:color w:val="auto"/>
                      <w:sz w:val="21"/>
                      <w:szCs w:val="21"/>
                      <w:lang w:val="en-US" w:eastAsia="zh-CN"/>
                    </w:rPr>
                    <w:t>多管除尘+布袋除尘器</w:t>
                  </w:r>
                  <w:r>
                    <w:rPr>
                      <w:rFonts w:hint="default" w:ascii="Times New Roman" w:hAnsi="Times New Roman" w:eastAsia="宋体" w:cs="Times New Roman"/>
                      <w:b w:val="0"/>
                      <w:bCs w:val="0"/>
                      <w:color w:val="auto"/>
                      <w:sz w:val="21"/>
                      <w:szCs w:val="21"/>
                      <w:u w:val="none"/>
                      <w:lang w:val="en-US" w:eastAsia="zh-CN"/>
                    </w:rPr>
                    <w:t>处理后，通过</w:t>
                  </w:r>
                  <w:r>
                    <w:rPr>
                      <w:rFonts w:hint="default" w:ascii="Times New Roman" w:hAnsi="Times New Roman" w:eastAsia="宋体" w:cs="Times New Roman"/>
                      <w:b w:val="0"/>
                      <w:bCs w:val="0"/>
                      <w:color w:val="auto"/>
                      <w:sz w:val="21"/>
                      <w:szCs w:val="21"/>
                      <w:u w:val="none"/>
                    </w:rPr>
                    <w:t>1根</w:t>
                  </w:r>
                  <w:r>
                    <w:rPr>
                      <w:rFonts w:hint="default" w:ascii="Times New Roman" w:hAnsi="Times New Roman" w:eastAsia="宋体" w:cs="Times New Roman"/>
                      <w:b w:val="0"/>
                      <w:bCs w:val="0"/>
                      <w:color w:val="auto"/>
                      <w:sz w:val="21"/>
                      <w:szCs w:val="21"/>
                      <w:u w:val="none"/>
                      <w:lang w:val="en-US" w:eastAsia="zh-CN"/>
                    </w:rPr>
                    <w:t>35</w:t>
                  </w:r>
                  <w:r>
                    <w:rPr>
                      <w:rFonts w:hint="default" w:ascii="Times New Roman" w:hAnsi="Times New Roman" w:eastAsia="宋体" w:cs="Times New Roman"/>
                      <w:b w:val="0"/>
                      <w:bCs w:val="0"/>
                      <w:color w:val="auto"/>
                      <w:sz w:val="21"/>
                      <w:szCs w:val="21"/>
                      <w:u w:val="none"/>
                    </w:rPr>
                    <w:t>m高排气筒排放，二氧化硫、氮氧化物、烟粉尘能够达到《锅炉大气污染物排放标准》（GB13271-2014）中</w:t>
                  </w:r>
                  <w:r>
                    <w:rPr>
                      <w:rFonts w:hint="default" w:ascii="Times New Roman" w:hAnsi="Times New Roman" w:eastAsia="宋体" w:cs="Times New Roman"/>
                      <w:b w:val="0"/>
                      <w:bCs w:val="0"/>
                      <w:color w:val="auto"/>
                      <w:sz w:val="21"/>
                      <w:szCs w:val="21"/>
                      <w:u w:val="none"/>
                      <w:lang w:eastAsia="zh-CN"/>
                    </w:rPr>
                    <w:t>新建燃煤锅炉大气污染物排放限值</w:t>
                  </w:r>
                  <w:r>
                    <w:rPr>
                      <w:rFonts w:hint="default" w:ascii="Times New Roman" w:hAnsi="Times New Roman" w:eastAsia="宋体" w:cs="Times New Roman"/>
                      <w:b w:val="0"/>
                      <w:bCs w:val="0"/>
                      <w:color w:val="auto"/>
                      <w:sz w:val="21"/>
                      <w:szCs w:val="21"/>
                      <w:u w:val="none"/>
                    </w:rPr>
                    <w:t>，符合总量控制要求。</w:t>
                  </w:r>
                </w:p>
              </w:tc>
              <w:tc>
                <w:tcPr>
                  <w:tcW w:w="0" w:type="auto"/>
                  <w:noWrap w:val="0"/>
                  <w:vAlign w:val="center"/>
                </w:tcPr>
                <w:p w14:paraId="4BF63D24">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45C9D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noWrap w:val="0"/>
                  <w:vAlign w:val="center"/>
                </w:tcPr>
                <w:p w14:paraId="0BDBC433">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w:t>
                  </w:r>
                </w:p>
              </w:tc>
              <w:tc>
                <w:tcPr>
                  <w:tcW w:w="3617" w:type="pct"/>
                  <w:noWrap w:val="0"/>
                  <w:vAlign w:val="center"/>
                </w:tcPr>
                <w:p w14:paraId="025B208E">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四）加快清洁能源替代利用。优化调整能源结构，加大清洁能源推广使用力度。在做好生态保护和移民安置的基础上，积极推进水电开发，统筹协调中小水电发展，规范有序发展风电。积极开发以生物柴油、生物质固体成型燃料为主的生物质能，稳妥推进太阳能发电，加快推进太阳能多元化利用。加快建设和完善天然气管网及配套设施，不断扩大天然气利用规模。认真落实《玉溪市人民政府办公室关于印发玉溪市中心城区天然气利用发展三年行动计划的通知》（玉政办发〔2014〕113号），从2014年起，用3年左右的时间，全力推进中心城区天然气利用普及工作。各县区应逐步建设和完善天然气管网及配套设施，加快清洁能源替代，优化调整能源结构。</w:t>
                  </w:r>
                </w:p>
              </w:tc>
              <w:tc>
                <w:tcPr>
                  <w:tcW w:w="953" w:type="pct"/>
                  <w:noWrap w:val="0"/>
                  <w:vAlign w:val="center"/>
                </w:tcPr>
                <w:p w14:paraId="124A612E">
                  <w:pPr>
                    <w:pStyle w:val="66"/>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rPr>
                    <w:t>本项目所在地属于高污染燃料禁燃区</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color w:val="auto"/>
                      <w:sz w:val="21"/>
                      <w:szCs w:val="21"/>
                      <w:lang w:val="en-US" w:eastAsia="zh-CN"/>
                    </w:rPr>
                    <w:t>项目使用生物质专用锅炉，且配套多管除尘+布袋除尘高效除尘器，因此项目使用的生物质燃料不属于《高污染燃料目录》（2017年版）规定的第Ⅲ类高污染燃料</w:t>
                  </w:r>
                  <w:r>
                    <w:rPr>
                      <w:rFonts w:hint="default" w:ascii="Times New Roman" w:hAnsi="Times New Roman" w:eastAsia="宋体" w:cs="Times New Roman"/>
                      <w:b w:val="0"/>
                      <w:bCs w:val="0"/>
                      <w:color w:val="auto"/>
                      <w:sz w:val="21"/>
                      <w:szCs w:val="21"/>
                      <w:u w:val="none"/>
                      <w:lang w:eastAsia="zh-CN"/>
                    </w:rPr>
                    <w:t>。</w:t>
                  </w:r>
                </w:p>
              </w:tc>
              <w:tc>
                <w:tcPr>
                  <w:tcW w:w="0" w:type="auto"/>
                  <w:noWrap w:val="0"/>
                  <w:vAlign w:val="center"/>
                </w:tcPr>
                <w:p w14:paraId="568C8958">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595CD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noWrap w:val="0"/>
                  <w:vAlign w:val="center"/>
                </w:tcPr>
                <w:p w14:paraId="5120829A">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w:t>
                  </w:r>
                </w:p>
              </w:tc>
              <w:tc>
                <w:tcPr>
                  <w:tcW w:w="3617" w:type="pct"/>
                  <w:noWrap w:val="0"/>
                  <w:vAlign w:val="center"/>
                </w:tcPr>
                <w:p w14:paraId="38A31400">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五）转变生产、生活方式，逐步取缔高污染燃料。各县区政府所在地建成区全面禁止烧煤、烧柴，取缔燃煤锅炉、炉灶，推广使用天然气、液化石油气、电力、生物燃料等清洁能源。中心城区及各县县城所在地建成区在2016年底前制定并实施高污染燃料禁燃区管理规定。提高煤炭洗选比例，鼓励建设群矿型和矿区选煤厂，大力发展煤炭洗选加工技术，现有煤矿要加快结构调整和升级改造。发展洁净煤技术，实现煤炭高效洁净燃烧，新建高耗能项目单位产品（产值）能耗要达到国内先进水平。逐步淘汰各县区燃煤锅炉，到2017年底基本淘汰中心城区建成区内每小时10蒸吨及以下燃煤锅炉；原则上不再新建、改建、扩建燃煤锅炉，禁止新建每小时20蒸吨以下燃煤锅炉。其他具备天然气供应和使用条件的地区，不再新建每小时10蒸吨以下燃煤锅炉。2017年底前，县区政府所在地建成区全面禁止使用燃煤锅炉。产业聚集区要集中建设热电联产机组或大型集中供热设施，逐步淘汰分散燃煤锅炉。天然气干、支线可以覆盖的地区原则上不再审批以煤（油）作为燃料的新建、改建、扩建项目。</w:t>
                  </w:r>
                </w:p>
              </w:tc>
              <w:tc>
                <w:tcPr>
                  <w:tcW w:w="953" w:type="pct"/>
                  <w:noWrap w:val="0"/>
                  <w:vAlign w:val="center"/>
                </w:tcPr>
                <w:p w14:paraId="788ECF2A">
                  <w:pPr>
                    <w:pStyle w:val="66"/>
                    <w:jc w:val="center"/>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rPr>
                    <w:t>本项目所在地属于高污染燃料禁燃区</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color w:val="auto"/>
                      <w:sz w:val="21"/>
                      <w:szCs w:val="21"/>
                      <w:lang w:val="en-US" w:eastAsia="zh-CN"/>
                    </w:rPr>
                    <w:t>项目使用生物质专用锅炉，且配套多管除尘+布袋除尘高效除尘器，因此项目使用的生物质燃料不属于《高污染燃料目录》（2017年版）规定的第Ⅲ类高污染燃料</w:t>
                  </w:r>
                  <w:r>
                    <w:rPr>
                      <w:rFonts w:hint="default" w:ascii="Times New Roman" w:hAnsi="Times New Roman" w:eastAsia="宋体" w:cs="Times New Roman"/>
                      <w:b w:val="0"/>
                      <w:bCs w:val="0"/>
                      <w:color w:val="auto"/>
                      <w:sz w:val="21"/>
                      <w:szCs w:val="21"/>
                      <w:u w:val="none"/>
                      <w:lang w:eastAsia="zh-CN"/>
                    </w:rPr>
                    <w:t>。</w:t>
                  </w:r>
                </w:p>
              </w:tc>
              <w:tc>
                <w:tcPr>
                  <w:tcW w:w="0" w:type="auto"/>
                  <w:noWrap w:val="0"/>
                  <w:vAlign w:val="center"/>
                </w:tcPr>
                <w:p w14:paraId="494D9293">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228C0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noWrap w:val="0"/>
                  <w:vAlign w:val="center"/>
                </w:tcPr>
                <w:p w14:paraId="0ED0F1CC">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4</w:t>
                  </w:r>
                </w:p>
              </w:tc>
              <w:tc>
                <w:tcPr>
                  <w:tcW w:w="3617" w:type="pct"/>
                  <w:noWrap w:val="0"/>
                  <w:vAlign w:val="center"/>
                </w:tcPr>
                <w:p w14:paraId="26F79558">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八）深化城市扬尘污染治理。2014年底前，各县区人民政府要制定并完善工程建设工地扬尘管理措施办法，明确部门职责，加强施工扬尘监管，积极推进绿色施工。城市建成区及周边地区的工程建设施工现场应全封闭设置围挡墙、施工围网、防风抑尘网，严禁敞开式作业，施工现场道路应进行地面硬化。渣土运输车辆进出施工工地要进行清洗，运输过程采取密闭措施，并按照指定路线运输，2017年底前基本安装卫星定位系统。县级以上城市要加大城市建成区内洒水等防风抑尘作业力度，推行道路机械化清扫等低尘作业方式；大型煤堆、料堆实现封闭存储或建设防风抑尘设施。</w:t>
                  </w:r>
                </w:p>
              </w:tc>
              <w:tc>
                <w:tcPr>
                  <w:tcW w:w="953" w:type="pct"/>
                  <w:noWrap w:val="0"/>
                  <w:vAlign w:val="center"/>
                </w:tcPr>
                <w:p w14:paraId="2E3D0729">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项目施工工程量小，扬尘产生量较少，措施的粉扬尘对周边环境影响较小。</w:t>
                  </w:r>
                </w:p>
              </w:tc>
              <w:tc>
                <w:tcPr>
                  <w:tcW w:w="0" w:type="auto"/>
                  <w:noWrap w:val="0"/>
                  <w:vAlign w:val="center"/>
                </w:tcPr>
                <w:p w14:paraId="04CCD67B">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14:paraId="25752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0" w:type="auto"/>
                  <w:gridSpan w:val="4"/>
                  <w:noWrap w:val="0"/>
                  <w:vAlign w:val="center"/>
                </w:tcPr>
                <w:p w14:paraId="2A590A31">
                  <w:pPr>
                    <w:pStyle w:val="66"/>
                    <w:jc w:val="center"/>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备注：其它与项目无关项未列入</w:t>
                  </w:r>
                </w:p>
              </w:tc>
            </w:tr>
          </w:tbl>
          <w:p w14:paraId="1C59C7B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项目与《玉溪市大气污染防治行动实施方案》不冲突。</w:t>
            </w:r>
          </w:p>
          <w:p w14:paraId="0FF85F5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lang w:val="en-US" w:eastAsia="zh-CN"/>
              </w:rPr>
              <w:t>11</w:t>
            </w:r>
            <w:r>
              <w:rPr>
                <w:rFonts w:hint="default" w:ascii="Times New Roman" w:hAnsi="Times New Roman" w:eastAsia="宋体" w:cs="Times New Roman"/>
                <w:b/>
                <w:bCs/>
                <w:color w:val="auto"/>
                <w:sz w:val="21"/>
                <w:szCs w:val="21"/>
                <w:u w:val="none"/>
              </w:rPr>
              <w:t>、与《玉溪市关于深入打好污染防治攻坚战的实施方案》符合性分析</w:t>
            </w:r>
          </w:p>
          <w:p w14:paraId="7844F7B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为贯彻落实《中共中央、国务院关于深入打好污染防治攻坚战的意见》（中发〔2021〕40号）以及《中共云南省委、云南省人民政府关于深入打好污染防治攻坚战的实施意见》（云发〔2022〕20号）精神，进一步加强生态环境保护，深入打好污染防治攻坚战，结合玉溪实际，玉溪市人民政府2023年4月23日印发了该实施方案。本项目与其相关内容符合性分析见下表：</w:t>
            </w:r>
          </w:p>
          <w:p w14:paraId="1792FD6A">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bCs/>
                <w:color w:val="auto"/>
                <w:sz w:val="21"/>
                <w:szCs w:val="21"/>
                <w:u w:val="none"/>
              </w:rPr>
              <w:t>表1-1</w:t>
            </w:r>
            <w:r>
              <w:rPr>
                <w:rFonts w:hint="default" w:ascii="Times New Roman" w:hAnsi="Times New Roman" w:eastAsia="宋体" w:cs="Times New Roman"/>
                <w:b/>
                <w:bCs/>
                <w:color w:val="auto"/>
                <w:sz w:val="21"/>
                <w:szCs w:val="21"/>
                <w:u w:val="none"/>
                <w:lang w:val="en-US" w:eastAsia="zh-CN"/>
              </w:rPr>
              <w:t>2</w:t>
            </w:r>
            <w:r>
              <w:rPr>
                <w:rFonts w:hint="default" w:ascii="Times New Roman" w:hAnsi="Times New Roman" w:eastAsia="宋体" w:cs="Times New Roman"/>
                <w:b/>
                <w:bCs/>
                <w:color w:val="auto"/>
                <w:sz w:val="21"/>
                <w:szCs w:val="21"/>
                <w:u w:val="none"/>
              </w:rPr>
              <w:t>项目与《玉溪市关于深入打好污染防治攻坚战的实施方案》符合性分析</w:t>
            </w:r>
          </w:p>
          <w:tbl>
            <w:tblPr>
              <w:tblStyle w:val="25"/>
              <w:tblW w:w="863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8"/>
              <w:gridCol w:w="3887"/>
              <w:gridCol w:w="3246"/>
              <w:gridCol w:w="832"/>
            </w:tblGrid>
            <w:tr w14:paraId="07D50D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668" w:type="dxa"/>
                  <w:noWrap w:val="0"/>
                  <w:vAlign w:val="center"/>
                </w:tcPr>
                <w:p w14:paraId="472EB2A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序号</w:t>
                  </w:r>
                </w:p>
              </w:tc>
              <w:tc>
                <w:tcPr>
                  <w:tcW w:w="3887" w:type="dxa"/>
                  <w:noWrap w:val="0"/>
                  <w:vAlign w:val="center"/>
                </w:tcPr>
                <w:p w14:paraId="164F9E5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《玉溪市关于深入打好污染防治攻坚战的实施方案》相关要求</w:t>
                  </w:r>
                </w:p>
              </w:tc>
              <w:tc>
                <w:tcPr>
                  <w:tcW w:w="3246" w:type="dxa"/>
                  <w:noWrap w:val="0"/>
                  <w:vAlign w:val="center"/>
                </w:tcPr>
                <w:p w14:paraId="6FD9D24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本项目情况</w:t>
                  </w:r>
                </w:p>
              </w:tc>
              <w:tc>
                <w:tcPr>
                  <w:tcW w:w="832" w:type="dxa"/>
                  <w:noWrap w:val="0"/>
                  <w:vAlign w:val="center"/>
                </w:tcPr>
                <w:p w14:paraId="2BE7A88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符合性</w:t>
                  </w:r>
                </w:p>
              </w:tc>
            </w:tr>
            <w:tr w14:paraId="3707B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68" w:type="dxa"/>
                  <w:noWrap w:val="0"/>
                  <w:vAlign w:val="center"/>
                </w:tcPr>
                <w:p w14:paraId="5191148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1</w:t>
                  </w:r>
                </w:p>
              </w:tc>
              <w:tc>
                <w:tcPr>
                  <w:tcW w:w="3887" w:type="dxa"/>
                  <w:noWrap w:val="0"/>
                  <w:vAlign w:val="center"/>
                </w:tcPr>
                <w:p w14:paraId="157F9BD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推动能源清洁低碳转型。在保障能源安全的前提下，严格合理控制煤炭消费增长，有序减量替代。推广天然气利用，完善电网建设，加快推动新能源项目建设投产，推进“风光水储”多能互补，不断优化能源结构。</w:t>
                  </w:r>
                </w:p>
              </w:tc>
              <w:tc>
                <w:tcPr>
                  <w:tcW w:w="3246" w:type="dxa"/>
                  <w:noWrap w:val="0"/>
                  <w:vAlign w:val="center"/>
                </w:tcPr>
                <w:p w14:paraId="739AA7C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lang w:eastAsia="zh-CN"/>
                    </w:rPr>
                  </w:pPr>
                  <w:r>
                    <w:rPr>
                      <w:rFonts w:hint="default" w:ascii="Times New Roman" w:hAnsi="Times New Roman" w:eastAsia="宋体" w:cs="Times New Roman"/>
                      <w:b w:val="0"/>
                      <w:bCs w:val="0"/>
                      <w:color w:val="auto"/>
                      <w:sz w:val="21"/>
                      <w:szCs w:val="21"/>
                      <w:u w:val="none"/>
                    </w:rPr>
                    <w:t>本项目所在地属于高污染燃料禁燃区</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color w:val="auto"/>
                      <w:sz w:val="21"/>
                      <w:szCs w:val="21"/>
                      <w:lang w:val="en-US" w:eastAsia="zh-CN"/>
                    </w:rPr>
                    <w:t>项目使用生物质专用锅炉，且配套多管除尘+布袋除尘高效除尘器，因此项目使用的生物质燃料不属于《高污染燃料目录》（2017年版）规定的第Ⅲ类高污染燃料</w:t>
                  </w:r>
                  <w:r>
                    <w:rPr>
                      <w:rFonts w:hint="default" w:ascii="Times New Roman" w:hAnsi="Times New Roman" w:eastAsia="宋体" w:cs="Times New Roman"/>
                      <w:b w:val="0"/>
                      <w:color w:val="auto"/>
                      <w:sz w:val="21"/>
                      <w:szCs w:val="21"/>
                      <w:u w:val="none"/>
                      <w:lang w:eastAsia="zh-CN"/>
                    </w:rPr>
                    <w:t>。</w:t>
                  </w:r>
                </w:p>
              </w:tc>
              <w:tc>
                <w:tcPr>
                  <w:tcW w:w="832" w:type="dxa"/>
                  <w:noWrap w:val="0"/>
                  <w:vAlign w:val="center"/>
                </w:tcPr>
                <w:p w14:paraId="7694EB5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符合</w:t>
                  </w:r>
                </w:p>
              </w:tc>
            </w:tr>
            <w:tr w14:paraId="5C485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68" w:type="dxa"/>
                  <w:noWrap w:val="0"/>
                  <w:vAlign w:val="center"/>
                </w:tcPr>
                <w:p w14:paraId="4DB5BB7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color w:val="auto"/>
                      <w:sz w:val="21"/>
                      <w:szCs w:val="21"/>
                      <w:u w:val="none"/>
                    </w:rPr>
                    <w:t>2</w:t>
                  </w:r>
                </w:p>
              </w:tc>
              <w:tc>
                <w:tcPr>
                  <w:tcW w:w="3887" w:type="dxa"/>
                  <w:noWrap w:val="0"/>
                  <w:vAlign w:val="center"/>
                </w:tcPr>
                <w:p w14:paraId="4AC81AE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坚决遏制高耗能高排放项目盲目发展。严把高耗能高排放项目准入关口，落实污染物削减要求。深入推进产业补链延链强链、绿色低碳转型。严格落实产能置换和控制政策，推动钢铁等行业高质量发展。</w:t>
                  </w:r>
                </w:p>
              </w:tc>
              <w:tc>
                <w:tcPr>
                  <w:tcW w:w="3246" w:type="dxa"/>
                  <w:noWrap w:val="0"/>
                  <w:vAlign w:val="center"/>
                </w:tcPr>
                <w:p w14:paraId="264FE72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本项目不属于高污染高耗能高排放行业。</w:t>
                  </w:r>
                </w:p>
              </w:tc>
              <w:tc>
                <w:tcPr>
                  <w:tcW w:w="832" w:type="dxa"/>
                  <w:noWrap w:val="0"/>
                  <w:vAlign w:val="center"/>
                </w:tcPr>
                <w:p w14:paraId="3890FFC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color w:val="auto"/>
                      <w:sz w:val="21"/>
                      <w:szCs w:val="21"/>
                      <w:u w:val="none"/>
                    </w:rPr>
                    <w:t>符合</w:t>
                  </w:r>
                </w:p>
              </w:tc>
            </w:tr>
            <w:tr w14:paraId="42575B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668" w:type="dxa"/>
                  <w:noWrap w:val="0"/>
                  <w:vAlign w:val="center"/>
                </w:tcPr>
                <w:p w14:paraId="0BC6C22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color w:val="auto"/>
                      <w:sz w:val="21"/>
                      <w:szCs w:val="21"/>
                      <w:u w:val="none"/>
                    </w:rPr>
                    <w:t>3</w:t>
                  </w:r>
                </w:p>
              </w:tc>
              <w:tc>
                <w:tcPr>
                  <w:tcW w:w="3887" w:type="dxa"/>
                  <w:noWrap w:val="0"/>
                  <w:vAlign w:val="center"/>
                </w:tcPr>
                <w:p w14:paraId="31F8E7B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加强生态环境分区管控。优化“三线一单”生态环境分区管控格局，细化落实分区管控要求，加强成果运用。严格规划环评审查和项目环评准入，健全以环评制度为主体的源头预防体系。</w:t>
                  </w:r>
                </w:p>
              </w:tc>
              <w:tc>
                <w:tcPr>
                  <w:tcW w:w="3246" w:type="dxa"/>
                  <w:noWrap w:val="0"/>
                  <w:vAlign w:val="center"/>
                </w:tcPr>
                <w:p w14:paraId="681D108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本项目符合“三线一单”的管控要求。</w:t>
                  </w:r>
                </w:p>
              </w:tc>
              <w:tc>
                <w:tcPr>
                  <w:tcW w:w="832" w:type="dxa"/>
                  <w:noWrap w:val="0"/>
                  <w:vAlign w:val="center"/>
                </w:tcPr>
                <w:p w14:paraId="2E6C716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lang w:eastAsia="en-US"/>
                    </w:rPr>
                  </w:pPr>
                  <w:r>
                    <w:rPr>
                      <w:rFonts w:hint="default" w:ascii="Times New Roman" w:hAnsi="Times New Roman" w:eastAsia="宋体" w:cs="Times New Roman"/>
                      <w:b w:val="0"/>
                      <w:bCs w:val="0"/>
                      <w:color w:val="auto"/>
                      <w:spacing w:val="3"/>
                      <w:sz w:val="21"/>
                      <w:szCs w:val="21"/>
                      <w:u w:val="none"/>
                      <w:lang w:eastAsia="en-US"/>
                    </w:rPr>
                    <w:t>符合</w:t>
                  </w:r>
                </w:p>
              </w:tc>
            </w:tr>
            <w:tr w14:paraId="300355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7" w:hRule="atLeast"/>
                <w:jc w:val="center"/>
              </w:trPr>
              <w:tc>
                <w:tcPr>
                  <w:tcW w:w="668" w:type="dxa"/>
                  <w:noWrap w:val="0"/>
                  <w:vAlign w:val="center"/>
                </w:tcPr>
                <w:p w14:paraId="5B8DA45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pacing w:val="1"/>
                      <w:sz w:val="21"/>
                      <w:szCs w:val="21"/>
                      <w:u w:val="none"/>
                    </w:rPr>
                    <w:t>4</w:t>
                  </w:r>
                </w:p>
              </w:tc>
              <w:tc>
                <w:tcPr>
                  <w:tcW w:w="3887" w:type="dxa"/>
                  <w:noWrap w:val="0"/>
                  <w:vAlign w:val="center"/>
                </w:tcPr>
                <w:p w14:paraId="708411A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rPr>
                  </w:pPr>
                  <w:r>
                    <w:rPr>
                      <w:rFonts w:hint="default" w:ascii="Times New Roman" w:hAnsi="Times New Roman" w:eastAsia="宋体" w:cs="Times New Roman"/>
                      <w:b w:val="0"/>
                      <w:color w:val="auto"/>
                      <w:sz w:val="21"/>
                      <w:szCs w:val="21"/>
                      <w:u w:val="none"/>
                    </w:rPr>
                    <w:t>严密防控环境风险。开展涉危险废物涉重金属企业、化工园区等重点领域环境风险调查评估，加强危险化学品运输全链条安全监管。</w:t>
                  </w:r>
                </w:p>
              </w:tc>
              <w:tc>
                <w:tcPr>
                  <w:tcW w:w="3246" w:type="dxa"/>
                  <w:noWrap w:val="0"/>
                  <w:vAlign w:val="center"/>
                </w:tcPr>
                <w:p w14:paraId="08FD318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color w:val="auto"/>
                      <w:sz w:val="21"/>
                      <w:szCs w:val="21"/>
                      <w:u w:val="none"/>
                      <w:lang w:val="en-US" w:eastAsia="zh-CN"/>
                    </w:rPr>
                  </w:pPr>
                  <w:r>
                    <w:rPr>
                      <w:rFonts w:hint="default" w:ascii="Times New Roman" w:hAnsi="Times New Roman" w:eastAsia="宋体" w:cs="Times New Roman"/>
                      <w:b w:val="0"/>
                      <w:color w:val="auto"/>
                      <w:sz w:val="21"/>
                      <w:szCs w:val="21"/>
                      <w:u w:val="none"/>
                    </w:rPr>
                    <w:t>本项目</w:t>
                  </w:r>
                  <w:r>
                    <w:rPr>
                      <w:rFonts w:hint="default" w:ascii="Times New Roman" w:hAnsi="Times New Roman" w:eastAsia="宋体" w:cs="Times New Roman"/>
                      <w:b w:val="0"/>
                      <w:color w:val="auto"/>
                      <w:sz w:val="21"/>
                      <w:szCs w:val="21"/>
                      <w:u w:val="none"/>
                      <w:lang w:val="en-US" w:eastAsia="zh-CN"/>
                    </w:rPr>
                    <w:t>涉及的危险废物为机修时产生的废机油，依托现有危废暂存间储存，定期委托具有资质的单位清运处置。</w:t>
                  </w:r>
                  <w:r>
                    <w:rPr>
                      <w:rFonts w:hint="default" w:ascii="Times New Roman" w:hAnsi="Times New Roman" w:eastAsia="宋体" w:cs="Times New Roman"/>
                      <w:color w:val="auto"/>
                      <w:sz w:val="21"/>
                      <w:szCs w:val="21"/>
                      <w:lang w:val="en-US" w:eastAsia="zh-CN"/>
                    </w:rPr>
                    <w:t>本次评价建议企业强化危险化学品运输管理，定期修订《突发环境事件应急预案》，并开展开展应急演练。</w:t>
                  </w:r>
                </w:p>
              </w:tc>
              <w:tc>
                <w:tcPr>
                  <w:tcW w:w="832" w:type="dxa"/>
                  <w:noWrap w:val="0"/>
                  <w:vAlign w:val="center"/>
                </w:tcPr>
                <w:p w14:paraId="736FABD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val="0"/>
                      <w:bCs w:val="0"/>
                      <w:color w:val="auto"/>
                      <w:spacing w:val="3"/>
                      <w:sz w:val="21"/>
                      <w:szCs w:val="21"/>
                      <w:u w:val="none"/>
                    </w:rPr>
                    <w:t>符合</w:t>
                  </w:r>
                </w:p>
              </w:tc>
            </w:tr>
          </w:tbl>
          <w:p w14:paraId="7AAB661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综上，本项目符合《玉溪市关于深入打好污染防治攻坚战的实施方案》相关要求。</w:t>
            </w:r>
          </w:p>
          <w:p w14:paraId="6327A3C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12、与《高污染燃料目录》的符合性分析</w:t>
            </w:r>
          </w:p>
          <w:p w14:paraId="2F99EBD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根据生态环境部（原环境保护部）2017年3月27日发布的《高污染燃料目录》可知“按照控制严格程度，将禁燃区内禁止燃用的燃料组合分为Ⅰ类（一般）、Ⅱ类（较严）和Ⅲ类（严格）-（三）Ⅲ类-3．非专用锅炉或未配置高效除尘设施的专用锅炉燃用的生物质成型燃料。”</w:t>
            </w:r>
          </w:p>
          <w:p w14:paraId="4BDBD92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rPr>
              <w:t>本项目所在地属于高污染燃料禁燃区</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color w:val="auto"/>
                <w:sz w:val="21"/>
                <w:szCs w:val="21"/>
                <w:lang w:val="en-US" w:eastAsia="zh-CN"/>
              </w:rPr>
              <w:t>项目使用生物质专用锅炉，且配套多管除尘+布袋除尘高效除尘器，因此项目使用的生物质燃料不属于《高污染燃料目录》（2017年版）规定的第Ⅲ类高污染燃料</w:t>
            </w:r>
            <w:r>
              <w:rPr>
                <w:rFonts w:hint="default" w:ascii="Times New Roman" w:hAnsi="Times New Roman" w:eastAsia="宋体" w:cs="Times New Roman"/>
                <w:b w:val="0"/>
                <w:bCs w:val="0"/>
                <w:color w:val="auto"/>
                <w:sz w:val="21"/>
                <w:szCs w:val="21"/>
                <w:u w:val="none"/>
                <w:lang w:val="en-US" w:eastAsia="zh-CN"/>
              </w:rPr>
              <w:t>。</w:t>
            </w:r>
          </w:p>
          <w:p w14:paraId="334BA19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13、与</w:t>
            </w:r>
            <w:r>
              <w:rPr>
                <w:rFonts w:hint="default" w:ascii="Times New Roman" w:hAnsi="Times New Roman" w:eastAsia="宋体" w:cs="Times New Roman"/>
                <w:b/>
                <w:bCs/>
                <w:color w:val="auto"/>
                <w:sz w:val="21"/>
                <w:szCs w:val="21"/>
                <w:highlight w:val="none"/>
                <w:lang w:val="en-US" w:eastAsia="zh-CN"/>
              </w:rPr>
              <w:t>《云南省大气污染防治条例》符合性分析</w:t>
            </w:r>
          </w:p>
          <w:p w14:paraId="11B5DC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根据《云南省大气污染防治条例》第二十一条：钢铁、有色金属、建材、石油、炼焦、化工、铁合金、火电等工业企业以及燃煤锅炉使用单位应当按照规定配套建设、使用和维护除尘、脱硫、脱硝等装置。</w:t>
            </w:r>
          </w:p>
          <w:p w14:paraId="0D95FA9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本项目使用生物质专用锅炉，锅炉</w:t>
            </w:r>
            <w:r>
              <w:rPr>
                <w:rFonts w:hint="default" w:ascii="Times New Roman" w:hAnsi="Times New Roman" w:eastAsia="宋体" w:cs="Times New Roman"/>
                <w:b w:val="0"/>
                <w:bCs/>
                <w:color w:val="auto"/>
                <w:sz w:val="21"/>
                <w:szCs w:val="21"/>
                <w:lang w:val="en-US" w:eastAsia="zh-CN"/>
              </w:rPr>
              <w:t>废气经多管除尘+布袋除尘处理后，再由35m高的排气筒</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b w:val="0"/>
                <w:bCs/>
                <w:color w:val="auto"/>
                <w:sz w:val="21"/>
                <w:szCs w:val="21"/>
                <w:lang w:val="en-US" w:eastAsia="zh-CN"/>
              </w:rPr>
              <w:t>排放</w:t>
            </w:r>
            <w:r>
              <w:rPr>
                <w:rFonts w:hint="default" w:ascii="Times New Roman" w:hAnsi="Times New Roman" w:eastAsia="宋体" w:cs="Times New Roman"/>
                <w:b w:val="0"/>
                <w:bCs/>
                <w:color w:val="auto"/>
                <w:sz w:val="21"/>
                <w:szCs w:val="21"/>
                <w:vertAlign w:val="baseline"/>
                <w:lang w:val="en-US" w:eastAsia="zh-CN"/>
              </w:rPr>
              <w:t>；厂区安排专人定期对废气治理设备进行检修及维护。</w:t>
            </w:r>
          </w:p>
          <w:p w14:paraId="7D2F5DF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经采取以上措施后，根据本次评价预测项目</w:t>
            </w:r>
            <w:r>
              <w:rPr>
                <w:rFonts w:hint="default" w:ascii="Times New Roman" w:hAnsi="Times New Roman" w:eastAsia="宋体" w:cs="Times New Roman"/>
                <w:b w:val="0"/>
                <w:bCs w:val="0"/>
                <w:color w:val="auto"/>
                <w:kern w:val="0"/>
                <w:sz w:val="21"/>
                <w:szCs w:val="21"/>
                <w:u w:val="none"/>
              </w:rPr>
              <w:t>颗粒物、SO</w:t>
            </w:r>
            <w:r>
              <w:rPr>
                <w:rFonts w:hint="default" w:ascii="Times New Roman" w:hAnsi="Times New Roman" w:eastAsia="宋体" w:cs="Times New Roman"/>
                <w:b w:val="0"/>
                <w:bCs w:val="0"/>
                <w:color w:val="auto"/>
                <w:kern w:val="0"/>
                <w:sz w:val="21"/>
                <w:szCs w:val="21"/>
                <w:u w:val="none"/>
                <w:vertAlign w:val="subscript"/>
              </w:rPr>
              <w:t>2</w:t>
            </w:r>
            <w:r>
              <w:rPr>
                <w:rFonts w:hint="default" w:ascii="Times New Roman" w:hAnsi="Times New Roman" w:eastAsia="宋体" w:cs="Times New Roman"/>
                <w:b w:val="0"/>
                <w:bCs w:val="0"/>
                <w:color w:val="auto"/>
                <w:kern w:val="0"/>
                <w:sz w:val="21"/>
                <w:szCs w:val="21"/>
                <w:u w:val="none"/>
              </w:rPr>
              <w:t>、NO</w:t>
            </w:r>
            <w:r>
              <w:rPr>
                <w:rFonts w:hint="default" w:ascii="Times New Roman" w:hAnsi="Times New Roman" w:eastAsia="宋体" w:cs="Times New Roman"/>
                <w:b w:val="0"/>
                <w:bCs w:val="0"/>
                <w:color w:val="auto"/>
                <w:kern w:val="0"/>
                <w:sz w:val="21"/>
                <w:szCs w:val="21"/>
                <w:u w:val="none"/>
                <w:vertAlign w:val="subscript"/>
              </w:rPr>
              <w:t>x</w:t>
            </w:r>
            <w:r>
              <w:rPr>
                <w:rFonts w:hint="default" w:ascii="Times New Roman" w:hAnsi="Times New Roman" w:eastAsia="宋体" w:cs="Times New Roman"/>
                <w:b w:val="0"/>
                <w:bCs w:val="0"/>
                <w:color w:val="auto"/>
                <w:kern w:val="0"/>
                <w:sz w:val="21"/>
                <w:szCs w:val="21"/>
                <w:u w:val="none"/>
                <w:vertAlign w:val="baseline"/>
                <w:lang w:eastAsia="zh-CN"/>
              </w:rPr>
              <w:t>、</w:t>
            </w:r>
            <w:r>
              <w:rPr>
                <w:rFonts w:hint="default" w:ascii="Times New Roman" w:hAnsi="Times New Roman" w:eastAsia="宋体" w:cs="Times New Roman"/>
                <w:b w:val="0"/>
                <w:bCs w:val="0"/>
                <w:color w:val="auto"/>
                <w:kern w:val="0"/>
                <w:sz w:val="21"/>
                <w:szCs w:val="21"/>
                <w:u w:val="none"/>
                <w:vertAlign w:val="baseline"/>
                <w:lang w:val="en-US" w:eastAsia="zh-CN"/>
              </w:rPr>
              <w:t>烟气黑度</w:t>
            </w:r>
            <w:r>
              <w:rPr>
                <w:rFonts w:hint="default" w:ascii="Times New Roman" w:hAnsi="Times New Roman" w:eastAsia="宋体" w:cs="Times New Roman"/>
                <w:b w:val="0"/>
                <w:bCs w:val="0"/>
                <w:color w:val="auto"/>
                <w:kern w:val="0"/>
                <w:sz w:val="21"/>
                <w:szCs w:val="21"/>
                <w:u w:val="none"/>
              </w:rPr>
              <w:t>执行</w:t>
            </w:r>
            <w:r>
              <w:rPr>
                <w:rFonts w:hint="default" w:ascii="Times New Roman" w:hAnsi="Times New Roman" w:eastAsia="宋体" w:cs="Times New Roman"/>
                <w:b w:val="0"/>
                <w:bCs w:val="0"/>
                <w:color w:val="auto"/>
                <w:kern w:val="0"/>
                <w:sz w:val="21"/>
                <w:szCs w:val="21"/>
                <w:u w:val="none"/>
                <w:lang w:eastAsia="zh-CN"/>
              </w:rPr>
              <w:t>《锅炉大气污染物排放标准》（GB13271-2014）表2新建燃煤锅炉大气污染物排放浓度限值</w:t>
            </w:r>
            <w:r>
              <w:rPr>
                <w:rFonts w:hint="default" w:ascii="Times New Roman" w:hAnsi="Times New Roman" w:eastAsia="宋体" w:cs="Times New Roman"/>
                <w:color w:val="auto"/>
                <w:sz w:val="21"/>
                <w:szCs w:val="21"/>
              </w:rPr>
              <w:t>，能达标排放</w:t>
            </w:r>
            <w:r>
              <w:rPr>
                <w:rFonts w:hint="default" w:ascii="Times New Roman" w:hAnsi="Times New Roman" w:eastAsia="宋体" w:cs="Times New Roman"/>
                <w:b w:val="0"/>
                <w:bCs w:val="0"/>
                <w:color w:val="auto"/>
                <w:kern w:val="0"/>
                <w:sz w:val="21"/>
                <w:szCs w:val="21"/>
                <w:u w:val="none"/>
              </w:rPr>
              <w:t>。</w:t>
            </w:r>
            <w:r>
              <w:rPr>
                <w:rFonts w:hint="default" w:ascii="Times New Roman" w:hAnsi="Times New Roman" w:eastAsia="宋体" w:cs="Times New Roman"/>
                <w:b w:val="0"/>
                <w:bCs w:val="0"/>
                <w:color w:val="auto"/>
                <w:kern w:val="0"/>
                <w:sz w:val="21"/>
                <w:szCs w:val="21"/>
                <w:u w:val="none"/>
                <w:lang w:val="en-US" w:eastAsia="zh-CN"/>
              </w:rPr>
              <w:t>烟囱高度执行</w:t>
            </w:r>
            <w:r>
              <w:rPr>
                <w:rFonts w:hint="default" w:ascii="Times New Roman" w:hAnsi="Times New Roman" w:eastAsia="宋体" w:cs="Times New Roman"/>
                <w:b w:val="0"/>
                <w:bCs w:val="0"/>
                <w:color w:val="auto"/>
                <w:kern w:val="0"/>
                <w:sz w:val="21"/>
                <w:szCs w:val="21"/>
                <w:u w:val="none"/>
              </w:rPr>
              <w:t>《锅炉大气污染物排放标准》（GB13271-2014）中“</w:t>
            </w:r>
            <w:r>
              <w:rPr>
                <w:rFonts w:hint="default" w:ascii="Times New Roman" w:hAnsi="Times New Roman" w:eastAsia="宋体" w:cs="Times New Roman"/>
                <w:b w:val="0"/>
                <w:bCs w:val="0"/>
                <w:color w:val="auto"/>
                <w:kern w:val="0"/>
                <w:sz w:val="21"/>
                <w:szCs w:val="21"/>
                <w:u w:val="none"/>
                <w:lang w:val="en-US" w:eastAsia="zh-CN"/>
              </w:rPr>
              <w:t>表4燃煤锅炉房烟囱允许高度</w:t>
            </w:r>
            <w:r>
              <w:rPr>
                <w:rFonts w:hint="default" w:ascii="Times New Roman" w:hAnsi="Times New Roman" w:eastAsia="宋体" w:cs="Times New Roman"/>
                <w:b w:val="0"/>
                <w:bCs w:val="0"/>
                <w:color w:val="auto"/>
                <w:kern w:val="0"/>
                <w:sz w:val="21"/>
                <w:szCs w:val="21"/>
                <w:u w:val="none"/>
              </w:rPr>
              <w:t>”</w:t>
            </w:r>
            <w:r>
              <w:rPr>
                <w:rFonts w:hint="default" w:ascii="Times New Roman" w:hAnsi="Times New Roman" w:eastAsia="宋体" w:cs="Times New Roman"/>
                <w:b w:val="0"/>
                <w:bCs w:val="0"/>
                <w:color w:val="auto"/>
                <w:kern w:val="0"/>
                <w:sz w:val="21"/>
                <w:szCs w:val="21"/>
                <w:u w:val="none"/>
                <w:lang w:val="en-US" w:eastAsia="zh-CN"/>
              </w:rPr>
              <w:t>要求</w:t>
            </w:r>
            <w:r>
              <w:rPr>
                <w:rFonts w:hint="default" w:ascii="Times New Roman" w:hAnsi="Times New Roman" w:eastAsia="宋体" w:cs="Times New Roman"/>
                <w:color w:val="auto"/>
                <w:sz w:val="21"/>
                <w:szCs w:val="21"/>
                <w:highlight w:val="none"/>
                <w:lang w:val="en-US" w:eastAsia="zh-CN"/>
              </w:rPr>
              <w:t>。</w:t>
            </w:r>
          </w:p>
          <w:p w14:paraId="75D9C62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综上，本项目符合《云南省大气污染防治条例》相关要求。</w:t>
            </w:r>
          </w:p>
          <w:p w14:paraId="4EAE42E2">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14、项目与《云南省空气质量持续改善行动计划》（云政发〔2024〕14号）相符性分析</w:t>
            </w:r>
          </w:p>
          <w:p w14:paraId="496EAD1D">
            <w:pPr>
              <w:keepNext w:val="0"/>
              <w:keepLines w:val="0"/>
              <w:pageBreakBefore w:val="0"/>
              <w:widowControl w:val="0"/>
              <w:kinsoku/>
              <w:wordWrap/>
              <w:overflowPunct/>
              <w:topLinePunct w:val="0"/>
              <w:bidi w:val="0"/>
              <w:snapToGrid w:val="0"/>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摘选部分与本项目相关内容，与其符合性分析见下表所示：</w:t>
            </w:r>
          </w:p>
          <w:p w14:paraId="2FD36ECC">
            <w:pPr>
              <w:keepNext w:val="0"/>
              <w:keepLines w:val="0"/>
              <w:pageBreakBefore w:val="0"/>
              <w:widowControl w:val="0"/>
              <w:kinsoku/>
              <w:wordWrap/>
              <w:overflowPunct/>
              <w:topLinePunct w:val="0"/>
              <w:bidi w:val="0"/>
              <w:snapToGrid w:val="0"/>
              <w:spacing w:line="360" w:lineRule="auto"/>
              <w:ind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表1-13项目与《云南省空气质量持续改善行动计划》符合分析表（摘抄）</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4020"/>
              <w:gridCol w:w="2889"/>
              <w:gridCol w:w="757"/>
            </w:tblGrid>
            <w:tr w14:paraId="7F28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pct"/>
                  <w:gridSpan w:val="2"/>
                  <w:vAlign w:val="center"/>
                </w:tcPr>
                <w:p w14:paraId="59D93910">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通知要求</w:t>
                  </w:r>
                </w:p>
              </w:tc>
              <w:tc>
                <w:tcPr>
                  <w:tcW w:w="1677" w:type="pct"/>
                  <w:vAlign w:val="center"/>
                </w:tcPr>
                <w:p w14:paraId="4535A975">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39" w:type="pct"/>
                  <w:vAlign w:val="center"/>
                </w:tcPr>
                <w:p w14:paraId="3FBA6DC1">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C13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Align w:val="center"/>
                </w:tcPr>
                <w:p w14:paraId="4CBB57DC">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Style w:val="28"/>
                      <w:rFonts w:hint="default" w:ascii="Times New Roman" w:hAnsi="Times New Roman" w:eastAsia="宋体" w:cs="Times New Roman"/>
                      <w:i w:val="0"/>
                      <w:iCs w:val="0"/>
                      <w:caps w:val="0"/>
                      <w:color w:val="auto"/>
                      <w:spacing w:val="0"/>
                      <w:sz w:val="21"/>
                      <w:szCs w:val="21"/>
                      <w:shd w:val="clear" w:fill="FFFFFF"/>
                    </w:rPr>
                    <w:t>二、优化产业结构</w:t>
                  </w:r>
                </w:p>
              </w:tc>
              <w:tc>
                <w:tcPr>
                  <w:tcW w:w="2334" w:type="pct"/>
                  <w:vAlign w:val="center"/>
                </w:tcPr>
                <w:p w14:paraId="3B20FCBE">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both"/>
                    <w:textAlignment w:val="auto"/>
                    <w:rPr>
                      <w:rFonts w:hint="default" w:ascii="Times New Roman" w:hAnsi="Times New Roman" w:eastAsia="宋体" w:cs="Times New Roman"/>
                      <w:i w:val="0"/>
                      <w:iCs w:val="0"/>
                      <w:caps w:val="0"/>
                      <w:color w:val="auto"/>
                      <w:spacing w:val="0"/>
                      <w:sz w:val="21"/>
                      <w:szCs w:val="21"/>
                      <w:shd w:val="clear" w:fill="FFFFFF"/>
                      <w:lang w:eastAsia="zh-CN"/>
                    </w:rPr>
                  </w:pP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一</w:t>
                  </w:r>
                  <w:r>
                    <w:rPr>
                      <w:rFonts w:hint="default" w:ascii="Times New Roman" w:hAnsi="Times New Roman" w:eastAsia="宋体" w:cs="Times New Roman"/>
                      <w:i w:val="0"/>
                      <w:iCs w:val="0"/>
                      <w:caps w:val="0"/>
                      <w:color w:val="auto"/>
                      <w:spacing w:val="0"/>
                      <w:sz w:val="21"/>
                      <w:szCs w:val="21"/>
                      <w:shd w:val="clear" w:fill="FFFFFF"/>
                      <w:lang w:eastAsia="zh-CN"/>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p w14:paraId="0FBB1A1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lang w:eastAsia="zh-CN"/>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677" w:type="pct"/>
                  <w:vAlign w:val="center"/>
                </w:tcPr>
                <w:p w14:paraId="5BDB5AB9">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符合《产业结构调整指导目录（2024年版）》、《玉溪市“三线一单”生态环境分区管控实施意见的通知》（玉政发〔2021〕15号）和玉溪市生态环境分区管控动态更新调整方案（2023年）等一系列行业政策文件</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val="en-US" w:eastAsia="zh-CN"/>
                    </w:rPr>
                    <w:t>不属于“两高一低”项目。</w:t>
                  </w:r>
                </w:p>
                <w:p w14:paraId="1C5A1538">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2、本项目不属于落后产能，对照《产业结构调整指导目录（2024年版）》，属于“允许类”，符合产业政策</w:t>
                  </w:r>
                  <w:r>
                    <w:rPr>
                      <w:rFonts w:hint="default" w:ascii="Times New Roman" w:hAnsi="Times New Roman" w:eastAsia="宋体" w:cs="Times New Roman"/>
                      <w:color w:val="auto"/>
                      <w:sz w:val="21"/>
                      <w:szCs w:val="21"/>
                    </w:rPr>
                    <w:t>。</w:t>
                  </w:r>
                </w:p>
              </w:tc>
              <w:tc>
                <w:tcPr>
                  <w:tcW w:w="439" w:type="pct"/>
                  <w:vAlign w:val="center"/>
                </w:tcPr>
                <w:p w14:paraId="5144B741">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6B5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pct"/>
                  <w:vAlign w:val="center"/>
                </w:tcPr>
                <w:p w14:paraId="649AC7A8">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Style w:val="28"/>
                      <w:rFonts w:hint="default" w:ascii="Times New Roman" w:hAnsi="Times New Roman" w:eastAsia="宋体" w:cs="Times New Roman"/>
                      <w:i w:val="0"/>
                      <w:iCs w:val="0"/>
                      <w:caps w:val="0"/>
                      <w:color w:val="auto"/>
                      <w:spacing w:val="0"/>
                      <w:sz w:val="21"/>
                      <w:szCs w:val="21"/>
                      <w:shd w:val="clear" w:fill="FFFFFF"/>
                    </w:rPr>
                    <w:t>三、优化能源结构</w:t>
                  </w:r>
                </w:p>
              </w:tc>
              <w:tc>
                <w:tcPr>
                  <w:tcW w:w="2334" w:type="pct"/>
                  <w:vAlign w:val="center"/>
                </w:tcPr>
                <w:p w14:paraId="28B68F8D">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（九）推动工业炉窑清洁能源替代。有序推进以电代煤，积极稳妥推进以气代煤。对以煤、石油焦、渣油、重油等为燃料的工业炉窑，加快使用工业余热、电能、天然气等清洁能源进行替代</w:t>
                  </w:r>
                  <w:r>
                    <w:rPr>
                      <w:rFonts w:hint="default" w:ascii="Times New Roman" w:hAnsi="Times New Roman" w:eastAsia="宋体" w:cs="Times New Roman"/>
                      <w:color w:val="auto"/>
                      <w:sz w:val="21"/>
                      <w:szCs w:val="21"/>
                    </w:rPr>
                    <w:t>。</w:t>
                  </w:r>
                </w:p>
              </w:tc>
              <w:tc>
                <w:tcPr>
                  <w:tcW w:w="1677" w:type="pct"/>
                  <w:vAlign w:val="center"/>
                </w:tcPr>
                <w:p w14:paraId="4BFD5C46">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本项目使用清洁能源生物质作为燃料</w:t>
                  </w:r>
                  <w:r>
                    <w:rPr>
                      <w:rFonts w:hint="default" w:ascii="Times New Roman" w:hAnsi="Times New Roman" w:eastAsia="宋体" w:cs="Times New Roman"/>
                      <w:color w:val="auto"/>
                      <w:sz w:val="21"/>
                      <w:szCs w:val="21"/>
                    </w:rPr>
                    <w:t>。</w:t>
                  </w:r>
                </w:p>
              </w:tc>
              <w:tc>
                <w:tcPr>
                  <w:tcW w:w="439" w:type="pct"/>
                  <w:vAlign w:val="center"/>
                </w:tcPr>
                <w:p w14:paraId="24A412D2">
                  <w:pPr>
                    <w:pStyle w:val="64"/>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3434A635">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15、</w:t>
            </w:r>
            <w:r>
              <w:rPr>
                <w:rFonts w:hint="default" w:ascii="Times New Roman" w:hAnsi="Times New Roman" w:eastAsia="宋体" w:cs="Times New Roman"/>
                <w:b/>
                <w:bCs/>
                <w:color w:val="auto"/>
                <w:sz w:val="21"/>
                <w:szCs w:val="21"/>
                <w:highlight w:val="none"/>
                <w:lang w:val="en-US" w:eastAsia="zh-CN"/>
              </w:rPr>
              <w:t>与《云南省关于深入打好污染防治攻坚战实施方案》符合性分析</w:t>
            </w:r>
          </w:p>
          <w:p w14:paraId="3BF0B368">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本项目与《云南省关于深入打好污染防治攻坚战实施方案》的符合性分析见下表：</w:t>
            </w:r>
          </w:p>
          <w:p w14:paraId="148E8DE8">
            <w:pPr>
              <w:pStyle w:val="3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表1-14</w:t>
            </w:r>
            <w:r>
              <w:rPr>
                <w:rFonts w:hint="default" w:ascii="Times New Roman" w:hAnsi="Times New Roman" w:eastAsia="宋体" w:cs="Times New Roman"/>
                <w:color w:val="auto"/>
                <w:sz w:val="21"/>
                <w:szCs w:val="21"/>
              </w:rPr>
              <w:t>与</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污染防治攻坚战实施方案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符合性分析</w:t>
            </w:r>
            <w:r>
              <w:rPr>
                <w:rFonts w:hint="default" w:ascii="Times New Roman" w:hAnsi="Times New Roman" w:eastAsia="宋体" w:cs="Times New Roman"/>
                <w:color w:val="auto"/>
                <w:sz w:val="21"/>
                <w:szCs w:val="21"/>
                <w:lang w:val="en-US" w:eastAsia="zh-CN"/>
              </w:rPr>
              <w:t>（摘抄）</w:t>
            </w:r>
          </w:p>
          <w:tbl>
            <w:tblPr>
              <w:tblStyle w:val="26"/>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024"/>
              <w:gridCol w:w="3029"/>
              <w:gridCol w:w="877"/>
            </w:tblGrid>
            <w:tr w14:paraId="5365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13D0016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序号</w:t>
                  </w:r>
                </w:p>
              </w:tc>
              <w:tc>
                <w:tcPr>
                  <w:tcW w:w="4024" w:type="dxa"/>
                  <w:vAlign w:val="center"/>
                </w:tcPr>
                <w:p w14:paraId="564FB10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eastAsia="zh-CN"/>
                    </w:rPr>
                    <w:t>方案</w:t>
                  </w:r>
                  <w:r>
                    <w:rPr>
                      <w:rFonts w:hint="default" w:ascii="Times New Roman" w:hAnsi="Times New Roman" w:eastAsia="宋体" w:cs="Times New Roman"/>
                      <w:b w:val="0"/>
                      <w:bCs/>
                      <w:color w:val="auto"/>
                      <w:sz w:val="21"/>
                      <w:szCs w:val="21"/>
                    </w:rPr>
                    <w:t>》要求</w:t>
                  </w:r>
                </w:p>
              </w:tc>
              <w:tc>
                <w:tcPr>
                  <w:tcW w:w="3029" w:type="dxa"/>
                  <w:vAlign w:val="center"/>
                </w:tcPr>
                <w:p w14:paraId="2449E4E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项目基本情况</w:t>
                  </w:r>
                </w:p>
              </w:tc>
              <w:tc>
                <w:tcPr>
                  <w:tcW w:w="877" w:type="dxa"/>
                  <w:vAlign w:val="center"/>
                </w:tcPr>
                <w:p w14:paraId="28323E8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符合性</w:t>
                  </w:r>
                </w:p>
              </w:tc>
            </w:tr>
            <w:tr w14:paraId="50A4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26CA8AA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4024" w:type="dxa"/>
                  <w:vAlign w:val="center"/>
                </w:tcPr>
                <w:p w14:paraId="7549095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lang w:val="en-US" w:eastAsia="zh-CN"/>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3029" w:type="dxa"/>
                  <w:vAlign w:val="center"/>
                </w:tcPr>
                <w:p w14:paraId="28B043F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eastAsia="zh-CN"/>
                    </w:rPr>
                    <w:t>本项目</w:t>
                  </w:r>
                  <w:r>
                    <w:rPr>
                      <w:rFonts w:hint="default" w:ascii="Times New Roman" w:hAnsi="Times New Roman" w:eastAsia="宋体" w:cs="Times New Roman"/>
                      <w:b w:val="0"/>
                      <w:bCs/>
                      <w:color w:val="auto"/>
                      <w:sz w:val="21"/>
                      <w:szCs w:val="21"/>
                      <w:lang w:val="en-US" w:eastAsia="zh-CN"/>
                    </w:rPr>
                    <w:t>锅炉使用能源为清洁能源生物质；若后续出台锅炉项目的碳达峰行动政策，企业应</w:t>
                  </w:r>
                  <w:r>
                    <w:rPr>
                      <w:rFonts w:hint="default" w:ascii="Times New Roman" w:hAnsi="Times New Roman" w:eastAsia="宋体" w:cs="Times New Roman"/>
                      <w:b w:val="0"/>
                      <w:bCs/>
                      <w:color w:val="auto"/>
                      <w:sz w:val="21"/>
                      <w:szCs w:val="21"/>
                      <w:lang w:eastAsia="zh-CN"/>
                    </w:rPr>
                    <w:t>积极响应并</w:t>
                  </w:r>
                  <w:r>
                    <w:rPr>
                      <w:rFonts w:hint="default" w:ascii="Times New Roman" w:hAnsi="Times New Roman" w:eastAsia="宋体" w:cs="Times New Roman"/>
                      <w:b w:val="0"/>
                      <w:bCs/>
                      <w:color w:val="auto"/>
                      <w:sz w:val="21"/>
                      <w:szCs w:val="21"/>
                      <w:lang w:val="en-US" w:eastAsia="zh-CN"/>
                    </w:rPr>
                    <w:t>推进企业绿色低碳发展。</w:t>
                  </w:r>
                </w:p>
              </w:tc>
              <w:tc>
                <w:tcPr>
                  <w:tcW w:w="877" w:type="dxa"/>
                  <w:vAlign w:val="center"/>
                </w:tcPr>
                <w:p w14:paraId="73B81A4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7E38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6F155E1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4024" w:type="dxa"/>
                  <w:vAlign w:val="center"/>
                </w:tcPr>
                <w:p w14:paraId="2B1BB19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rPr>
                    <w:t>坚决遏制高耗能高排放项目盲目发展。坚决停批停建不符合规定的项目，深入推进产业补链延链强链、绿色低碳转型。严格落实产能置换和产能控制政策，实施粗钢产能清理整顿。</w:t>
                  </w:r>
                </w:p>
              </w:tc>
              <w:tc>
                <w:tcPr>
                  <w:tcW w:w="3029" w:type="dxa"/>
                  <w:vAlign w:val="center"/>
                </w:tcPr>
                <w:p w14:paraId="716D99F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本项目不属于</w:t>
                  </w:r>
                  <w:r>
                    <w:rPr>
                      <w:rFonts w:hint="default" w:ascii="Times New Roman" w:hAnsi="Times New Roman" w:eastAsia="宋体" w:cs="Times New Roman"/>
                      <w:b w:val="0"/>
                      <w:bCs/>
                      <w:color w:val="auto"/>
                      <w:sz w:val="21"/>
                      <w:szCs w:val="21"/>
                      <w:highlight w:val="none"/>
                    </w:rPr>
                    <w:t>高耗能高排放项目</w:t>
                  </w:r>
                  <w:r>
                    <w:rPr>
                      <w:rFonts w:hint="default" w:ascii="Times New Roman" w:hAnsi="Times New Roman" w:eastAsia="宋体" w:cs="Times New Roman"/>
                      <w:b w:val="0"/>
                      <w:bCs/>
                      <w:color w:val="auto"/>
                      <w:sz w:val="21"/>
                      <w:szCs w:val="21"/>
                      <w:lang w:val="en-US" w:eastAsia="zh-CN"/>
                    </w:rPr>
                    <w:t>。</w:t>
                  </w:r>
                </w:p>
              </w:tc>
              <w:tc>
                <w:tcPr>
                  <w:tcW w:w="877" w:type="dxa"/>
                  <w:vAlign w:val="center"/>
                </w:tcPr>
                <w:p w14:paraId="59CF832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5257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53FB2F5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4024" w:type="dxa"/>
                  <w:vAlign w:val="center"/>
                </w:tcPr>
                <w:p w14:paraId="4753F21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lang w:val="en-US" w:eastAsia="zh-CN"/>
                    </w:rPr>
                    <w:t>推进清洁生产和能源资源节约高效利用。深入实施清洁生产改造，依法开展清洁生产审核。推进绿色能源与绿色制造融合发展。强化能源和水资源“双控”，加强重点领域节能，实施节水行动。</w:t>
                  </w:r>
                </w:p>
              </w:tc>
              <w:tc>
                <w:tcPr>
                  <w:tcW w:w="3029" w:type="dxa"/>
                  <w:vAlign w:val="center"/>
                </w:tcPr>
                <w:p w14:paraId="700A0A4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本项目</w:t>
                  </w:r>
                  <w:r>
                    <w:rPr>
                      <w:rFonts w:hint="default" w:ascii="Times New Roman" w:hAnsi="Times New Roman" w:eastAsia="宋体" w:cs="Times New Roman"/>
                      <w:b w:val="0"/>
                      <w:bCs/>
                      <w:color w:val="auto"/>
                      <w:sz w:val="21"/>
                      <w:szCs w:val="21"/>
                      <w:lang w:eastAsia="zh-CN"/>
                    </w:rPr>
                    <w:t>设备选型时同类设备选用低耗能设备；</w:t>
                  </w:r>
                  <w:r>
                    <w:rPr>
                      <w:rFonts w:hint="default" w:ascii="Times New Roman" w:hAnsi="Times New Roman" w:eastAsia="宋体" w:cs="Times New Roman"/>
                      <w:b w:val="0"/>
                      <w:bCs/>
                      <w:color w:val="auto"/>
                      <w:sz w:val="21"/>
                      <w:szCs w:val="21"/>
                      <w:lang w:val="en-US" w:eastAsia="zh-CN"/>
                    </w:rPr>
                    <w:t>本项目生产废水循环使用</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不外排，积极</w:t>
                  </w:r>
                  <w:r>
                    <w:rPr>
                      <w:rFonts w:hint="default" w:ascii="Times New Roman" w:hAnsi="Times New Roman" w:eastAsia="宋体" w:cs="Times New Roman"/>
                      <w:b w:val="0"/>
                      <w:bCs/>
                      <w:color w:val="auto"/>
                      <w:sz w:val="21"/>
                      <w:szCs w:val="21"/>
                      <w:highlight w:val="none"/>
                      <w:lang w:val="en-US" w:eastAsia="zh-CN"/>
                    </w:rPr>
                    <w:t>推进清洁生产和能源资源节约高效利用；企业将根据地方主管部门的要求，依法开展清洁生产审核和绿色制造</w:t>
                  </w:r>
                  <w:r>
                    <w:rPr>
                      <w:rFonts w:hint="default" w:ascii="Times New Roman" w:hAnsi="Times New Roman" w:eastAsia="宋体" w:cs="Times New Roman"/>
                      <w:b w:val="0"/>
                      <w:bCs/>
                      <w:color w:val="auto"/>
                      <w:sz w:val="21"/>
                      <w:szCs w:val="21"/>
                      <w:lang w:val="en-US" w:eastAsia="zh-CN"/>
                    </w:rPr>
                    <w:t>。</w:t>
                  </w:r>
                </w:p>
              </w:tc>
              <w:tc>
                <w:tcPr>
                  <w:tcW w:w="877" w:type="dxa"/>
                  <w:vAlign w:val="center"/>
                </w:tcPr>
                <w:p w14:paraId="0AF2F13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74D8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79D9578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p>
              </w:tc>
              <w:tc>
                <w:tcPr>
                  <w:tcW w:w="4024" w:type="dxa"/>
                  <w:vAlign w:val="center"/>
                </w:tcPr>
                <w:p w14:paraId="733C661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highlight w:val="none"/>
                      <w:lang w:val="en-US" w:eastAsia="zh-CN"/>
                    </w:rPr>
                    <w:t>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3029" w:type="dxa"/>
                  <w:vAlign w:val="center"/>
                </w:tcPr>
                <w:p w14:paraId="3648A01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根据环境质量现状评价结果，本项目区域环境质量达标。根据源强核算，本项目废气、</w:t>
                  </w:r>
                  <w:r>
                    <w:rPr>
                      <w:rFonts w:hint="default" w:ascii="Times New Roman" w:hAnsi="Times New Roman" w:eastAsia="宋体" w:cs="Times New Roman"/>
                      <w:b w:val="0"/>
                      <w:bCs/>
                      <w:color w:val="auto"/>
                      <w:sz w:val="21"/>
                      <w:szCs w:val="21"/>
                      <w:lang w:eastAsia="zh-CN"/>
                    </w:rPr>
                    <w:t>废水、</w:t>
                  </w:r>
                  <w:r>
                    <w:rPr>
                      <w:rFonts w:hint="default" w:ascii="Times New Roman" w:hAnsi="Times New Roman" w:eastAsia="宋体" w:cs="Times New Roman"/>
                      <w:b w:val="0"/>
                      <w:bCs/>
                      <w:color w:val="auto"/>
                      <w:sz w:val="21"/>
                      <w:szCs w:val="21"/>
                      <w:lang w:val="en-US" w:eastAsia="zh-CN"/>
                    </w:rPr>
                    <w:t>噪声均达标排放，对区域环境影响不大。本项目不涉及餐饮油烟治理</w:t>
                  </w:r>
                  <w:r>
                    <w:rPr>
                      <w:rFonts w:hint="default" w:ascii="Times New Roman" w:hAnsi="Times New Roman" w:eastAsia="宋体" w:cs="Times New Roman"/>
                      <w:b w:val="0"/>
                      <w:bCs/>
                      <w:color w:val="auto"/>
                      <w:sz w:val="21"/>
                      <w:szCs w:val="21"/>
                      <w:highlight w:val="none"/>
                      <w:lang w:val="en-US" w:eastAsia="zh-CN"/>
                    </w:rPr>
                    <w:t>。</w:t>
                  </w:r>
                </w:p>
              </w:tc>
              <w:tc>
                <w:tcPr>
                  <w:tcW w:w="877" w:type="dxa"/>
                  <w:vAlign w:val="center"/>
                </w:tcPr>
                <w:p w14:paraId="030E3D4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bl>
          <w:p w14:paraId="072EBA09">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综上，本项目符合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lang w:val="en-US" w:eastAsia="zh-CN"/>
              </w:rPr>
              <w:t>云南省关于深入打好污染防治攻坚战实施方案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的相关要求。</w:t>
            </w:r>
          </w:p>
          <w:p w14:paraId="1D0722E2">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16、与《2023年能源工作指导意见》的符合性分析</w:t>
            </w:r>
          </w:p>
          <w:p w14:paraId="19A9EAAA">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2023年4月6日国家能源局发布了《2023年能源工作指导意见》，文号：国能发规划〔2023〕30号；本项目与《2023年能源工作指导意见》的符合性分析见下表。</w:t>
            </w:r>
          </w:p>
          <w:p w14:paraId="7B75C333">
            <w:pPr>
              <w:pStyle w:val="3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表1-15</w:t>
            </w:r>
            <w:r>
              <w:rPr>
                <w:rFonts w:hint="default" w:ascii="Times New Roman" w:hAnsi="Times New Roman" w:eastAsia="宋体" w:cs="Times New Roman"/>
                <w:color w:val="auto"/>
                <w:sz w:val="21"/>
                <w:szCs w:val="21"/>
              </w:rPr>
              <w:t>与</w:t>
            </w:r>
            <w:r>
              <w:rPr>
                <w:rFonts w:hint="default" w:ascii="Times New Roman" w:hAnsi="Times New Roman" w:eastAsia="宋体" w:cs="Times New Roman"/>
                <w:b/>
                <w:bCs/>
                <w:color w:val="auto"/>
                <w:sz w:val="21"/>
                <w:szCs w:val="21"/>
                <w:highlight w:val="none"/>
                <w:lang w:val="en-US" w:eastAsia="zh-CN"/>
              </w:rPr>
              <w:t>《2023年能源工作指导意见》</w:t>
            </w:r>
            <w:r>
              <w:rPr>
                <w:rFonts w:hint="default" w:ascii="Times New Roman" w:hAnsi="Times New Roman" w:eastAsia="宋体" w:cs="Times New Roman"/>
                <w:color w:val="auto"/>
                <w:sz w:val="21"/>
                <w:szCs w:val="21"/>
              </w:rPr>
              <w:t>符合性分析</w:t>
            </w:r>
            <w:r>
              <w:rPr>
                <w:rFonts w:hint="default" w:ascii="Times New Roman" w:hAnsi="Times New Roman" w:eastAsia="宋体" w:cs="Times New Roman"/>
                <w:color w:val="auto"/>
                <w:sz w:val="21"/>
                <w:szCs w:val="21"/>
                <w:lang w:val="en-US" w:eastAsia="zh-CN"/>
              </w:rPr>
              <w:t>（摘抄）</w:t>
            </w:r>
          </w:p>
          <w:tbl>
            <w:tblPr>
              <w:tblStyle w:val="26"/>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703"/>
              <w:gridCol w:w="3350"/>
              <w:gridCol w:w="964"/>
            </w:tblGrid>
            <w:tr w14:paraId="120C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vAlign w:val="center"/>
                </w:tcPr>
                <w:p w14:paraId="30AC2002">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序号</w:t>
                  </w:r>
                </w:p>
              </w:tc>
              <w:tc>
                <w:tcPr>
                  <w:tcW w:w="3703" w:type="dxa"/>
                  <w:vAlign w:val="center"/>
                </w:tcPr>
                <w:p w14:paraId="30284C52">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指导意见</w:t>
                  </w:r>
                  <w:r>
                    <w:rPr>
                      <w:rFonts w:hint="default" w:ascii="Times New Roman" w:hAnsi="Times New Roman" w:eastAsia="宋体" w:cs="Times New Roman"/>
                      <w:b w:val="0"/>
                      <w:bCs/>
                      <w:color w:val="auto"/>
                      <w:sz w:val="21"/>
                      <w:szCs w:val="21"/>
                    </w:rPr>
                    <w:t>》要求</w:t>
                  </w:r>
                </w:p>
              </w:tc>
              <w:tc>
                <w:tcPr>
                  <w:tcW w:w="3350" w:type="dxa"/>
                  <w:vAlign w:val="center"/>
                </w:tcPr>
                <w:p w14:paraId="6753E502">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项目基本情况</w:t>
                  </w:r>
                </w:p>
              </w:tc>
              <w:tc>
                <w:tcPr>
                  <w:tcW w:w="964" w:type="dxa"/>
                  <w:vAlign w:val="center"/>
                </w:tcPr>
                <w:p w14:paraId="2A73A89B">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符合性</w:t>
                  </w:r>
                </w:p>
              </w:tc>
            </w:tr>
            <w:tr w14:paraId="3F8E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77D5DDC7">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3703" w:type="dxa"/>
                  <w:vAlign w:val="center"/>
                </w:tcPr>
                <w:p w14:paraId="678A0684">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val="0"/>
                      <w:color w:val="auto"/>
                      <w:kern w:val="0"/>
                      <w:sz w:val="21"/>
                      <w:szCs w:val="21"/>
                      <w:lang w:val="en-US" w:eastAsia="zh-CN" w:bidi="ar"/>
                    </w:rPr>
                    <w:t>坚持积极稳妥推进绿色低碳转型。</w:t>
                  </w:r>
                  <w:r>
                    <w:rPr>
                      <w:rFonts w:hint="default" w:ascii="Times New Roman" w:hAnsi="Times New Roman" w:eastAsia="宋体" w:cs="Times New Roman"/>
                      <w:color w:val="auto"/>
                      <w:kern w:val="0"/>
                      <w:sz w:val="21"/>
                      <w:szCs w:val="21"/>
                      <w:lang w:val="en-US" w:eastAsia="zh-CN" w:bidi="ar"/>
                    </w:rPr>
                    <w:t>深入推进能源领域碳达峰工作，加快构建新型电力系统，大力发展非化石能源，夯实新能源安全可靠替代基础，加强煤炭清洁高效利用，重点控制化石能源消费，扎实推进能源结构调整优化。</w:t>
                  </w:r>
                </w:p>
              </w:tc>
              <w:tc>
                <w:tcPr>
                  <w:tcW w:w="3350" w:type="dxa"/>
                  <w:vAlign w:val="center"/>
                </w:tcPr>
                <w:p w14:paraId="2CE4737E">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eastAsia="zh-CN"/>
                    </w:rPr>
                    <w:t>本项目</w:t>
                  </w:r>
                  <w:r>
                    <w:rPr>
                      <w:rFonts w:hint="default" w:ascii="Times New Roman" w:hAnsi="Times New Roman" w:eastAsia="宋体" w:cs="Times New Roman"/>
                      <w:b w:val="0"/>
                      <w:bCs/>
                      <w:color w:val="auto"/>
                      <w:sz w:val="21"/>
                      <w:szCs w:val="21"/>
                      <w:lang w:val="en-US" w:eastAsia="zh-CN"/>
                    </w:rPr>
                    <w:t>锅炉使用能源为清洁能源生物质；若后续出台锅炉项目的碳达峰行动政策，企业应</w:t>
                  </w:r>
                  <w:r>
                    <w:rPr>
                      <w:rFonts w:hint="default" w:ascii="Times New Roman" w:hAnsi="Times New Roman" w:eastAsia="宋体" w:cs="Times New Roman"/>
                      <w:b w:val="0"/>
                      <w:bCs/>
                      <w:color w:val="auto"/>
                      <w:sz w:val="21"/>
                      <w:szCs w:val="21"/>
                      <w:lang w:eastAsia="zh-CN"/>
                    </w:rPr>
                    <w:t>积极响应并</w:t>
                  </w:r>
                  <w:r>
                    <w:rPr>
                      <w:rFonts w:hint="default" w:ascii="Times New Roman" w:hAnsi="Times New Roman" w:eastAsia="宋体" w:cs="Times New Roman"/>
                      <w:b w:val="0"/>
                      <w:bCs/>
                      <w:color w:val="auto"/>
                      <w:sz w:val="21"/>
                      <w:szCs w:val="21"/>
                      <w:lang w:val="en-US" w:eastAsia="zh-CN"/>
                    </w:rPr>
                    <w:t>推进企业绿色低碳发展。</w:t>
                  </w:r>
                </w:p>
              </w:tc>
              <w:tc>
                <w:tcPr>
                  <w:tcW w:w="964" w:type="dxa"/>
                  <w:vAlign w:val="center"/>
                </w:tcPr>
                <w:p w14:paraId="1491B22F">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3EBF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120FDF73">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3703" w:type="dxa"/>
                  <w:vAlign w:val="center"/>
                </w:tcPr>
                <w:p w14:paraId="51CCBC07">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深入推进能源绿色低碳转型。巩固风电光伏产业发展优势，持续扩大清洁低碳能源供应，积极推动生产生活用能低碳化清洁化，供需两侧协同发力巩固拓展绿色低碳转型强劲势头。</w:t>
                  </w:r>
                </w:p>
                <w:p w14:paraId="59CDDF23">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rPr>
                  </w:pPr>
                </w:p>
              </w:tc>
              <w:tc>
                <w:tcPr>
                  <w:tcW w:w="3350" w:type="dxa"/>
                  <w:vAlign w:val="center"/>
                </w:tcPr>
                <w:p w14:paraId="248AE54F">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本项目采用清洁能源生物质作为燃料。</w:t>
                  </w:r>
                </w:p>
              </w:tc>
              <w:tc>
                <w:tcPr>
                  <w:tcW w:w="964" w:type="dxa"/>
                  <w:vAlign w:val="center"/>
                </w:tcPr>
                <w:p w14:paraId="143C2BD3">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bl>
          <w:p w14:paraId="41C8987F">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17、与《关于完善能源绿色低碳转型体制机制和政策措施的意见》的符合性分析</w:t>
            </w:r>
          </w:p>
          <w:p w14:paraId="46C134C9">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2022年1月30日</w:t>
            </w:r>
            <w:r>
              <w:rPr>
                <w:rFonts w:hint="default" w:ascii="Times New Roman" w:hAnsi="Times New Roman" w:eastAsia="宋体" w:cs="Times New Roman"/>
                <w:i w:val="0"/>
                <w:iCs w:val="0"/>
                <w:caps w:val="0"/>
                <w:color w:val="auto"/>
                <w:spacing w:val="0"/>
                <w:sz w:val="21"/>
                <w:szCs w:val="21"/>
                <w:shd w:val="clear" w:fill="FFFFFF"/>
              </w:rPr>
              <w:t>国家发展改革委、</w:t>
            </w:r>
            <w:r>
              <w:rPr>
                <w:rFonts w:hint="default" w:ascii="Times New Roman" w:hAnsi="Times New Roman" w:eastAsia="宋体" w:cs="Times New Roman"/>
                <w:color w:val="auto"/>
                <w:sz w:val="21"/>
                <w:szCs w:val="21"/>
                <w:highlight w:val="none"/>
                <w:lang w:val="en-US" w:eastAsia="zh-CN"/>
              </w:rPr>
              <w:t>国家能源局发布</w:t>
            </w:r>
            <w:r>
              <w:rPr>
                <w:rFonts w:hint="default" w:ascii="Times New Roman" w:hAnsi="Times New Roman" w:eastAsia="宋体" w:cs="Times New Roman"/>
                <w:i w:val="0"/>
                <w:iCs w:val="0"/>
                <w:caps w:val="0"/>
                <w:color w:val="auto"/>
                <w:spacing w:val="0"/>
                <w:sz w:val="21"/>
                <w:szCs w:val="21"/>
                <w:shd w:val="clear" w:fill="FFFFFF"/>
                <w:lang w:val="en-US" w:eastAsia="zh-CN"/>
              </w:rPr>
              <w:t>了《</w:t>
            </w:r>
            <w:r>
              <w:rPr>
                <w:rFonts w:hint="default" w:ascii="Times New Roman" w:hAnsi="Times New Roman" w:eastAsia="宋体" w:cs="Times New Roman"/>
                <w:i w:val="0"/>
                <w:iCs w:val="0"/>
                <w:caps w:val="0"/>
                <w:color w:val="auto"/>
                <w:spacing w:val="0"/>
                <w:sz w:val="21"/>
                <w:szCs w:val="21"/>
                <w:shd w:val="clear" w:fill="FFFFFF"/>
              </w:rPr>
              <w:t>关于完善能源绿色低碳转型体制机制和政策措施的意见</w:t>
            </w:r>
            <w:r>
              <w:rPr>
                <w:rFonts w:hint="default" w:ascii="Times New Roman" w:hAnsi="Times New Roman" w:eastAsia="宋体" w:cs="Times New Roman"/>
                <w:i w:val="0"/>
                <w:iCs w:val="0"/>
                <w:caps w:val="0"/>
                <w:color w:val="auto"/>
                <w:spacing w:val="0"/>
                <w:sz w:val="21"/>
                <w:szCs w:val="21"/>
                <w:shd w:val="clear" w:fill="FFFFFF"/>
                <w:lang w:val="en-US" w:eastAsia="zh-CN"/>
              </w:rPr>
              <w:t>》，文号：</w:t>
            </w:r>
            <w:r>
              <w:rPr>
                <w:rFonts w:hint="default" w:ascii="Times New Roman" w:hAnsi="Times New Roman" w:eastAsia="宋体" w:cs="Times New Roman"/>
                <w:i w:val="0"/>
                <w:iCs w:val="0"/>
                <w:caps w:val="0"/>
                <w:color w:val="auto"/>
                <w:spacing w:val="0"/>
                <w:sz w:val="21"/>
                <w:szCs w:val="21"/>
                <w:shd w:val="clear" w:fill="FFFFFF"/>
              </w:rPr>
              <w:t>发</w:t>
            </w:r>
            <w:r>
              <w:rPr>
                <w:rFonts w:hint="default" w:ascii="Times New Roman" w:hAnsi="Times New Roman" w:eastAsia="宋体" w:cs="Times New Roman"/>
                <w:color w:val="auto"/>
                <w:sz w:val="21"/>
                <w:szCs w:val="21"/>
                <w:highlight w:val="none"/>
                <w:lang w:val="en-US" w:eastAsia="zh-CN"/>
              </w:rPr>
              <w:t>改能源〔2022〕206号；本项目与《2023年能源工作指导意见》的符合性分析见下表。</w:t>
            </w:r>
          </w:p>
          <w:p w14:paraId="523CC3BD">
            <w:pPr>
              <w:pStyle w:val="3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表1-16</w:t>
            </w:r>
            <w:r>
              <w:rPr>
                <w:rFonts w:hint="default" w:ascii="Times New Roman" w:hAnsi="Times New Roman" w:eastAsia="宋体" w:cs="Times New Roman"/>
                <w:color w:val="auto"/>
                <w:sz w:val="21"/>
                <w:szCs w:val="21"/>
              </w:rPr>
              <w:t>与</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i w:val="0"/>
                <w:iCs w:val="0"/>
                <w:caps w:val="0"/>
                <w:color w:val="auto"/>
                <w:spacing w:val="0"/>
                <w:sz w:val="21"/>
                <w:szCs w:val="21"/>
                <w:shd w:val="clear" w:fill="FFFFFF"/>
              </w:rPr>
              <w:t>关于完善能源绿色低碳转型体制机制和政策措施的意见</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color w:val="auto"/>
                <w:sz w:val="21"/>
                <w:szCs w:val="21"/>
              </w:rPr>
              <w:t>符合性分析</w:t>
            </w:r>
            <w:r>
              <w:rPr>
                <w:rFonts w:hint="default" w:ascii="Times New Roman" w:hAnsi="Times New Roman" w:eastAsia="宋体" w:cs="Times New Roman"/>
                <w:color w:val="auto"/>
                <w:sz w:val="21"/>
                <w:szCs w:val="21"/>
                <w:lang w:val="en-US" w:eastAsia="zh-CN"/>
              </w:rPr>
              <w:t>（摘抄）</w:t>
            </w:r>
          </w:p>
          <w:tbl>
            <w:tblPr>
              <w:tblStyle w:val="26"/>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061"/>
              <w:gridCol w:w="3043"/>
              <w:gridCol w:w="870"/>
            </w:tblGrid>
            <w:tr w14:paraId="59AA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vAlign w:val="center"/>
                </w:tcPr>
                <w:p w14:paraId="1055E217">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序号</w:t>
                  </w:r>
                </w:p>
              </w:tc>
              <w:tc>
                <w:tcPr>
                  <w:tcW w:w="4061" w:type="dxa"/>
                  <w:vAlign w:val="center"/>
                </w:tcPr>
                <w:p w14:paraId="3A590174">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意见</w:t>
                  </w:r>
                  <w:r>
                    <w:rPr>
                      <w:rFonts w:hint="default" w:ascii="Times New Roman" w:hAnsi="Times New Roman" w:eastAsia="宋体" w:cs="Times New Roman"/>
                      <w:b w:val="0"/>
                      <w:bCs/>
                      <w:color w:val="auto"/>
                      <w:sz w:val="21"/>
                      <w:szCs w:val="21"/>
                    </w:rPr>
                    <w:t>》要求</w:t>
                  </w:r>
                </w:p>
              </w:tc>
              <w:tc>
                <w:tcPr>
                  <w:tcW w:w="3043" w:type="dxa"/>
                  <w:vAlign w:val="center"/>
                </w:tcPr>
                <w:p w14:paraId="074BF016">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项目基本情况</w:t>
                  </w:r>
                </w:p>
              </w:tc>
              <w:tc>
                <w:tcPr>
                  <w:tcW w:w="870" w:type="dxa"/>
                  <w:vAlign w:val="center"/>
                </w:tcPr>
                <w:p w14:paraId="53340CB0">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符合性</w:t>
                  </w:r>
                </w:p>
              </w:tc>
            </w:tr>
            <w:tr w14:paraId="4713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5EE43E06">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4061" w:type="dxa"/>
                  <w:vAlign w:val="center"/>
                </w:tcPr>
                <w:p w14:paraId="31B7B6E3">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建立能源绿色低碳转型监测评价机制。重点监测评价各地区能耗强度、能源消费总量、非化石能源及可再生能源消费比重、能源消费碳排放系数等指标，评估能源绿色低碳转型相关机制、政策的执行情况和实际效果。完善能源绿色低碳发展考核机制，按照国民经济和社会发展规划纲要、年度计划及能源规划等确定的能源相关约束性指标，强化相关考核。鼓励各地区通过区域协作或开展可再生能源电力消纳量交易等方式，满足国家规定的可再生能源消费最低比重等指标要求。</w:t>
                  </w:r>
                </w:p>
              </w:tc>
              <w:tc>
                <w:tcPr>
                  <w:tcW w:w="3043" w:type="dxa"/>
                  <w:vAlign w:val="center"/>
                </w:tcPr>
                <w:p w14:paraId="46464C4F">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eastAsia="zh-CN"/>
                    </w:rPr>
                    <w:t>本项目</w:t>
                  </w:r>
                  <w:r>
                    <w:rPr>
                      <w:rFonts w:hint="default" w:ascii="Times New Roman" w:hAnsi="Times New Roman" w:eastAsia="宋体" w:cs="Times New Roman"/>
                      <w:b w:val="0"/>
                      <w:bCs/>
                      <w:color w:val="auto"/>
                      <w:sz w:val="21"/>
                      <w:szCs w:val="21"/>
                      <w:lang w:val="en-US" w:eastAsia="zh-CN"/>
                    </w:rPr>
                    <w:t>使用可再生的生物质燃料；若后续出台生物质专用锅炉的</w:t>
                  </w:r>
                  <w:r>
                    <w:rPr>
                      <w:rFonts w:hint="default" w:ascii="Times New Roman" w:hAnsi="Times New Roman" w:eastAsia="宋体" w:cs="Times New Roman"/>
                      <w:b w:val="0"/>
                      <w:bCs/>
                      <w:color w:val="auto"/>
                      <w:kern w:val="0"/>
                      <w:sz w:val="21"/>
                      <w:szCs w:val="21"/>
                      <w:lang w:val="en-US" w:eastAsia="zh-CN" w:bidi="ar"/>
                    </w:rPr>
                    <w:t>能源绿色低碳转型监测评价机制</w:t>
                  </w:r>
                  <w:r>
                    <w:rPr>
                      <w:rFonts w:hint="default" w:ascii="Times New Roman" w:hAnsi="Times New Roman" w:eastAsia="宋体" w:cs="Times New Roman"/>
                      <w:b w:val="0"/>
                      <w:bCs/>
                      <w:color w:val="auto"/>
                      <w:sz w:val="21"/>
                      <w:szCs w:val="21"/>
                      <w:lang w:val="en-US" w:eastAsia="zh-CN"/>
                    </w:rPr>
                    <w:t>政策，企业应</w:t>
                  </w:r>
                  <w:r>
                    <w:rPr>
                      <w:rFonts w:hint="default" w:ascii="Times New Roman" w:hAnsi="Times New Roman" w:eastAsia="宋体" w:cs="Times New Roman"/>
                      <w:b w:val="0"/>
                      <w:bCs/>
                      <w:color w:val="auto"/>
                      <w:sz w:val="21"/>
                      <w:szCs w:val="21"/>
                      <w:lang w:eastAsia="zh-CN"/>
                    </w:rPr>
                    <w:t>积极响应并</w:t>
                  </w:r>
                  <w:r>
                    <w:rPr>
                      <w:rFonts w:hint="default" w:ascii="Times New Roman" w:hAnsi="Times New Roman" w:eastAsia="宋体" w:cs="Times New Roman"/>
                      <w:b w:val="0"/>
                      <w:bCs/>
                      <w:color w:val="auto"/>
                      <w:sz w:val="21"/>
                      <w:szCs w:val="21"/>
                      <w:lang w:val="en-US" w:eastAsia="zh-CN"/>
                    </w:rPr>
                    <w:t>推进企业绿色低碳发展，按照相关能源约束性指标执行。</w:t>
                  </w:r>
                </w:p>
              </w:tc>
              <w:tc>
                <w:tcPr>
                  <w:tcW w:w="870" w:type="dxa"/>
                  <w:vAlign w:val="center"/>
                </w:tcPr>
                <w:p w14:paraId="20360513">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7BF8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0D343DA8">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4061" w:type="dxa"/>
                  <w:vAlign w:val="center"/>
                </w:tcPr>
                <w:p w14:paraId="55F5ABBE">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完善能耗“双控”和非化石能源目标制度。坚持把节约能源资源放在首位，强化能耗强度降低约束性指标管理，有效增强能源消费总量管理弹性，新增可再生能源和原料用能不纳入能源消费总量控制，合理确定各地区能耗强度降低目标，加强能耗“双控”政策与碳达峰、碳中和目标任务的衔接。</w:t>
                  </w:r>
                </w:p>
              </w:tc>
              <w:tc>
                <w:tcPr>
                  <w:tcW w:w="3043" w:type="dxa"/>
                  <w:vAlign w:val="center"/>
                </w:tcPr>
                <w:p w14:paraId="14A55773">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本项目采用可再生能源生物质作为燃料，可不纳入</w:t>
                  </w:r>
                  <w:r>
                    <w:rPr>
                      <w:rFonts w:hint="default" w:ascii="Times New Roman" w:hAnsi="Times New Roman" w:eastAsia="宋体" w:cs="Times New Roman"/>
                      <w:b w:val="0"/>
                      <w:bCs/>
                      <w:color w:val="auto"/>
                      <w:kern w:val="0"/>
                      <w:sz w:val="21"/>
                      <w:szCs w:val="21"/>
                      <w:lang w:val="en-US" w:eastAsia="zh-CN" w:bidi="ar"/>
                    </w:rPr>
                    <w:t>能源消费总量控制</w:t>
                  </w:r>
                  <w:r>
                    <w:rPr>
                      <w:rFonts w:hint="default" w:ascii="Times New Roman" w:hAnsi="Times New Roman" w:eastAsia="宋体" w:cs="Times New Roman"/>
                      <w:b w:val="0"/>
                      <w:bCs/>
                      <w:color w:val="auto"/>
                      <w:sz w:val="21"/>
                      <w:szCs w:val="21"/>
                      <w:lang w:val="en-US" w:eastAsia="zh-CN"/>
                    </w:rPr>
                    <w:t>。</w:t>
                  </w:r>
                </w:p>
              </w:tc>
              <w:tc>
                <w:tcPr>
                  <w:tcW w:w="870" w:type="dxa"/>
                  <w:vAlign w:val="center"/>
                </w:tcPr>
                <w:p w14:paraId="6F53BC4F">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2442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40F37714">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4061" w:type="dxa"/>
                  <w:vAlign w:val="center"/>
                </w:tcPr>
                <w:p w14:paraId="30A9CA5D">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完善工业领域绿色能源消费支持政策。引导工业企业开展清洁能源替代，降低单位产品碳排放，鼓励具备条件的企业率先形成低碳、零碳能源消费模式。</w:t>
                  </w:r>
                </w:p>
              </w:tc>
              <w:tc>
                <w:tcPr>
                  <w:tcW w:w="3043" w:type="dxa"/>
                  <w:vAlign w:val="center"/>
                </w:tcPr>
                <w:p w14:paraId="16D36BDC">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本项目采用清洁能源生物质替代煤炭；目前本行业暂无产品碳排放核算指标和相关政策要求，后续国家出台相关政策，则根据国家要求进行低碳、</w:t>
                  </w:r>
                  <w:r>
                    <w:rPr>
                      <w:rFonts w:hint="default" w:ascii="Times New Roman" w:hAnsi="Times New Roman" w:eastAsia="宋体" w:cs="Times New Roman"/>
                      <w:b w:val="0"/>
                      <w:bCs/>
                      <w:color w:val="auto"/>
                      <w:kern w:val="0"/>
                      <w:sz w:val="21"/>
                      <w:szCs w:val="21"/>
                      <w:lang w:val="en-US" w:eastAsia="zh-CN" w:bidi="ar"/>
                    </w:rPr>
                    <w:t>零碳能源消费生产模式。</w:t>
                  </w:r>
                </w:p>
              </w:tc>
              <w:tc>
                <w:tcPr>
                  <w:tcW w:w="870" w:type="dxa"/>
                  <w:vAlign w:val="center"/>
                </w:tcPr>
                <w:p w14:paraId="123176CC">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bl>
          <w:p w14:paraId="481E7153">
            <w:pPr>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18、项目与《</w:t>
            </w:r>
            <w:r>
              <w:rPr>
                <w:rFonts w:hint="default" w:ascii="Times New Roman" w:hAnsi="Times New Roman" w:eastAsia="宋体" w:cs="Times New Roman"/>
                <w:b/>
                <w:bCs/>
                <w:color w:val="auto"/>
                <w:sz w:val="21"/>
                <w:szCs w:val="21"/>
                <w:lang w:eastAsia="zh-CN"/>
              </w:rPr>
              <w:t>国家能源局</w:t>
            </w:r>
            <w:r>
              <w:rPr>
                <w:rFonts w:hint="default" w:ascii="Times New Roman" w:hAnsi="Times New Roman" w:eastAsia="宋体" w:cs="Times New Roman"/>
                <w:b/>
                <w:bCs/>
                <w:color w:val="auto"/>
                <w:sz w:val="21"/>
                <w:szCs w:val="21"/>
                <w:lang w:val="en-US" w:eastAsia="zh-CN"/>
              </w:rPr>
              <w:t>综合司</w:t>
            </w:r>
            <w:r>
              <w:rPr>
                <w:rFonts w:hint="default" w:ascii="Times New Roman" w:hAnsi="Times New Roman" w:eastAsia="宋体" w:cs="Times New Roman"/>
                <w:b/>
                <w:bCs/>
                <w:color w:val="auto"/>
                <w:sz w:val="21"/>
                <w:szCs w:val="21"/>
                <w:lang w:eastAsia="zh-CN"/>
              </w:rPr>
              <w:t>关于请报送生物质专用锅炉清洁供热有关情况的通知</w:t>
            </w:r>
            <w:r>
              <w:rPr>
                <w:rFonts w:hint="default" w:ascii="Times New Roman" w:hAnsi="Times New Roman" w:eastAsia="宋体" w:cs="Times New Roman"/>
                <w:b/>
                <w:bCs/>
                <w:color w:val="auto"/>
                <w:sz w:val="21"/>
                <w:szCs w:val="21"/>
                <w:lang w:val="en-US" w:eastAsia="zh-CN"/>
              </w:rPr>
              <w:t>》的符合性分析</w:t>
            </w:r>
          </w:p>
          <w:p w14:paraId="4D023C6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2019年12月5日国家能源局综合司下发了</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eastAsia="zh-CN"/>
              </w:rPr>
              <w:t>国家能源局</w:t>
            </w:r>
            <w:r>
              <w:rPr>
                <w:rFonts w:hint="default" w:ascii="Times New Roman" w:hAnsi="Times New Roman" w:eastAsia="宋体" w:cs="Times New Roman"/>
                <w:b w:val="0"/>
                <w:bCs w:val="0"/>
                <w:color w:val="auto"/>
                <w:sz w:val="21"/>
                <w:szCs w:val="21"/>
                <w:lang w:val="en-US" w:eastAsia="zh-CN"/>
              </w:rPr>
              <w:t>综合司</w:t>
            </w:r>
            <w:r>
              <w:rPr>
                <w:rFonts w:hint="default" w:ascii="Times New Roman" w:hAnsi="Times New Roman" w:eastAsia="宋体" w:cs="Times New Roman"/>
                <w:b w:val="0"/>
                <w:bCs w:val="0"/>
                <w:color w:val="auto"/>
                <w:sz w:val="21"/>
                <w:szCs w:val="21"/>
                <w:lang w:eastAsia="zh-CN"/>
              </w:rPr>
              <w:t>关于请报送生物质专用锅炉清洁供热有关情况的通知</w:t>
            </w:r>
            <w:r>
              <w:rPr>
                <w:rFonts w:hint="default" w:ascii="Times New Roman" w:hAnsi="Times New Roman" w:eastAsia="宋体" w:cs="Times New Roman"/>
                <w:b w:val="0"/>
                <w:bCs w:val="0"/>
                <w:color w:val="auto"/>
                <w:sz w:val="21"/>
                <w:szCs w:val="21"/>
                <w:lang w:val="en-US" w:eastAsia="zh-CN"/>
              </w:rPr>
              <w:t>》，本项目符合性分析见下表：</w:t>
            </w:r>
          </w:p>
          <w:p w14:paraId="74DB861D">
            <w:pPr>
              <w:pStyle w:val="3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表1-17</w:t>
            </w:r>
            <w:r>
              <w:rPr>
                <w:rFonts w:hint="default" w:ascii="Times New Roman" w:hAnsi="Times New Roman" w:eastAsia="宋体" w:cs="Times New Roman"/>
                <w:color w:val="auto"/>
                <w:sz w:val="21"/>
                <w:szCs w:val="21"/>
              </w:rPr>
              <w:t>与</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国家能源局</w:t>
            </w:r>
            <w:r>
              <w:rPr>
                <w:rFonts w:hint="default" w:ascii="Times New Roman" w:hAnsi="Times New Roman" w:eastAsia="宋体" w:cs="Times New Roman"/>
                <w:b/>
                <w:bCs/>
                <w:color w:val="auto"/>
                <w:sz w:val="21"/>
                <w:szCs w:val="21"/>
                <w:lang w:val="en-US" w:eastAsia="zh-CN"/>
              </w:rPr>
              <w:t>综合司</w:t>
            </w:r>
            <w:r>
              <w:rPr>
                <w:rFonts w:hint="default" w:ascii="Times New Roman" w:hAnsi="Times New Roman" w:eastAsia="宋体" w:cs="Times New Roman"/>
                <w:b/>
                <w:bCs/>
                <w:color w:val="auto"/>
                <w:sz w:val="21"/>
                <w:szCs w:val="21"/>
                <w:lang w:eastAsia="zh-CN"/>
              </w:rPr>
              <w:t>关于请报送生物质专用锅炉清洁供热有关情况的通知</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color w:val="auto"/>
                <w:sz w:val="21"/>
                <w:szCs w:val="21"/>
              </w:rPr>
              <w:t>符合性分析</w:t>
            </w:r>
            <w:r>
              <w:rPr>
                <w:rFonts w:hint="default" w:ascii="Times New Roman" w:hAnsi="Times New Roman" w:eastAsia="宋体" w:cs="Times New Roman"/>
                <w:color w:val="auto"/>
                <w:sz w:val="21"/>
                <w:szCs w:val="21"/>
                <w:lang w:val="en-US" w:eastAsia="zh-CN"/>
              </w:rPr>
              <w:t>（摘抄）</w:t>
            </w:r>
          </w:p>
          <w:tbl>
            <w:tblPr>
              <w:tblStyle w:val="26"/>
              <w:tblW w:w="8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555"/>
              <w:gridCol w:w="2476"/>
              <w:gridCol w:w="914"/>
            </w:tblGrid>
            <w:tr w14:paraId="6294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06B043B9">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序号</w:t>
                  </w:r>
                </w:p>
              </w:tc>
              <w:tc>
                <w:tcPr>
                  <w:tcW w:w="4555" w:type="dxa"/>
                  <w:vAlign w:val="center"/>
                </w:tcPr>
                <w:p w14:paraId="4DE0EE80">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通知</w:t>
                  </w:r>
                  <w:r>
                    <w:rPr>
                      <w:rFonts w:hint="default" w:ascii="Times New Roman" w:hAnsi="Times New Roman" w:eastAsia="宋体" w:cs="Times New Roman"/>
                      <w:b w:val="0"/>
                      <w:bCs/>
                      <w:color w:val="auto"/>
                      <w:sz w:val="21"/>
                      <w:szCs w:val="21"/>
                    </w:rPr>
                    <w:t>》要求</w:t>
                  </w:r>
                </w:p>
              </w:tc>
              <w:tc>
                <w:tcPr>
                  <w:tcW w:w="2476" w:type="dxa"/>
                  <w:vAlign w:val="center"/>
                </w:tcPr>
                <w:p w14:paraId="3ED1033A">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项目基本情况</w:t>
                  </w:r>
                </w:p>
              </w:tc>
              <w:tc>
                <w:tcPr>
                  <w:tcW w:w="914" w:type="dxa"/>
                  <w:vAlign w:val="center"/>
                </w:tcPr>
                <w:p w14:paraId="0B029242">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符合性</w:t>
                  </w:r>
                </w:p>
              </w:tc>
            </w:tr>
            <w:tr w14:paraId="2C0D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484BB630">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4555" w:type="dxa"/>
                  <w:vAlign w:val="center"/>
                </w:tcPr>
                <w:p w14:paraId="3CE25A6A">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一、梳理生物质专用锅炉清洁供热项目。请各单位组织市县级主管部门梳理汇总报送本地区生物质专用锅炉清洁供热项目，项目应具备以下条件:一是使用专用生物质专用锅炉的新建或改造项目；二是项目配备相应的环保设施，污染物排放要达到天然气锅炉排放标准；三是项目到2020年底前建成投运；四是项目不限制技术路线，包括生物质直燃锅炉(以农林生物质或成型燃料为燃料)生物质气化锅炉(以沼气、生物质气化燃气等为燃料)，以及以热定电的生物质热电联产等；五是项目建设运行不需要国家补贴。</w:t>
                  </w:r>
                </w:p>
              </w:tc>
              <w:tc>
                <w:tcPr>
                  <w:tcW w:w="2476" w:type="dxa"/>
                  <w:vAlign w:val="center"/>
                </w:tcPr>
                <w:p w14:paraId="10AAA7A3">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本项目未列入县级主管部门</w:t>
                  </w:r>
                  <w:r>
                    <w:rPr>
                      <w:rFonts w:hint="default" w:ascii="Times New Roman" w:hAnsi="Times New Roman" w:eastAsia="宋体" w:cs="Times New Roman"/>
                      <w:b w:val="0"/>
                      <w:bCs/>
                      <w:color w:val="auto"/>
                      <w:kern w:val="0"/>
                      <w:sz w:val="21"/>
                      <w:szCs w:val="21"/>
                      <w:lang w:val="en-US" w:eastAsia="zh-CN" w:bidi="ar"/>
                    </w:rPr>
                    <w:t>生物质专用锅炉清洁供热项目，不涉及。</w:t>
                  </w:r>
                </w:p>
              </w:tc>
              <w:tc>
                <w:tcPr>
                  <w:tcW w:w="914" w:type="dxa"/>
                  <w:vAlign w:val="center"/>
                </w:tcPr>
                <w:p w14:paraId="2873F7A0">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3BB2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281560A7">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4555" w:type="dxa"/>
                  <w:vAlign w:val="center"/>
                </w:tcPr>
                <w:p w14:paraId="1B1906DD">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二、对生物质专用锅炉清洁供热开展总结评价。分析本地区控制和减少煤炭消费形势，研究天然气供需形势，总结本地区生物质专用锅炉供热发展情况。在农林生物质资源、工业供热或民用供湲市场、技术经济性、污染物排放等方面，对生物质专用锅炉供热进行深入研究，分析存在的问题和困难。</w:t>
                  </w:r>
                </w:p>
              </w:tc>
              <w:tc>
                <w:tcPr>
                  <w:tcW w:w="2476" w:type="dxa"/>
                  <w:vAlign w:val="center"/>
                </w:tcPr>
                <w:p w14:paraId="6E214A20">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本项目采用可再生能源生物质作为燃料，可减少本地区煤炭的使用量。</w:t>
                  </w:r>
                </w:p>
              </w:tc>
              <w:tc>
                <w:tcPr>
                  <w:tcW w:w="914" w:type="dxa"/>
                  <w:vAlign w:val="center"/>
                </w:tcPr>
                <w:p w14:paraId="4C86ADB0">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r w14:paraId="75F1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1D2E279A">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4555" w:type="dxa"/>
                  <w:vAlign w:val="center"/>
                </w:tcPr>
                <w:p w14:paraId="39EB466A">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三、研究提出推进生物质专用锅炉清洁供热发展的政策措施。针对本地区控制煤炭消费及天然气供需形势，结合生物质资源、供热市场等，提出推进生物质专用锅炉供热发展的政策措施，建设城镇清洁可再生供热体系，积极推进生物质专用锅炉清洁供热在中小工业园区、中小城镇的应用，减少燃煤消费、节约天然气。</w:t>
                  </w:r>
                </w:p>
              </w:tc>
              <w:tc>
                <w:tcPr>
                  <w:tcW w:w="2476" w:type="dxa"/>
                  <w:vAlign w:val="center"/>
                </w:tcPr>
                <w:p w14:paraId="355B5E75">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本项目不涉及</w:t>
                  </w:r>
                  <w:r>
                    <w:rPr>
                      <w:rFonts w:hint="default" w:ascii="Times New Roman" w:hAnsi="Times New Roman" w:eastAsia="宋体" w:cs="Times New Roman"/>
                      <w:b w:val="0"/>
                      <w:bCs/>
                      <w:color w:val="auto"/>
                      <w:kern w:val="0"/>
                      <w:sz w:val="21"/>
                      <w:szCs w:val="21"/>
                      <w:lang w:val="en-US" w:eastAsia="zh-CN" w:bidi="ar"/>
                    </w:rPr>
                    <w:t>。</w:t>
                  </w:r>
                </w:p>
              </w:tc>
              <w:tc>
                <w:tcPr>
                  <w:tcW w:w="914" w:type="dxa"/>
                  <w:vAlign w:val="center"/>
                </w:tcPr>
                <w:p w14:paraId="2BEDF535">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bl>
          <w:p w14:paraId="7371343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19、项目与《关于生物质专用锅炉等项目环评类别判定事宜的复函》符合性分析</w:t>
            </w:r>
          </w:p>
          <w:p w14:paraId="0AEB20C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2021年6月01日生态环境</w:t>
            </w:r>
            <w:r>
              <w:rPr>
                <w:rFonts w:hint="default" w:ascii="Times New Roman" w:hAnsi="Times New Roman" w:eastAsia="宋体" w:cs="Times New Roman"/>
                <w:b w:val="0"/>
                <w:bCs w:val="0"/>
                <w:color w:val="auto"/>
                <w:sz w:val="21"/>
                <w:szCs w:val="21"/>
                <w:lang w:val="en-US" w:eastAsia="zh-CN"/>
              </w:rPr>
              <w:t>部发布了《关于生物质专用锅炉等项目环评类别判定事宜的复函》，文号：环办环评函〔2021〕264号，本项目符合性分析如下：</w:t>
            </w:r>
          </w:p>
          <w:p w14:paraId="4A7C7DDA">
            <w:pPr>
              <w:pStyle w:val="3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表1-18</w:t>
            </w:r>
            <w:r>
              <w:rPr>
                <w:rFonts w:hint="default" w:ascii="Times New Roman" w:hAnsi="Times New Roman" w:eastAsia="宋体" w:cs="Times New Roman"/>
                <w:color w:val="auto"/>
                <w:sz w:val="21"/>
                <w:szCs w:val="21"/>
              </w:rPr>
              <w:t>与</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国家能源局</w:t>
            </w:r>
            <w:r>
              <w:rPr>
                <w:rFonts w:hint="default" w:ascii="Times New Roman" w:hAnsi="Times New Roman" w:eastAsia="宋体" w:cs="Times New Roman"/>
                <w:b/>
                <w:bCs/>
                <w:color w:val="auto"/>
                <w:sz w:val="21"/>
                <w:szCs w:val="21"/>
                <w:lang w:val="en-US" w:eastAsia="zh-CN"/>
              </w:rPr>
              <w:t>综合司</w:t>
            </w:r>
            <w:r>
              <w:rPr>
                <w:rFonts w:hint="default" w:ascii="Times New Roman" w:hAnsi="Times New Roman" w:eastAsia="宋体" w:cs="Times New Roman"/>
                <w:b/>
                <w:bCs/>
                <w:color w:val="auto"/>
                <w:sz w:val="21"/>
                <w:szCs w:val="21"/>
                <w:lang w:eastAsia="zh-CN"/>
              </w:rPr>
              <w:t>关于请报送生物质专用锅炉清洁供热有关情况的通知</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color w:val="auto"/>
                <w:sz w:val="21"/>
                <w:szCs w:val="21"/>
              </w:rPr>
              <w:t>符合性分析</w:t>
            </w:r>
            <w:r>
              <w:rPr>
                <w:rFonts w:hint="default" w:ascii="Times New Roman" w:hAnsi="Times New Roman" w:eastAsia="宋体" w:cs="Times New Roman"/>
                <w:color w:val="auto"/>
                <w:sz w:val="21"/>
                <w:szCs w:val="21"/>
                <w:lang w:val="en-US" w:eastAsia="zh-CN"/>
              </w:rPr>
              <w:t>（摘抄）</w:t>
            </w:r>
          </w:p>
          <w:tbl>
            <w:tblPr>
              <w:tblStyle w:val="26"/>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6"/>
              <w:gridCol w:w="2621"/>
              <w:gridCol w:w="1074"/>
            </w:tblGrid>
            <w:tr w14:paraId="15C0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6" w:type="dxa"/>
                  <w:vAlign w:val="center"/>
                </w:tcPr>
                <w:p w14:paraId="0D662799">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复函</w:t>
                  </w:r>
                  <w:r>
                    <w:rPr>
                      <w:rFonts w:hint="default" w:ascii="Times New Roman" w:hAnsi="Times New Roman" w:eastAsia="宋体" w:cs="Times New Roman"/>
                      <w:b w:val="0"/>
                      <w:bCs/>
                      <w:color w:val="auto"/>
                      <w:sz w:val="21"/>
                      <w:szCs w:val="21"/>
                    </w:rPr>
                    <w:t>》要求</w:t>
                  </w:r>
                </w:p>
              </w:tc>
              <w:tc>
                <w:tcPr>
                  <w:tcW w:w="2621" w:type="dxa"/>
                  <w:vAlign w:val="center"/>
                </w:tcPr>
                <w:p w14:paraId="1376C2F6">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项目基本情况</w:t>
                  </w:r>
                </w:p>
              </w:tc>
              <w:tc>
                <w:tcPr>
                  <w:tcW w:w="1074" w:type="dxa"/>
                  <w:vAlign w:val="center"/>
                </w:tcPr>
                <w:p w14:paraId="671C6C48">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符合性</w:t>
                  </w:r>
                </w:p>
              </w:tc>
            </w:tr>
            <w:tr w14:paraId="122E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6" w:type="dxa"/>
                  <w:vAlign w:val="center"/>
                </w:tcPr>
                <w:p w14:paraId="690C6AB3">
                  <w:pPr>
                    <w:keepNext w:val="0"/>
                    <w:keepLines w:val="0"/>
                    <w:pageBreakBefore w:val="0"/>
                    <w:kinsoku/>
                    <w:wordWrap/>
                    <w:overflowPunct/>
                    <w:topLinePunct w:val="0"/>
                    <w:autoSpaceDE/>
                    <w:autoSpaceDN/>
                    <w:bidi w:val="0"/>
                    <w:adjustRightInd/>
                    <w:snapToGrid w:val="0"/>
                    <w:spacing w:before="95" w:beforeLines="30" w:after="95" w:afterLines="30" w:line="240" w:lineRule="auto"/>
                    <w:ind w:left="0" w:leftChars="0" w:firstLine="630" w:firstLineChars="3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w:t>
                  </w:r>
                  <w:r>
                    <w:rPr>
                      <w:rFonts w:hint="default" w:ascii="Times New Roman" w:hAnsi="Times New Roman" w:eastAsia="宋体" w:cs="Times New Roman"/>
                      <w:color w:val="auto"/>
                      <w:sz w:val="21"/>
                      <w:szCs w:val="21"/>
                      <w:lang w:eastAsia="zh-CN"/>
                    </w:rPr>
                    <w:t>生物质专用锅炉</w:t>
                  </w:r>
                  <w:r>
                    <w:rPr>
                      <w:rFonts w:hint="default" w:ascii="Times New Roman" w:hAnsi="Times New Roman" w:eastAsia="宋体" w:cs="Times New Roman"/>
                      <w:color w:val="auto"/>
                      <w:sz w:val="21"/>
                      <w:szCs w:val="21"/>
                    </w:rPr>
                    <w:t>项目环评类别</w:t>
                  </w:r>
                </w:p>
                <w:p w14:paraId="28BC9577">
                  <w:pPr>
                    <w:keepNext w:val="0"/>
                    <w:keepLines w:val="0"/>
                    <w:pageBreakBefore w:val="0"/>
                    <w:kinsoku/>
                    <w:wordWrap/>
                    <w:overflowPunct/>
                    <w:topLinePunct w:val="0"/>
                    <w:autoSpaceDE/>
                    <w:autoSpaceDN/>
                    <w:bidi w:val="0"/>
                    <w:adjustRightInd/>
                    <w:snapToGrid w:val="0"/>
                    <w:spacing w:before="95" w:beforeLines="30" w:after="95" w:afterLines="30" w:line="240" w:lineRule="auto"/>
                    <w:ind w:left="0" w:leftChars="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建设项目环境影响评价分类管理名录（2021年版）》（生态环境部令第16号，以下简称《名录》）的“91热力生产和供应工程（包括建设单位自建自用的供热工程）”规定“使用其他高污染燃料的”编制环境影响报告表。《高污染燃料目录》包括生物质成型燃料，考虑到生物质非成型燃料的污染程度一般高于成型燃料，应同样加强环境准入管理。</w:t>
                  </w:r>
                </w:p>
                <w:p w14:paraId="3537C568">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sz w:val="21"/>
                      <w:szCs w:val="21"/>
                    </w:rPr>
                    <w:t>经研究，你厅来函请示的</w:t>
                  </w:r>
                  <w:r>
                    <w:rPr>
                      <w:rFonts w:hint="default" w:ascii="Times New Roman" w:hAnsi="Times New Roman" w:eastAsia="宋体" w:cs="Times New Roman"/>
                      <w:color w:val="auto"/>
                      <w:sz w:val="21"/>
                      <w:szCs w:val="21"/>
                      <w:lang w:eastAsia="zh-CN"/>
                    </w:rPr>
                    <w:t>生物质专用锅炉</w:t>
                  </w:r>
                  <w:r>
                    <w:rPr>
                      <w:rFonts w:hint="default" w:ascii="Times New Roman" w:hAnsi="Times New Roman" w:eastAsia="宋体" w:cs="Times New Roman"/>
                      <w:color w:val="auto"/>
                      <w:sz w:val="21"/>
                      <w:szCs w:val="21"/>
                    </w:rPr>
                    <w:t>的环境影响评价类别应按照《名录》的“91热力生产和供应工程（包括建设单位自建自用的供热工程）”中“使用其他高污染燃料的”要求编制环境影响报告表</w:t>
                  </w:r>
                  <w:r>
                    <w:rPr>
                      <w:rFonts w:hint="default" w:ascii="Times New Roman" w:hAnsi="Times New Roman" w:eastAsia="宋体" w:cs="Times New Roman"/>
                      <w:color w:val="auto"/>
                      <w:sz w:val="21"/>
                      <w:szCs w:val="21"/>
                      <w:lang w:eastAsia="zh-CN"/>
                    </w:rPr>
                    <w:t>。</w:t>
                  </w:r>
                </w:p>
              </w:tc>
              <w:tc>
                <w:tcPr>
                  <w:tcW w:w="2621" w:type="dxa"/>
                  <w:vAlign w:val="center"/>
                </w:tcPr>
                <w:p w14:paraId="29CC28AC">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420" w:firstLineChars="200"/>
                    <w:textAlignment w:val="auto"/>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val="0"/>
                      <w:color w:val="auto"/>
                      <w:sz w:val="21"/>
                      <w:szCs w:val="21"/>
                      <w:u w:val="none"/>
                      <w:lang w:val="en-US" w:eastAsia="zh-CN"/>
                    </w:rPr>
                    <w:t>本项目依法履行“环保三同时”正在履行环境影响评价手续。</w:t>
                  </w:r>
                </w:p>
              </w:tc>
              <w:tc>
                <w:tcPr>
                  <w:tcW w:w="1074" w:type="dxa"/>
                  <w:vAlign w:val="center"/>
                </w:tcPr>
                <w:p w14:paraId="21A2AD82">
                  <w:pPr>
                    <w:pStyle w:val="7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符合</w:t>
                  </w:r>
                </w:p>
              </w:tc>
            </w:tr>
          </w:tbl>
          <w:p w14:paraId="590924E6">
            <w:pPr>
              <w:bidi w:val="0"/>
              <w:ind w:left="0" w:leftChars="0" w:firstLine="0" w:firstLineChars="0"/>
              <w:rPr>
                <w:rFonts w:hint="default" w:ascii="Times New Roman" w:hAnsi="Times New Roman" w:eastAsia="宋体" w:cs="Times New Roman"/>
                <w:color w:val="auto"/>
                <w:sz w:val="21"/>
                <w:szCs w:val="21"/>
              </w:rPr>
            </w:pPr>
          </w:p>
          <w:p w14:paraId="270C1789">
            <w:pPr>
              <w:autoSpaceDE w:val="0"/>
              <w:autoSpaceDN w:val="0"/>
              <w:adjustRightInd w:val="0"/>
              <w:snapToGrid w:val="0"/>
              <w:spacing w:line="360" w:lineRule="auto"/>
              <w:rPr>
                <w:rFonts w:hint="default" w:ascii="Times New Roman" w:hAnsi="Times New Roman" w:eastAsia="宋体" w:cs="Times New Roman"/>
                <w:color w:val="auto"/>
                <w:sz w:val="21"/>
                <w:szCs w:val="21"/>
                <w:lang w:val="en-US" w:eastAsia="zh-CN"/>
              </w:rPr>
            </w:pPr>
          </w:p>
        </w:tc>
      </w:tr>
    </w:tbl>
    <w:p w14:paraId="0EB442B4">
      <w:pPr>
        <w:spacing w:line="360" w:lineRule="auto"/>
        <w:rPr>
          <w:rFonts w:hint="default" w:ascii="Times New Roman" w:hAnsi="Times New Roman" w:eastAsia="宋体" w:cs="Times New Roman"/>
          <w:color w:val="auto"/>
          <w:sz w:val="30"/>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14:paraId="3ECD03D4">
      <w:pPr>
        <w:pStyle w:val="21"/>
        <w:jc w:val="center"/>
        <w:outlineLvl w:val="0"/>
        <w:rPr>
          <w:rFonts w:hint="default" w:ascii="Times New Roman" w:hAnsi="Times New Roman" w:eastAsia="宋体" w:cs="Times New Roman"/>
          <w:snapToGrid w:val="0"/>
          <w:color w:val="auto"/>
          <w:sz w:val="30"/>
          <w:szCs w:val="30"/>
        </w:rPr>
      </w:pPr>
      <w:bookmarkStart w:id="10" w:name="_Toc546"/>
      <w:bookmarkStart w:id="11" w:name="_Toc12500"/>
      <w:bookmarkStart w:id="12" w:name="_Toc16614"/>
      <w:bookmarkStart w:id="13" w:name="_Toc23846"/>
      <w:bookmarkStart w:id="14" w:name="_Toc3998"/>
      <w:r>
        <w:rPr>
          <w:rFonts w:hint="default" w:ascii="Times New Roman" w:hAnsi="Times New Roman" w:eastAsia="宋体" w:cs="Times New Roman"/>
          <w:snapToGrid w:val="0"/>
          <w:color w:val="auto"/>
          <w:sz w:val="30"/>
          <w:szCs w:val="30"/>
        </w:rPr>
        <w:t>二、建设项目工程分析</w:t>
      </w:r>
      <w:bookmarkEnd w:id="10"/>
      <w:bookmarkEnd w:id="11"/>
      <w:bookmarkEnd w:id="12"/>
      <w:bookmarkEnd w:id="13"/>
      <w:bookmarkEnd w:id="1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09"/>
      </w:tblGrid>
      <w:tr w14:paraId="05BB3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75" w:type="dxa"/>
            <w:vAlign w:val="center"/>
          </w:tcPr>
          <w:p w14:paraId="5A18A478">
            <w:pPr>
              <w:pStyle w:val="21"/>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8309" w:type="dxa"/>
          </w:tcPr>
          <w:p w14:paraId="7E6A823B">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2工程内容及规模</w:t>
            </w:r>
          </w:p>
          <w:p w14:paraId="57130E30">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 项目概况（项目名称、建设地点、建设性质）</w:t>
            </w:r>
          </w:p>
          <w:p w14:paraId="111431EA">
            <w:pPr>
              <w:adjustRightInd w:val="0"/>
              <w:snapToGrid w:val="0"/>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bCs/>
                <w:color w:val="auto"/>
                <w:szCs w:val="21"/>
              </w:rPr>
              <w:t>项目名称：</w:t>
            </w:r>
            <w:r>
              <w:rPr>
                <w:rFonts w:hint="default" w:ascii="Times New Roman" w:hAnsi="Times New Roman" w:eastAsia="宋体" w:cs="Times New Roman"/>
                <w:color w:val="auto"/>
                <w:szCs w:val="21"/>
                <w:lang w:eastAsia="zh-CN"/>
              </w:rPr>
              <w:t>瓦楞纸板设备更新</w:t>
            </w:r>
          </w:p>
          <w:p w14:paraId="4ECB95C1">
            <w:pPr>
              <w:adjustRightInd w:val="0"/>
              <w:snapToGrid w:val="0"/>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bCs/>
                <w:color w:val="auto"/>
                <w:szCs w:val="21"/>
              </w:rPr>
              <w:t>建设单位：</w:t>
            </w:r>
            <w:r>
              <w:rPr>
                <w:rFonts w:hint="default" w:ascii="Times New Roman" w:hAnsi="Times New Roman" w:eastAsia="宋体" w:cs="Times New Roman"/>
                <w:color w:val="auto"/>
                <w:szCs w:val="21"/>
                <w:lang w:eastAsia="zh-CN"/>
              </w:rPr>
              <w:t>云南兴恒包装有限公司</w:t>
            </w:r>
          </w:p>
          <w:p w14:paraId="733CEC58">
            <w:pPr>
              <w:adjustRightInd w:val="0"/>
              <w:snapToGrid w:val="0"/>
              <w:spacing w:line="360" w:lineRule="auto"/>
              <w:ind w:firstLine="420" w:firstLineChars="200"/>
              <w:rPr>
                <w:rFonts w:hint="default" w:ascii="Times New Roman" w:hAnsi="Times New Roman" w:eastAsia="宋体" w:cs="Times New Roman"/>
                <w:color w:val="auto"/>
                <w:szCs w:val="21"/>
                <w:lang w:eastAsia="zh-CN"/>
              </w:rPr>
            </w:pPr>
            <w:r>
              <w:rPr>
                <w:rFonts w:hint="default" w:ascii="Times New Roman" w:hAnsi="Times New Roman" w:eastAsia="宋体" w:cs="Times New Roman"/>
                <w:bCs/>
                <w:color w:val="auto"/>
                <w:szCs w:val="21"/>
              </w:rPr>
              <w:t>建设性质：</w:t>
            </w:r>
            <w:r>
              <w:rPr>
                <w:rFonts w:hint="default" w:ascii="Times New Roman" w:hAnsi="Times New Roman" w:eastAsia="宋体" w:cs="Times New Roman"/>
                <w:color w:val="auto"/>
                <w:szCs w:val="21"/>
                <w:lang w:val="en-US" w:eastAsia="zh-CN"/>
              </w:rPr>
              <w:t>改建</w:t>
            </w:r>
          </w:p>
          <w:p w14:paraId="0343E701">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建设地点：</w:t>
            </w:r>
            <w:r>
              <w:rPr>
                <w:rFonts w:hint="default" w:ascii="Times New Roman" w:hAnsi="Times New Roman" w:eastAsia="宋体" w:cs="Times New Roman"/>
                <w:color w:val="auto"/>
                <w:szCs w:val="21"/>
                <w:lang w:eastAsia="zh-CN"/>
              </w:rPr>
              <w:t>云南省玉溪春和街道孙井社区太极山</w:t>
            </w:r>
            <w:r>
              <w:rPr>
                <w:rFonts w:hint="default" w:ascii="Times New Roman" w:hAnsi="Times New Roman" w:eastAsia="宋体" w:cs="Times New Roman"/>
                <w:color w:val="auto"/>
                <w:szCs w:val="21"/>
              </w:rPr>
              <w:t>，中心坐标为东经：102°32'40.146"，北纬：24°23'47.146"。</w:t>
            </w:r>
          </w:p>
          <w:p w14:paraId="5F01CEBA">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总投资：</w:t>
            </w:r>
            <w:r>
              <w:rPr>
                <w:rFonts w:hint="default" w:ascii="Times New Roman" w:hAnsi="Times New Roman" w:eastAsia="宋体" w:cs="Times New Roman"/>
                <w:color w:val="auto"/>
                <w:szCs w:val="21"/>
                <w:lang w:val="en-US" w:eastAsia="zh-CN"/>
              </w:rPr>
              <w:t>1500</w:t>
            </w:r>
            <w:r>
              <w:rPr>
                <w:rFonts w:hint="default" w:ascii="Times New Roman" w:hAnsi="Times New Roman" w:eastAsia="宋体" w:cs="Times New Roman"/>
                <w:color w:val="auto"/>
                <w:szCs w:val="21"/>
              </w:rPr>
              <w:t>万元，环保投资</w:t>
            </w:r>
            <w:r>
              <w:rPr>
                <w:rFonts w:hint="default" w:ascii="Times New Roman" w:hAnsi="Times New Roman" w:eastAsia="宋体" w:cs="Times New Roman"/>
                <w:color w:val="auto"/>
                <w:szCs w:val="21"/>
                <w:lang w:val="en-US" w:eastAsia="zh-CN"/>
              </w:rPr>
              <w:t>45</w:t>
            </w:r>
            <w:r>
              <w:rPr>
                <w:rFonts w:hint="default" w:ascii="Times New Roman" w:hAnsi="Times New Roman" w:eastAsia="宋体" w:cs="Times New Roman"/>
                <w:color w:val="auto"/>
                <w:szCs w:val="21"/>
              </w:rPr>
              <w:t>万元。</w:t>
            </w:r>
          </w:p>
          <w:p w14:paraId="6364ACB5">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2.2 项目工程内容</w:t>
            </w:r>
          </w:p>
          <w:p w14:paraId="28428541">
            <w:pPr>
              <w:pStyle w:val="31"/>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新增（租赁</w:t>
            </w:r>
            <w:r>
              <w:rPr>
                <w:rFonts w:hint="default" w:ascii="Times New Roman" w:hAnsi="Times New Roman" w:eastAsia="宋体" w:cs="Times New Roman"/>
                <w:color w:val="auto"/>
                <w:sz w:val="21"/>
                <w:szCs w:val="21"/>
                <w:lang w:val="en-US" w:eastAsia="zh-CN"/>
              </w:rPr>
              <w:t>云南新兴仁恒包装材料有限公司）4A车间3447.6㎡、回转车间1962.3㎡、工具间153.8㎡、工具间北侧停车区20㎡的使用，其中4A车间（辅助车间1060㎡）用于堆存原纸、设置40㎡配电室和20㎡办公室；4A车间主体部分2327.6㎡用于1条瓦楞纸板生产线的建设；同时将粘（钉）箱工序搬至回转车间东侧，设置一个270㎡的粘（钉）箱区；回转车间西侧设置80㎡制胶区和24㎡的空压机房；在工具间基础上建设4t/h生物质锅炉房；工具间北侧停车区改建10㎡生物质燃料堆场和10㎡炉渣堆场</w:t>
            </w:r>
            <w:r>
              <w:rPr>
                <w:rFonts w:hint="default" w:ascii="Times New Roman" w:hAnsi="Times New Roman" w:eastAsia="宋体" w:cs="Times New Roman"/>
                <w:color w:val="auto"/>
                <w:sz w:val="21"/>
                <w:szCs w:val="21"/>
              </w:rPr>
              <w:t>。其余基础设施依托租赁厂房现有设施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改建</w:t>
            </w:r>
            <w:r>
              <w:rPr>
                <w:rFonts w:hint="default" w:ascii="Times New Roman" w:hAnsi="Times New Roman" w:eastAsia="宋体" w:cs="Times New Roman"/>
                <w:color w:val="auto"/>
                <w:sz w:val="21"/>
                <w:szCs w:val="21"/>
              </w:rPr>
              <w:t>后年产</w:t>
            </w:r>
            <w:r>
              <w:rPr>
                <w:rFonts w:hint="default" w:ascii="Times New Roman" w:hAnsi="Times New Roman" w:eastAsia="宋体" w:cs="Times New Roman"/>
                <w:color w:val="auto"/>
                <w:sz w:val="21"/>
                <w:szCs w:val="21"/>
                <w:lang w:val="en-US" w:eastAsia="zh-CN"/>
              </w:rPr>
              <w:t>8000t瓦楞纸板，用于现有400</w:t>
            </w:r>
            <w:r>
              <w:rPr>
                <w:rFonts w:hint="default" w:ascii="Times New Roman" w:hAnsi="Times New Roman" w:eastAsia="宋体" w:cs="Times New Roman"/>
                <w:color w:val="auto"/>
                <w:sz w:val="21"/>
                <w:szCs w:val="21"/>
              </w:rPr>
              <w:t>万支纸箱</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的</w:t>
            </w:r>
            <w:r>
              <w:rPr>
                <w:rFonts w:hint="default" w:ascii="Times New Roman" w:hAnsi="Times New Roman" w:eastAsia="宋体" w:cs="Times New Roman"/>
                <w:color w:val="auto"/>
                <w:sz w:val="21"/>
                <w:szCs w:val="21"/>
                <w:lang w:val="en-US" w:eastAsia="zh-CN"/>
              </w:rPr>
              <w:t>生产使用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其中粘箱300万支，钉箱100万只</w:t>
            </w:r>
            <w:r>
              <w:rPr>
                <w:rFonts w:hint="default" w:ascii="Times New Roman" w:hAnsi="Times New Roman" w:eastAsia="宋体" w:cs="Times New Roman"/>
                <w:color w:val="auto"/>
                <w:sz w:val="21"/>
                <w:szCs w:val="21"/>
              </w:rPr>
              <w:t>。</w:t>
            </w:r>
          </w:p>
          <w:p w14:paraId="1AFEDEDD">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工程内容一览表见表2-1。</w:t>
            </w:r>
          </w:p>
          <w:p w14:paraId="3EB88C5E">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表2-1  工程内容一览表</w:t>
            </w:r>
          </w:p>
          <w:tbl>
            <w:tblPr>
              <w:tblStyle w:val="25"/>
              <w:tblW w:w="508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097"/>
              <w:gridCol w:w="2960"/>
              <w:gridCol w:w="2559"/>
              <w:gridCol w:w="876"/>
            </w:tblGrid>
            <w:tr w14:paraId="4DC4E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blHeader/>
                <w:jc w:val="center"/>
              </w:trPr>
              <w:tc>
                <w:tcPr>
                  <w:tcW w:w="1109" w:type="pct"/>
                  <w:gridSpan w:val="2"/>
                  <w:tcBorders>
                    <w:top w:val="single" w:color="000000" w:sz="4" w:space="0"/>
                    <w:left w:val="single" w:color="000000" w:sz="4" w:space="0"/>
                    <w:bottom w:val="single" w:color="000000" w:sz="4" w:space="0"/>
                    <w:right w:val="single" w:color="auto" w:sz="4" w:space="0"/>
                  </w:tcBorders>
                  <w:vAlign w:val="center"/>
                </w:tcPr>
                <w:p w14:paraId="64364BE9">
                  <w:pPr>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工程</w:t>
                  </w:r>
                  <w:r>
                    <w:rPr>
                      <w:rFonts w:hint="default" w:ascii="Times New Roman" w:hAnsi="Times New Roman" w:eastAsia="宋体" w:cs="Times New Roman"/>
                      <w:b/>
                      <w:bCs/>
                      <w:color w:val="auto"/>
                      <w:sz w:val="21"/>
                      <w:szCs w:val="21"/>
                      <w:lang w:val="en-US" w:eastAsia="zh-CN"/>
                    </w:rPr>
                    <w:t>组成</w:t>
                  </w:r>
                </w:p>
              </w:tc>
              <w:tc>
                <w:tcPr>
                  <w:tcW w:w="1800" w:type="pct"/>
                  <w:tcBorders>
                    <w:top w:val="single" w:color="000000" w:sz="4" w:space="0"/>
                    <w:left w:val="single" w:color="auto" w:sz="4" w:space="0"/>
                    <w:bottom w:val="single" w:color="000000" w:sz="4" w:space="0"/>
                    <w:right w:val="single" w:color="000000" w:sz="4" w:space="0"/>
                  </w:tcBorders>
                  <w:vAlign w:val="center"/>
                </w:tcPr>
                <w:p w14:paraId="301A0BF3">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现有</w:t>
                  </w:r>
                  <w:r>
                    <w:rPr>
                      <w:rFonts w:hint="default" w:ascii="Times New Roman" w:hAnsi="Times New Roman" w:eastAsia="宋体" w:cs="Times New Roman"/>
                      <w:b/>
                      <w:bCs/>
                      <w:color w:val="auto"/>
                      <w:sz w:val="21"/>
                      <w:szCs w:val="21"/>
                    </w:rPr>
                    <w:t>工程内容</w:t>
                  </w:r>
                </w:p>
              </w:tc>
              <w:tc>
                <w:tcPr>
                  <w:tcW w:w="1556" w:type="pct"/>
                  <w:tcBorders>
                    <w:top w:val="single" w:color="000000" w:sz="4" w:space="0"/>
                    <w:left w:val="single" w:color="auto" w:sz="4" w:space="0"/>
                    <w:bottom w:val="single" w:color="000000" w:sz="4" w:space="0"/>
                    <w:right w:val="single" w:color="000000" w:sz="4" w:space="0"/>
                  </w:tcBorders>
                  <w:vAlign w:val="center"/>
                </w:tcPr>
                <w:p w14:paraId="59C3106E">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技改</w:t>
                  </w:r>
                  <w:r>
                    <w:rPr>
                      <w:rFonts w:hint="default" w:ascii="Times New Roman" w:hAnsi="Times New Roman" w:eastAsia="宋体" w:cs="Times New Roman"/>
                      <w:b/>
                      <w:bCs/>
                      <w:color w:val="auto"/>
                      <w:sz w:val="21"/>
                      <w:szCs w:val="21"/>
                    </w:rPr>
                    <w:t>工程内容</w:t>
                  </w:r>
                </w:p>
              </w:tc>
              <w:tc>
                <w:tcPr>
                  <w:tcW w:w="532" w:type="pct"/>
                  <w:tcBorders>
                    <w:top w:val="single" w:color="000000" w:sz="4" w:space="0"/>
                    <w:left w:val="single" w:color="000000" w:sz="4" w:space="0"/>
                    <w:bottom w:val="single" w:color="000000" w:sz="4" w:space="0"/>
                    <w:right w:val="single" w:color="000000" w:sz="4" w:space="0"/>
                  </w:tcBorders>
                  <w:vAlign w:val="center"/>
                </w:tcPr>
                <w:p w14:paraId="120B122C">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3D0A4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6" w:hRule="atLeast"/>
                <w:jc w:val="center"/>
              </w:trPr>
              <w:tc>
                <w:tcPr>
                  <w:tcW w:w="442" w:type="pct"/>
                  <w:vMerge w:val="restart"/>
                  <w:tcBorders>
                    <w:left w:val="single" w:color="000000" w:sz="4" w:space="0"/>
                    <w:right w:val="single" w:color="000000" w:sz="4" w:space="0"/>
                  </w:tcBorders>
                  <w:vAlign w:val="center"/>
                </w:tcPr>
                <w:p w14:paraId="1579E7CE">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667" w:type="pct"/>
                  <w:vMerge w:val="restart"/>
                  <w:tcBorders>
                    <w:top w:val="single" w:color="000000" w:sz="4" w:space="0"/>
                    <w:left w:val="single" w:color="000000" w:sz="4" w:space="0"/>
                    <w:right w:val="single" w:color="000000" w:sz="4" w:space="0"/>
                  </w:tcBorders>
                  <w:vAlign w:val="center"/>
                </w:tcPr>
                <w:p w14:paraId="00BE94C5">
                  <w:pPr>
                    <w:autoSpaceDE w:val="0"/>
                    <w:autoSpaceDN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区</w:t>
                  </w:r>
                </w:p>
              </w:tc>
              <w:tc>
                <w:tcPr>
                  <w:tcW w:w="1800" w:type="pct"/>
                  <w:vMerge w:val="restart"/>
                  <w:tcBorders>
                    <w:top w:val="single" w:color="000000" w:sz="4" w:space="0"/>
                    <w:left w:val="single" w:color="000000" w:sz="4" w:space="0"/>
                    <w:right w:val="single" w:color="000000" w:sz="4" w:space="0"/>
                  </w:tcBorders>
                  <w:vAlign w:val="center"/>
                </w:tcPr>
                <w:p w14:paraId="2A5DEF42">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生产区占地面积为800㎡，项目设置1台四色印刷模切开槽机</w:t>
                  </w:r>
                  <w:r>
                    <w:rPr>
                      <w:rFonts w:hint="default" w:ascii="Times New Roman" w:hAnsi="Times New Roman" w:eastAsia="宋体" w:cs="Times New Roman"/>
                      <w:bCs/>
                      <w:color w:val="auto"/>
                      <w:sz w:val="21"/>
                      <w:szCs w:val="21"/>
                      <w:lang w:val="en-US" w:eastAsia="zh-CN"/>
                    </w:rPr>
                    <w:t>，1台闲置粘箱机、3台闲置的钉箱机</w:t>
                  </w:r>
                  <w:r>
                    <w:rPr>
                      <w:rFonts w:hint="default" w:ascii="Times New Roman" w:hAnsi="Times New Roman" w:eastAsia="宋体" w:cs="Times New Roman"/>
                      <w:color w:val="auto"/>
                      <w:sz w:val="21"/>
                      <w:szCs w:val="21"/>
                      <w:lang w:val="en-US" w:eastAsia="zh-CN"/>
                    </w:rPr>
                    <w:t>。</w:t>
                  </w:r>
                </w:p>
              </w:tc>
              <w:tc>
                <w:tcPr>
                  <w:tcW w:w="1556" w:type="pct"/>
                  <w:tcBorders>
                    <w:top w:val="single" w:color="000000" w:sz="4" w:space="0"/>
                    <w:left w:val="single" w:color="000000" w:sz="4" w:space="0"/>
                    <w:bottom w:val="single" w:color="auto" w:sz="4" w:space="0"/>
                    <w:right w:val="single" w:color="000000" w:sz="4" w:space="0"/>
                  </w:tcBorders>
                  <w:vAlign w:val="center"/>
                </w:tcPr>
                <w:p w14:paraId="343435BA">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由于取消了北侧的原料区，印刷区面积为1300㎡。</w:t>
                  </w:r>
                </w:p>
              </w:tc>
              <w:tc>
                <w:tcPr>
                  <w:tcW w:w="532" w:type="pct"/>
                  <w:tcBorders>
                    <w:top w:val="single" w:color="000000" w:sz="4" w:space="0"/>
                    <w:left w:val="single" w:color="000000" w:sz="4" w:space="0"/>
                    <w:bottom w:val="single" w:color="auto" w:sz="4" w:space="0"/>
                    <w:right w:val="single" w:color="000000" w:sz="4" w:space="0"/>
                  </w:tcBorders>
                  <w:vAlign w:val="center"/>
                </w:tcPr>
                <w:p w14:paraId="70B07876">
                  <w:pPr>
                    <w:pStyle w:val="32"/>
                    <w:spacing w:before="60" w:after="6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本次改建内容</w:t>
                  </w:r>
                </w:p>
              </w:tc>
            </w:tr>
            <w:tr w14:paraId="68443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2" w:hRule="atLeast"/>
                <w:jc w:val="center"/>
              </w:trPr>
              <w:tc>
                <w:tcPr>
                  <w:tcW w:w="442" w:type="pct"/>
                  <w:vMerge w:val="continue"/>
                  <w:tcBorders>
                    <w:left w:val="single" w:color="000000" w:sz="4" w:space="0"/>
                    <w:right w:val="single" w:color="000000" w:sz="4" w:space="0"/>
                  </w:tcBorders>
                  <w:vAlign w:val="center"/>
                </w:tcPr>
                <w:p w14:paraId="1C37A923">
                  <w:pPr>
                    <w:snapToGrid w:val="0"/>
                    <w:jc w:val="center"/>
                    <w:rPr>
                      <w:rFonts w:hint="default" w:ascii="Times New Roman" w:hAnsi="Times New Roman" w:eastAsia="宋体" w:cs="Times New Roman"/>
                      <w:color w:val="auto"/>
                      <w:sz w:val="21"/>
                      <w:szCs w:val="21"/>
                    </w:rPr>
                  </w:pPr>
                </w:p>
              </w:tc>
              <w:tc>
                <w:tcPr>
                  <w:tcW w:w="667" w:type="pct"/>
                  <w:vMerge w:val="continue"/>
                  <w:tcBorders>
                    <w:left w:val="single" w:color="000000" w:sz="4" w:space="0"/>
                    <w:right w:val="single" w:color="000000" w:sz="4" w:space="0"/>
                  </w:tcBorders>
                  <w:vAlign w:val="center"/>
                </w:tcPr>
                <w:p w14:paraId="681B3A79">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p>
              </w:tc>
              <w:tc>
                <w:tcPr>
                  <w:tcW w:w="1800" w:type="pct"/>
                  <w:vMerge w:val="continue"/>
                  <w:tcBorders>
                    <w:left w:val="single" w:color="000000" w:sz="4" w:space="0"/>
                    <w:bottom w:val="single" w:color="auto" w:sz="4" w:space="0"/>
                    <w:right w:val="single" w:color="000000" w:sz="4" w:space="0"/>
                  </w:tcBorders>
                  <w:vAlign w:val="center"/>
                </w:tcPr>
                <w:p w14:paraId="7A567CD1">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p>
              </w:tc>
              <w:tc>
                <w:tcPr>
                  <w:tcW w:w="1556" w:type="pct"/>
                  <w:tcBorders>
                    <w:top w:val="single" w:color="000000" w:sz="4" w:space="0"/>
                    <w:left w:val="single" w:color="000000" w:sz="4" w:space="0"/>
                    <w:bottom w:val="single" w:color="auto" w:sz="4" w:space="0"/>
                    <w:right w:val="single" w:color="000000" w:sz="4" w:space="0"/>
                  </w:tcBorders>
                  <w:vAlign w:val="center"/>
                </w:tcPr>
                <w:p w14:paraId="02DCEBF2">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将粘（钉）箱工序搬至回转车间东侧，设置一个270㎡的粘（钉）箱区。</w:t>
                  </w:r>
                </w:p>
              </w:tc>
              <w:tc>
                <w:tcPr>
                  <w:tcW w:w="532" w:type="pct"/>
                  <w:tcBorders>
                    <w:top w:val="single" w:color="000000" w:sz="4" w:space="0"/>
                    <w:left w:val="single" w:color="000000" w:sz="4" w:space="0"/>
                    <w:bottom w:val="single" w:color="auto" w:sz="4" w:space="0"/>
                    <w:right w:val="single" w:color="000000" w:sz="4" w:space="0"/>
                  </w:tcBorders>
                  <w:vAlign w:val="center"/>
                </w:tcPr>
                <w:p w14:paraId="4156314E">
                  <w:pPr>
                    <w:pStyle w:val="32"/>
                    <w:spacing w:before="60" w:after="6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本次改建内容</w:t>
                  </w:r>
                </w:p>
              </w:tc>
            </w:tr>
            <w:tr w14:paraId="7BD68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442" w:type="pct"/>
                  <w:vMerge w:val="continue"/>
                  <w:tcBorders>
                    <w:left w:val="single" w:color="000000" w:sz="4" w:space="0"/>
                    <w:right w:val="single" w:color="000000" w:sz="4" w:space="0"/>
                  </w:tcBorders>
                  <w:vAlign w:val="center"/>
                </w:tcPr>
                <w:p w14:paraId="4BD221D0">
                  <w:pPr>
                    <w:snapToGrid w:val="0"/>
                    <w:jc w:val="center"/>
                    <w:rPr>
                      <w:rFonts w:hint="default" w:ascii="Times New Roman" w:hAnsi="Times New Roman" w:eastAsia="宋体" w:cs="Times New Roman"/>
                      <w:color w:val="auto"/>
                      <w:sz w:val="21"/>
                      <w:szCs w:val="21"/>
                    </w:rPr>
                  </w:pPr>
                </w:p>
              </w:tc>
              <w:tc>
                <w:tcPr>
                  <w:tcW w:w="667" w:type="pct"/>
                  <w:vMerge w:val="continue"/>
                  <w:tcBorders>
                    <w:left w:val="single" w:color="000000" w:sz="4" w:space="0"/>
                    <w:bottom w:val="single" w:color="auto" w:sz="4" w:space="0"/>
                    <w:right w:val="single" w:color="000000" w:sz="4" w:space="0"/>
                  </w:tcBorders>
                  <w:vAlign w:val="center"/>
                </w:tcPr>
                <w:p w14:paraId="627A710C">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p>
              </w:tc>
              <w:tc>
                <w:tcPr>
                  <w:tcW w:w="1800" w:type="pct"/>
                  <w:tcBorders>
                    <w:top w:val="single" w:color="auto" w:sz="4" w:space="0"/>
                    <w:left w:val="single" w:color="000000" w:sz="4" w:space="0"/>
                    <w:bottom w:val="single" w:color="auto" w:sz="4" w:space="0"/>
                    <w:right w:val="single" w:color="000000" w:sz="4" w:space="0"/>
                  </w:tcBorders>
                  <w:vAlign w:val="center"/>
                </w:tcPr>
                <w:p w14:paraId="6BCBC01A">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56" w:type="pct"/>
                  <w:tcBorders>
                    <w:top w:val="single" w:color="auto" w:sz="4" w:space="0"/>
                    <w:left w:val="single" w:color="000000" w:sz="4" w:space="0"/>
                    <w:bottom w:val="single" w:color="auto" w:sz="4" w:space="0"/>
                    <w:right w:val="single" w:color="000000" w:sz="4" w:space="0"/>
                  </w:tcBorders>
                  <w:vAlign w:val="center"/>
                </w:tcPr>
                <w:p w14:paraId="46D5C9C7">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在4A车间主体部分2327.6㎡</w:t>
                  </w:r>
                  <w:r>
                    <w:rPr>
                      <w:rFonts w:hint="default" w:ascii="Times New Roman" w:hAnsi="Times New Roman" w:eastAsia="宋体" w:cs="Times New Roman"/>
                      <w:color w:val="auto"/>
                      <w:sz w:val="21"/>
                      <w:szCs w:val="21"/>
                      <w:lang w:val="en-US" w:eastAsia="zh-CN"/>
                    </w:rPr>
                    <w:t>建设1条5层瓦楞纸板生产线。</w:t>
                  </w:r>
                </w:p>
              </w:tc>
              <w:tc>
                <w:tcPr>
                  <w:tcW w:w="532" w:type="pct"/>
                  <w:tcBorders>
                    <w:top w:val="single" w:color="auto" w:sz="4" w:space="0"/>
                    <w:left w:val="single" w:color="000000" w:sz="4" w:space="0"/>
                    <w:bottom w:val="single" w:color="auto" w:sz="4" w:space="0"/>
                    <w:right w:val="single" w:color="000000" w:sz="4" w:space="0"/>
                  </w:tcBorders>
                  <w:vAlign w:val="center"/>
                </w:tcPr>
                <w:p w14:paraId="1C8F82C7">
                  <w:pPr>
                    <w:pStyle w:val="32"/>
                    <w:spacing w:before="60" w:after="6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本次改建内容</w:t>
                  </w:r>
                </w:p>
              </w:tc>
            </w:tr>
            <w:tr w14:paraId="10A87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442" w:type="pct"/>
                  <w:vMerge w:val="restart"/>
                  <w:tcBorders>
                    <w:left w:val="single" w:color="000000" w:sz="4" w:space="0"/>
                    <w:right w:val="single" w:color="000000" w:sz="4" w:space="0"/>
                  </w:tcBorders>
                  <w:vAlign w:val="center"/>
                </w:tcPr>
                <w:p w14:paraId="0E227C3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储运工程</w:t>
                  </w:r>
                </w:p>
              </w:tc>
              <w:tc>
                <w:tcPr>
                  <w:tcW w:w="667" w:type="pct"/>
                  <w:vMerge w:val="restart"/>
                  <w:tcBorders>
                    <w:top w:val="single" w:color="000000" w:sz="4" w:space="0"/>
                    <w:left w:val="single" w:color="000000" w:sz="4" w:space="0"/>
                    <w:right w:val="single" w:color="000000" w:sz="4" w:space="0"/>
                  </w:tcBorders>
                  <w:vAlign w:val="center"/>
                </w:tcPr>
                <w:p w14:paraId="5C042E75">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原料区</w:t>
                  </w:r>
                </w:p>
              </w:tc>
              <w:tc>
                <w:tcPr>
                  <w:tcW w:w="1800" w:type="pct"/>
                  <w:tcBorders>
                    <w:top w:val="single" w:color="000000" w:sz="4" w:space="0"/>
                    <w:left w:val="single" w:color="000000" w:sz="4" w:space="0"/>
                    <w:bottom w:val="single" w:color="auto" w:sz="4" w:space="0"/>
                    <w:right w:val="single" w:color="000000" w:sz="4" w:space="0"/>
                  </w:tcBorders>
                  <w:vAlign w:val="center"/>
                </w:tcPr>
                <w:p w14:paraId="27772E99">
                  <w:pPr>
                    <w:pStyle w:val="66"/>
                    <w:snapToGrid w:val="0"/>
                    <w:spacing w:before="71"/>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印刷区北侧设置一个</w:t>
                  </w:r>
                  <w:r>
                    <w:rPr>
                      <w:rFonts w:hint="default" w:ascii="Times New Roman" w:hAnsi="Times New Roman" w:eastAsia="宋体" w:cs="Times New Roman"/>
                      <w:color w:val="auto"/>
                      <w:sz w:val="21"/>
                      <w:szCs w:val="21"/>
                    </w:rPr>
                    <w:t>占地面积为500m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eastAsia="zh-CN"/>
                    </w:rPr>
                    <w:t>的</w:t>
                  </w:r>
                  <w:r>
                    <w:rPr>
                      <w:rFonts w:hint="default" w:ascii="Times New Roman" w:hAnsi="Times New Roman" w:eastAsia="宋体" w:cs="Times New Roman"/>
                      <w:color w:val="auto"/>
                      <w:sz w:val="21"/>
                      <w:szCs w:val="21"/>
                      <w:vertAlign w:val="baseline"/>
                      <w:lang w:val="en-US" w:eastAsia="zh-CN"/>
                    </w:rPr>
                    <w:t>原料区</w:t>
                  </w:r>
                  <w:r>
                    <w:rPr>
                      <w:rFonts w:hint="default" w:ascii="Times New Roman" w:hAnsi="Times New Roman" w:eastAsia="宋体" w:cs="Times New Roman"/>
                      <w:color w:val="auto"/>
                      <w:sz w:val="21"/>
                      <w:szCs w:val="21"/>
                    </w:rPr>
                    <w:t>，主要用于暂存成品</w:t>
                  </w:r>
                  <w:r>
                    <w:rPr>
                      <w:rFonts w:hint="default" w:ascii="Times New Roman" w:hAnsi="Times New Roman" w:eastAsia="宋体" w:cs="Times New Roman"/>
                      <w:color w:val="auto"/>
                      <w:sz w:val="21"/>
                      <w:szCs w:val="21"/>
                      <w:lang w:val="en-US" w:eastAsia="zh-CN"/>
                    </w:rPr>
                    <w:t>瓦楞纸</w:t>
                  </w:r>
                  <w:r>
                    <w:rPr>
                      <w:rFonts w:hint="default" w:ascii="Times New Roman" w:hAnsi="Times New Roman" w:eastAsia="宋体" w:cs="Times New Roman"/>
                      <w:color w:val="auto"/>
                      <w:sz w:val="21"/>
                      <w:szCs w:val="21"/>
                    </w:rPr>
                    <w:t>。</w:t>
                  </w:r>
                </w:p>
              </w:tc>
              <w:tc>
                <w:tcPr>
                  <w:tcW w:w="1556" w:type="pct"/>
                  <w:tcBorders>
                    <w:top w:val="single" w:color="000000" w:sz="4" w:space="0"/>
                    <w:left w:val="single" w:color="000000" w:sz="4" w:space="0"/>
                    <w:bottom w:val="single" w:color="auto" w:sz="4" w:space="0"/>
                    <w:right w:val="single" w:color="000000" w:sz="4" w:space="0"/>
                  </w:tcBorders>
                  <w:vAlign w:val="center"/>
                </w:tcPr>
                <w:p w14:paraId="0AFE086D">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改为印刷区。</w:t>
                  </w:r>
                </w:p>
              </w:tc>
              <w:tc>
                <w:tcPr>
                  <w:tcW w:w="532" w:type="pct"/>
                  <w:vMerge w:val="restart"/>
                  <w:tcBorders>
                    <w:top w:val="single" w:color="000000" w:sz="4" w:space="0"/>
                    <w:left w:val="single" w:color="000000" w:sz="4" w:space="0"/>
                    <w:right w:val="single" w:color="000000" w:sz="4" w:space="0"/>
                  </w:tcBorders>
                  <w:vAlign w:val="center"/>
                </w:tcPr>
                <w:p w14:paraId="2243733C">
                  <w:pPr>
                    <w:pStyle w:val="32"/>
                    <w:spacing w:before="60" w:after="6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本次改建内容</w:t>
                  </w:r>
                </w:p>
              </w:tc>
            </w:tr>
            <w:tr w14:paraId="50883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442" w:type="pct"/>
                  <w:vMerge w:val="continue"/>
                  <w:tcBorders>
                    <w:left w:val="single" w:color="000000" w:sz="4" w:space="0"/>
                    <w:right w:val="single" w:color="000000" w:sz="4" w:space="0"/>
                  </w:tcBorders>
                  <w:vAlign w:val="center"/>
                </w:tcPr>
                <w:p w14:paraId="4560C6A9">
                  <w:pPr>
                    <w:snapToGrid w:val="0"/>
                    <w:jc w:val="center"/>
                    <w:rPr>
                      <w:rFonts w:hint="default" w:ascii="Times New Roman" w:hAnsi="Times New Roman" w:eastAsia="宋体" w:cs="Times New Roman"/>
                      <w:color w:val="auto"/>
                      <w:sz w:val="21"/>
                      <w:szCs w:val="21"/>
                    </w:rPr>
                  </w:pPr>
                </w:p>
              </w:tc>
              <w:tc>
                <w:tcPr>
                  <w:tcW w:w="667" w:type="pct"/>
                  <w:vMerge w:val="continue"/>
                  <w:tcBorders>
                    <w:left w:val="single" w:color="000000" w:sz="4" w:space="0"/>
                    <w:bottom w:val="single" w:color="auto" w:sz="4" w:space="0"/>
                    <w:right w:val="single" w:color="000000" w:sz="4" w:space="0"/>
                  </w:tcBorders>
                  <w:vAlign w:val="center"/>
                </w:tcPr>
                <w:p w14:paraId="21E6FA80">
                  <w:pPr>
                    <w:autoSpaceDE w:val="0"/>
                    <w:autoSpaceDN w:val="0"/>
                    <w:adjustRightInd w:val="0"/>
                    <w:snapToGrid w:val="0"/>
                    <w:jc w:val="center"/>
                    <w:rPr>
                      <w:rFonts w:hint="default" w:ascii="Times New Roman" w:hAnsi="Times New Roman" w:eastAsia="宋体" w:cs="Times New Roman"/>
                      <w:color w:val="auto"/>
                      <w:sz w:val="21"/>
                      <w:szCs w:val="21"/>
                    </w:rPr>
                  </w:pPr>
                </w:p>
              </w:tc>
              <w:tc>
                <w:tcPr>
                  <w:tcW w:w="1800" w:type="pct"/>
                  <w:tcBorders>
                    <w:top w:val="single" w:color="auto" w:sz="4" w:space="0"/>
                    <w:left w:val="single" w:color="000000" w:sz="4" w:space="0"/>
                    <w:bottom w:val="single" w:color="auto" w:sz="4" w:space="0"/>
                    <w:right w:val="single" w:color="000000" w:sz="4" w:space="0"/>
                  </w:tcBorders>
                  <w:vAlign w:val="center"/>
                </w:tcPr>
                <w:p w14:paraId="1F24C570">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56" w:type="pct"/>
                  <w:tcBorders>
                    <w:top w:val="single" w:color="auto" w:sz="4" w:space="0"/>
                    <w:left w:val="single" w:color="000000" w:sz="4" w:space="0"/>
                    <w:bottom w:val="single" w:color="auto" w:sz="4" w:space="0"/>
                    <w:right w:val="single" w:color="000000" w:sz="4" w:space="0"/>
                  </w:tcBorders>
                  <w:vAlign w:val="center"/>
                </w:tcPr>
                <w:p w14:paraId="17B6DEC6">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4A车间（辅助车间）改为原料区，占地面积为1060平方米。</w:t>
                  </w:r>
                </w:p>
              </w:tc>
              <w:tc>
                <w:tcPr>
                  <w:tcW w:w="532" w:type="pct"/>
                  <w:vMerge w:val="continue"/>
                  <w:tcBorders>
                    <w:left w:val="single" w:color="000000" w:sz="4" w:space="0"/>
                    <w:bottom w:val="single" w:color="auto" w:sz="4" w:space="0"/>
                    <w:right w:val="single" w:color="000000" w:sz="4" w:space="0"/>
                  </w:tcBorders>
                  <w:vAlign w:val="center"/>
                </w:tcPr>
                <w:p w14:paraId="1D4354B3">
                  <w:pPr>
                    <w:pStyle w:val="32"/>
                    <w:spacing w:before="60" w:after="60"/>
                    <w:ind w:firstLine="0" w:firstLineChars="0"/>
                    <w:rPr>
                      <w:rFonts w:hint="default" w:ascii="Times New Roman" w:hAnsi="Times New Roman" w:eastAsia="宋体" w:cs="Times New Roman"/>
                      <w:color w:val="auto"/>
                      <w:sz w:val="21"/>
                      <w:szCs w:val="21"/>
                      <w:lang w:val="en-US" w:eastAsia="zh-CN"/>
                    </w:rPr>
                  </w:pPr>
                </w:p>
              </w:tc>
            </w:tr>
            <w:tr w14:paraId="67F5C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442" w:type="pct"/>
                  <w:vMerge w:val="restart"/>
                  <w:tcBorders>
                    <w:left w:val="single" w:color="000000" w:sz="4" w:space="0"/>
                    <w:right w:val="single" w:color="000000" w:sz="4" w:space="0"/>
                  </w:tcBorders>
                  <w:vAlign w:val="center"/>
                </w:tcPr>
                <w:p w14:paraId="1749CE09">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667" w:type="pct"/>
                  <w:tcBorders>
                    <w:top w:val="single" w:color="000000" w:sz="4" w:space="0"/>
                    <w:left w:val="single" w:color="000000" w:sz="4" w:space="0"/>
                    <w:right w:val="single" w:color="000000" w:sz="4" w:space="0"/>
                  </w:tcBorders>
                  <w:vAlign w:val="center"/>
                </w:tcPr>
                <w:p w14:paraId="0571FAE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1800" w:type="pct"/>
                  <w:tcBorders>
                    <w:top w:val="single" w:color="000000" w:sz="4" w:space="0"/>
                    <w:left w:val="single" w:color="000000" w:sz="4" w:space="0"/>
                    <w:bottom w:val="single" w:color="auto" w:sz="4" w:space="0"/>
                    <w:right w:val="single" w:color="000000" w:sz="4" w:space="0"/>
                  </w:tcBorders>
                  <w:vAlign w:val="center"/>
                </w:tcPr>
                <w:p w14:paraId="00B2216B">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56" w:type="pct"/>
                  <w:tcBorders>
                    <w:top w:val="single" w:color="000000" w:sz="4" w:space="0"/>
                    <w:left w:val="single" w:color="000000" w:sz="4" w:space="0"/>
                    <w:bottom w:val="single" w:color="auto" w:sz="4" w:space="0"/>
                    <w:right w:val="single" w:color="000000" w:sz="4" w:space="0"/>
                  </w:tcBorders>
                  <w:vAlign w:val="center"/>
                </w:tcPr>
                <w:p w14:paraId="6E9863C5">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在4A车间新建一间20㎡的办公室。</w:t>
                  </w:r>
                </w:p>
              </w:tc>
              <w:tc>
                <w:tcPr>
                  <w:tcW w:w="532" w:type="pct"/>
                  <w:tcBorders>
                    <w:top w:val="single" w:color="000000" w:sz="4" w:space="0"/>
                    <w:left w:val="single" w:color="000000" w:sz="4" w:space="0"/>
                    <w:bottom w:val="single" w:color="auto" w:sz="4" w:space="0"/>
                    <w:right w:val="single" w:color="000000" w:sz="4" w:space="0"/>
                  </w:tcBorders>
                  <w:vAlign w:val="center"/>
                </w:tcPr>
                <w:p w14:paraId="4CB8C8A2">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本次改建内容</w:t>
                  </w:r>
                </w:p>
              </w:tc>
            </w:tr>
            <w:tr w14:paraId="6D44B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442" w:type="pct"/>
                  <w:vMerge w:val="continue"/>
                  <w:tcBorders>
                    <w:left w:val="single" w:color="000000" w:sz="4" w:space="0"/>
                    <w:bottom w:val="single" w:color="auto" w:sz="4" w:space="0"/>
                    <w:right w:val="single" w:color="000000" w:sz="4" w:space="0"/>
                  </w:tcBorders>
                  <w:vAlign w:val="center"/>
                </w:tcPr>
                <w:p w14:paraId="6D6781DE">
                  <w:pPr>
                    <w:snapToGrid w:val="0"/>
                    <w:jc w:val="center"/>
                    <w:rPr>
                      <w:rFonts w:hint="default" w:ascii="Times New Roman" w:hAnsi="Times New Roman" w:eastAsia="宋体" w:cs="Times New Roman"/>
                      <w:color w:val="auto"/>
                      <w:sz w:val="21"/>
                      <w:szCs w:val="21"/>
                    </w:rPr>
                  </w:pPr>
                </w:p>
              </w:tc>
              <w:tc>
                <w:tcPr>
                  <w:tcW w:w="667" w:type="pct"/>
                  <w:tcBorders>
                    <w:top w:val="single" w:color="auto" w:sz="4" w:space="0"/>
                    <w:left w:val="single" w:color="000000" w:sz="4" w:space="0"/>
                    <w:bottom w:val="single" w:color="auto" w:sz="4" w:space="0"/>
                    <w:right w:val="single" w:color="000000" w:sz="4" w:space="0"/>
                  </w:tcBorders>
                  <w:vAlign w:val="center"/>
                </w:tcPr>
                <w:p w14:paraId="42F63A7E">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制胶区</w:t>
                  </w:r>
                </w:p>
              </w:tc>
              <w:tc>
                <w:tcPr>
                  <w:tcW w:w="1800" w:type="pct"/>
                  <w:tcBorders>
                    <w:top w:val="single" w:color="auto" w:sz="4" w:space="0"/>
                    <w:left w:val="single" w:color="000000" w:sz="4" w:space="0"/>
                    <w:bottom w:val="single" w:color="auto" w:sz="4" w:space="0"/>
                    <w:right w:val="single" w:color="000000" w:sz="4" w:space="0"/>
                  </w:tcBorders>
                  <w:vAlign w:val="center"/>
                </w:tcPr>
                <w:p w14:paraId="2491869B">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56" w:type="pct"/>
                  <w:tcBorders>
                    <w:top w:val="single" w:color="auto" w:sz="4" w:space="0"/>
                    <w:left w:val="single" w:color="000000" w:sz="4" w:space="0"/>
                    <w:bottom w:val="single" w:color="auto" w:sz="4" w:space="0"/>
                    <w:right w:val="single" w:color="000000" w:sz="4" w:space="0"/>
                  </w:tcBorders>
                  <w:vAlign w:val="center"/>
                </w:tcPr>
                <w:p w14:paraId="3E6877CA">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回转车间西侧设置80㎡制胶区和24㎡的空压机房，设置1套全自动制胶机，2个2m³的胶罐。</w:t>
                  </w:r>
                </w:p>
              </w:tc>
              <w:tc>
                <w:tcPr>
                  <w:tcW w:w="532" w:type="pct"/>
                  <w:tcBorders>
                    <w:top w:val="single" w:color="auto" w:sz="4" w:space="0"/>
                    <w:left w:val="single" w:color="000000" w:sz="4" w:space="0"/>
                    <w:bottom w:val="single" w:color="auto" w:sz="4" w:space="0"/>
                    <w:right w:val="single" w:color="000000" w:sz="4" w:space="0"/>
                  </w:tcBorders>
                  <w:vAlign w:val="center"/>
                </w:tcPr>
                <w:p w14:paraId="1F82CBD3">
                  <w:pPr>
                    <w:spacing w:before="60" w:after="6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本次改建内容</w:t>
                  </w:r>
                </w:p>
              </w:tc>
            </w:tr>
            <w:tr w14:paraId="7FF9A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442" w:type="pct"/>
                  <w:vMerge w:val="continue"/>
                  <w:tcBorders>
                    <w:left w:val="single" w:color="000000" w:sz="4" w:space="0"/>
                    <w:bottom w:val="single" w:color="auto" w:sz="4" w:space="0"/>
                    <w:right w:val="single" w:color="000000" w:sz="4" w:space="0"/>
                  </w:tcBorders>
                  <w:vAlign w:val="center"/>
                </w:tcPr>
                <w:p w14:paraId="43B3EBC4">
                  <w:pPr>
                    <w:snapToGrid w:val="0"/>
                    <w:jc w:val="center"/>
                    <w:rPr>
                      <w:rFonts w:hint="default" w:ascii="Times New Roman" w:hAnsi="Times New Roman" w:eastAsia="宋体" w:cs="Times New Roman"/>
                      <w:color w:val="auto"/>
                      <w:sz w:val="21"/>
                      <w:szCs w:val="21"/>
                    </w:rPr>
                  </w:pPr>
                </w:p>
              </w:tc>
              <w:tc>
                <w:tcPr>
                  <w:tcW w:w="667" w:type="pct"/>
                  <w:tcBorders>
                    <w:top w:val="single" w:color="auto" w:sz="4" w:space="0"/>
                    <w:left w:val="single" w:color="000000" w:sz="4" w:space="0"/>
                    <w:bottom w:val="single" w:color="auto" w:sz="4" w:space="0"/>
                    <w:right w:val="single" w:color="000000" w:sz="4" w:space="0"/>
                  </w:tcBorders>
                  <w:vAlign w:val="center"/>
                </w:tcPr>
                <w:p w14:paraId="2C4A290C">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空压机房</w:t>
                  </w:r>
                </w:p>
              </w:tc>
              <w:tc>
                <w:tcPr>
                  <w:tcW w:w="1800" w:type="pct"/>
                  <w:tcBorders>
                    <w:top w:val="single" w:color="auto" w:sz="4" w:space="0"/>
                    <w:left w:val="single" w:color="000000" w:sz="4" w:space="0"/>
                    <w:bottom w:val="single" w:color="auto" w:sz="4" w:space="0"/>
                    <w:right w:val="single" w:color="000000" w:sz="4" w:space="0"/>
                  </w:tcBorders>
                  <w:vAlign w:val="center"/>
                </w:tcPr>
                <w:p w14:paraId="38301227">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56" w:type="pct"/>
                  <w:tcBorders>
                    <w:top w:val="single" w:color="auto" w:sz="4" w:space="0"/>
                    <w:left w:val="single" w:color="000000" w:sz="4" w:space="0"/>
                    <w:bottom w:val="single" w:color="auto" w:sz="4" w:space="0"/>
                    <w:right w:val="single" w:color="000000" w:sz="4" w:space="0"/>
                  </w:tcBorders>
                  <w:vAlign w:val="center"/>
                </w:tcPr>
                <w:p w14:paraId="271D0371">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制胶区西侧设置24㎡的空压机房，设置2台螺杆空压机和2个2.5m³的储气罐。</w:t>
                  </w:r>
                </w:p>
              </w:tc>
              <w:tc>
                <w:tcPr>
                  <w:tcW w:w="532" w:type="pct"/>
                  <w:tcBorders>
                    <w:top w:val="single" w:color="auto" w:sz="4" w:space="0"/>
                    <w:left w:val="single" w:color="000000" w:sz="4" w:space="0"/>
                    <w:bottom w:val="single" w:color="auto" w:sz="4" w:space="0"/>
                    <w:right w:val="single" w:color="000000" w:sz="4" w:space="0"/>
                  </w:tcBorders>
                  <w:vAlign w:val="center"/>
                </w:tcPr>
                <w:p w14:paraId="1D31EC28">
                  <w:pPr>
                    <w:spacing w:before="60" w:after="6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本次改建内容</w:t>
                  </w:r>
                </w:p>
              </w:tc>
            </w:tr>
            <w:tr w14:paraId="6AADD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9" w:hRule="atLeast"/>
                <w:jc w:val="center"/>
              </w:trPr>
              <w:tc>
                <w:tcPr>
                  <w:tcW w:w="442" w:type="pct"/>
                  <w:vMerge w:val="continue"/>
                  <w:tcBorders>
                    <w:left w:val="single" w:color="000000" w:sz="4" w:space="0"/>
                    <w:bottom w:val="single" w:color="auto" w:sz="4" w:space="0"/>
                    <w:right w:val="single" w:color="000000" w:sz="4" w:space="0"/>
                  </w:tcBorders>
                  <w:vAlign w:val="center"/>
                </w:tcPr>
                <w:p w14:paraId="15F9AC58">
                  <w:pPr>
                    <w:snapToGrid w:val="0"/>
                    <w:jc w:val="center"/>
                    <w:rPr>
                      <w:rFonts w:hint="default" w:ascii="Times New Roman" w:hAnsi="Times New Roman" w:eastAsia="宋体" w:cs="Times New Roman"/>
                      <w:color w:val="auto"/>
                      <w:sz w:val="21"/>
                      <w:szCs w:val="21"/>
                    </w:rPr>
                  </w:pPr>
                </w:p>
              </w:tc>
              <w:tc>
                <w:tcPr>
                  <w:tcW w:w="667" w:type="pct"/>
                  <w:tcBorders>
                    <w:top w:val="single" w:color="auto" w:sz="4" w:space="0"/>
                    <w:left w:val="single" w:color="000000" w:sz="4" w:space="0"/>
                    <w:bottom w:val="single" w:color="auto" w:sz="4" w:space="0"/>
                    <w:right w:val="single" w:color="000000" w:sz="4" w:space="0"/>
                  </w:tcBorders>
                  <w:vAlign w:val="center"/>
                </w:tcPr>
                <w:p w14:paraId="0DA8B4C8">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锅炉房</w:t>
                  </w:r>
                </w:p>
              </w:tc>
              <w:tc>
                <w:tcPr>
                  <w:tcW w:w="1800" w:type="pct"/>
                  <w:tcBorders>
                    <w:top w:val="single" w:color="auto" w:sz="4" w:space="0"/>
                    <w:left w:val="single" w:color="000000" w:sz="4" w:space="0"/>
                    <w:bottom w:val="single" w:color="auto" w:sz="4" w:space="0"/>
                    <w:right w:val="single" w:color="000000" w:sz="4" w:space="0"/>
                  </w:tcBorders>
                  <w:vAlign w:val="center"/>
                </w:tcPr>
                <w:p w14:paraId="5BCB4847">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56" w:type="pct"/>
                  <w:tcBorders>
                    <w:top w:val="single" w:color="auto" w:sz="4" w:space="0"/>
                    <w:left w:val="single" w:color="000000" w:sz="4" w:space="0"/>
                    <w:bottom w:val="single" w:color="auto" w:sz="4" w:space="0"/>
                    <w:right w:val="single" w:color="000000" w:sz="4" w:space="0"/>
                  </w:tcBorders>
                  <w:vAlign w:val="center"/>
                </w:tcPr>
                <w:p w14:paraId="71A88110">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将153.8㎡的工具间改造为锅炉房，安装4t/h生物质锅炉，同时配套4t/h软水制备系统、供汽系统和冷凝水回收系统。</w:t>
                  </w:r>
                </w:p>
              </w:tc>
              <w:tc>
                <w:tcPr>
                  <w:tcW w:w="532" w:type="pct"/>
                  <w:tcBorders>
                    <w:top w:val="single" w:color="auto" w:sz="4" w:space="0"/>
                    <w:left w:val="single" w:color="000000" w:sz="4" w:space="0"/>
                    <w:bottom w:val="single" w:color="auto" w:sz="4" w:space="0"/>
                    <w:right w:val="single" w:color="000000" w:sz="4" w:space="0"/>
                  </w:tcBorders>
                  <w:vAlign w:val="center"/>
                </w:tcPr>
                <w:p w14:paraId="283223C8">
                  <w:pPr>
                    <w:spacing w:before="60" w:after="6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本次改建内容</w:t>
                  </w:r>
                </w:p>
              </w:tc>
            </w:tr>
            <w:tr w14:paraId="0BFFE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442" w:type="pct"/>
                  <w:tcBorders>
                    <w:top w:val="single" w:color="auto" w:sz="4" w:space="0"/>
                    <w:left w:val="single" w:color="000000" w:sz="4" w:space="0"/>
                    <w:right w:val="single" w:color="000000" w:sz="4" w:space="0"/>
                  </w:tcBorders>
                  <w:vAlign w:val="center"/>
                </w:tcPr>
                <w:p w14:paraId="29688194">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依托工程</w:t>
                  </w:r>
                </w:p>
              </w:tc>
              <w:tc>
                <w:tcPr>
                  <w:tcW w:w="667" w:type="pct"/>
                  <w:tcBorders>
                    <w:top w:val="single" w:color="auto" w:sz="4" w:space="0"/>
                    <w:left w:val="single" w:color="000000" w:sz="4" w:space="0"/>
                    <w:bottom w:val="single" w:color="auto" w:sz="4" w:space="0"/>
                    <w:right w:val="single" w:color="000000" w:sz="4" w:space="0"/>
                  </w:tcBorders>
                  <w:vAlign w:val="center"/>
                </w:tcPr>
                <w:p w14:paraId="293FCDAE">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800" w:type="pct"/>
                  <w:tcBorders>
                    <w:top w:val="single" w:color="auto" w:sz="4" w:space="0"/>
                    <w:left w:val="single" w:color="000000" w:sz="4" w:space="0"/>
                    <w:bottom w:val="single" w:color="auto" w:sz="4" w:space="0"/>
                    <w:right w:val="single" w:color="000000" w:sz="4" w:space="0"/>
                  </w:tcBorders>
                  <w:vAlign w:val="center"/>
                </w:tcPr>
                <w:p w14:paraId="0FC25E8F">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从云南新兴仁恒包装材料有限公司</w:t>
                  </w:r>
                  <w:r>
                    <w:rPr>
                      <w:rFonts w:hint="default" w:ascii="Times New Roman" w:hAnsi="Times New Roman" w:eastAsia="宋体" w:cs="Times New Roman"/>
                      <w:color w:val="auto"/>
                      <w:sz w:val="21"/>
                      <w:szCs w:val="21"/>
                    </w:rPr>
                    <w:t>配电室</w:t>
                  </w:r>
                  <w:r>
                    <w:rPr>
                      <w:rFonts w:hint="default" w:ascii="Times New Roman" w:hAnsi="Times New Roman" w:eastAsia="宋体" w:cs="Times New Roman"/>
                      <w:color w:val="auto"/>
                      <w:sz w:val="21"/>
                      <w:szCs w:val="21"/>
                      <w:lang w:val="en-US" w:eastAsia="zh-CN"/>
                    </w:rPr>
                    <w:t>接线，</w:t>
                  </w:r>
                  <w:r>
                    <w:rPr>
                      <w:rFonts w:hint="default" w:ascii="Times New Roman" w:hAnsi="Times New Roman" w:eastAsia="宋体" w:cs="Times New Roman"/>
                      <w:color w:val="auto"/>
                      <w:sz w:val="21"/>
                      <w:szCs w:val="21"/>
                    </w:rPr>
                    <w:t>可满足企业需求。</w:t>
                  </w:r>
                </w:p>
              </w:tc>
              <w:tc>
                <w:tcPr>
                  <w:tcW w:w="1556" w:type="pct"/>
                  <w:tcBorders>
                    <w:top w:val="single" w:color="auto" w:sz="4" w:space="0"/>
                    <w:left w:val="single" w:color="000000" w:sz="4" w:space="0"/>
                    <w:bottom w:val="single" w:color="auto" w:sz="4" w:space="0"/>
                    <w:right w:val="single" w:color="000000" w:sz="4" w:space="0"/>
                  </w:tcBorders>
                  <w:vAlign w:val="center"/>
                </w:tcPr>
                <w:p w14:paraId="215BC0EF">
                  <w:pPr>
                    <w:autoSpaceDE w:val="0"/>
                    <w:autoSpaceDN w:val="0"/>
                    <w:adjustRightInd w:val="0"/>
                    <w:snapToGrid w:val="0"/>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新建一间40㎡的配电室，位于4A车间东南角，本次瓦楞纸板生产线从新建配电室接线，其余设备从云南新兴仁恒包装材料有限公司</w:t>
                  </w:r>
                  <w:r>
                    <w:rPr>
                      <w:rFonts w:hint="default" w:ascii="Times New Roman" w:hAnsi="Times New Roman" w:eastAsia="宋体" w:cs="Times New Roman"/>
                      <w:color w:val="auto"/>
                      <w:sz w:val="21"/>
                      <w:szCs w:val="21"/>
                    </w:rPr>
                    <w:t>配电室</w:t>
                  </w:r>
                  <w:r>
                    <w:rPr>
                      <w:rFonts w:hint="default" w:ascii="Times New Roman" w:hAnsi="Times New Roman" w:eastAsia="宋体" w:cs="Times New Roman"/>
                      <w:color w:val="auto"/>
                      <w:sz w:val="21"/>
                      <w:szCs w:val="21"/>
                      <w:lang w:val="en-US" w:eastAsia="zh-CN"/>
                    </w:rPr>
                    <w:t>接线，</w:t>
                  </w:r>
                  <w:r>
                    <w:rPr>
                      <w:rFonts w:hint="default" w:ascii="Times New Roman" w:hAnsi="Times New Roman" w:eastAsia="宋体" w:cs="Times New Roman"/>
                      <w:color w:val="auto"/>
                      <w:sz w:val="21"/>
                      <w:szCs w:val="21"/>
                    </w:rPr>
                    <w:t>可满足企业需求</w:t>
                  </w:r>
                  <w:r>
                    <w:rPr>
                      <w:rFonts w:hint="default" w:ascii="Times New Roman" w:hAnsi="Times New Roman" w:eastAsia="宋体" w:cs="Times New Roman"/>
                      <w:color w:val="auto"/>
                      <w:sz w:val="21"/>
                      <w:szCs w:val="21"/>
                      <w:lang w:val="en-US" w:eastAsia="zh-CN"/>
                    </w:rPr>
                    <w:t>。</w:t>
                  </w:r>
                </w:p>
              </w:tc>
              <w:tc>
                <w:tcPr>
                  <w:tcW w:w="532" w:type="pct"/>
                  <w:tcBorders>
                    <w:top w:val="single" w:color="auto" w:sz="4" w:space="0"/>
                    <w:left w:val="single" w:color="000000" w:sz="4" w:space="0"/>
                    <w:bottom w:val="single" w:color="auto" w:sz="4" w:space="0"/>
                    <w:right w:val="single" w:color="000000" w:sz="4" w:space="0"/>
                  </w:tcBorders>
                  <w:vAlign w:val="center"/>
                </w:tcPr>
                <w:p w14:paraId="2EB25F54">
                  <w:pPr>
                    <w:pStyle w:val="32"/>
                    <w:spacing w:before="60" w:after="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本次改建内容</w:t>
                  </w:r>
                </w:p>
              </w:tc>
            </w:tr>
            <w:tr w14:paraId="77A80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442" w:type="pct"/>
                  <w:vMerge w:val="restart"/>
                  <w:tcBorders>
                    <w:left w:val="single" w:color="000000" w:sz="4" w:space="0"/>
                    <w:right w:val="single" w:color="000000" w:sz="4" w:space="0"/>
                  </w:tcBorders>
                  <w:vAlign w:val="center"/>
                </w:tcPr>
                <w:p w14:paraId="69EF7718">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667" w:type="pct"/>
                  <w:tcBorders>
                    <w:top w:val="single" w:color="000000" w:sz="4" w:space="0"/>
                    <w:left w:val="single" w:color="000000" w:sz="4" w:space="0"/>
                    <w:right w:val="single" w:color="000000" w:sz="4" w:space="0"/>
                  </w:tcBorders>
                  <w:vAlign w:val="center"/>
                </w:tcPr>
                <w:p w14:paraId="22B8B8B9">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废气处理工程</w:t>
                  </w:r>
                </w:p>
              </w:tc>
              <w:tc>
                <w:tcPr>
                  <w:tcW w:w="1800" w:type="pct"/>
                  <w:tcBorders>
                    <w:top w:val="single" w:color="000000" w:sz="4" w:space="0"/>
                    <w:left w:val="single" w:color="000000" w:sz="4" w:space="0"/>
                    <w:bottom w:val="single" w:color="auto" w:sz="4" w:space="0"/>
                    <w:right w:val="single" w:color="000000" w:sz="4" w:space="0"/>
                  </w:tcBorders>
                  <w:vAlign w:val="center"/>
                </w:tcPr>
                <w:p w14:paraId="2393655B">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本项目印刷机产生的有机废气和油墨乳胶暂存间产生的有机废气通过1台新建的两级活性炭吸附装置（TA001）处理后通过1根15m高的排气筒（DA001）进行排放。</w:t>
                  </w:r>
                </w:p>
              </w:tc>
              <w:tc>
                <w:tcPr>
                  <w:tcW w:w="1556" w:type="pct"/>
                  <w:tcBorders>
                    <w:top w:val="single" w:color="000000" w:sz="4" w:space="0"/>
                    <w:left w:val="single" w:color="000000" w:sz="4" w:space="0"/>
                    <w:bottom w:val="single" w:color="auto" w:sz="4" w:space="0"/>
                    <w:right w:val="single" w:color="000000" w:sz="4" w:space="0"/>
                  </w:tcBorders>
                  <w:vAlign w:val="center"/>
                </w:tcPr>
                <w:p w14:paraId="3E7EDFD8">
                  <w:pPr>
                    <w:pStyle w:val="66"/>
                    <w:snapToGrid w:val="0"/>
                    <w:spacing w:before="71"/>
                    <w:ind w:firstLine="420" w:firstLineChars="20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锅炉废气经多管除尘+布袋除尘器（TA002）治理后，通过35m高的排气筒（DA002）排放。</w:t>
                  </w:r>
                </w:p>
              </w:tc>
              <w:tc>
                <w:tcPr>
                  <w:tcW w:w="532" w:type="pct"/>
                  <w:tcBorders>
                    <w:top w:val="single" w:color="auto" w:sz="4" w:space="0"/>
                    <w:left w:val="single" w:color="000000" w:sz="4" w:space="0"/>
                    <w:right w:val="single" w:color="000000" w:sz="4" w:space="0"/>
                  </w:tcBorders>
                  <w:vAlign w:val="center"/>
                </w:tcPr>
                <w:p w14:paraId="68A406DC">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本次改建新增</w:t>
                  </w:r>
                </w:p>
              </w:tc>
            </w:tr>
            <w:tr w14:paraId="4AF42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jc w:val="center"/>
              </w:trPr>
              <w:tc>
                <w:tcPr>
                  <w:tcW w:w="442" w:type="pct"/>
                  <w:vMerge w:val="continue"/>
                  <w:tcBorders>
                    <w:left w:val="single" w:color="000000" w:sz="4" w:space="0"/>
                    <w:right w:val="single" w:color="000000" w:sz="4" w:space="0"/>
                  </w:tcBorders>
                  <w:vAlign w:val="center"/>
                </w:tcPr>
                <w:p w14:paraId="6A949551">
                  <w:pPr>
                    <w:autoSpaceDE w:val="0"/>
                    <w:autoSpaceDN w:val="0"/>
                    <w:adjustRightInd w:val="0"/>
                    <w:snapToGrid w:val="0"/>
                    <w:jc w:val="center"/>
                    <w:rPr>
                      <w:rFonts w:hint="default" w:ascii="Times New Roman" w:hAnsi="Times New Roman" w:eastAsia="宋体" w:cs="Times New Roman"/>
                      <w:color w:val="auto"/>
                      <w:sz w:val="21"/>
                      <w:szCs w:val="21"/>
                    </w:rPr>
                  </w:pPr>
                </w:p>
              </w:tc>
              <w:tc>
                <w:tcPr>
                  <w:tcW w:w="667" w:type="pct"/>
                  <w:tcBorders>
                    <w:left w:val="single" w:color="000000" w:sz="4" w:space="0"/>
                    <w:right w:val="single" w:color="000000" w:sz="4" w:space="0"/>
                  </w:tcBorders>
                  <w:vAlign w:val="center"/>
                </w:tcPr>
                <w:p w14:paraId="43CAF899">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废水治理工程</w:t>
                  </w:r>
                </w:p>
              </w:tc>
              <w:tc>
                <w:tcPr>
                  <w:tcW w:w="1800" w:type="pct"/>
                  <w:tcBorders>
                    <w:top w:val="single" w:color="auto" w:sz="4" w:space="0"/>
                    <w:left w:val="single" w:color="000000" w:sz="4" w:space="0"/>
                    <w:bottom w:val="single" w:color="auto" w:sz="4" w:space="0"/>
                    <w:right w:val="single" w:color="000000" w:sz="4" w:space="0"/>
                  </w:tcBorders>
                  <w:vAlign w:val="center"/>
                </w:tcPr>
                <w:p w14:paraId="5CAFECE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556" w:type="pct"/>
                  <w:tcBorders>
                    <w:top w:val="single" w:color="auto" w:sz="4" w:space="0"/>
                    <w:left w:val="single" w:color="000000" w:sz="4" w:space="0"/>
                    <w:bottom w:val="single" w:color="auto" w:sz="4" w:space="0"/>
                    <w:right w:val="single" w:color="000000" w:sz="4" w:space="0"/>
                  </w:tcBorders>
                  <w:vAlign w:val="center"/>
                </w:tcPr>
                <w:p w14:paraId="0866CBED">
                  <w:pPr>
                    <w:keepNext w:val="0"/>
                    <w:keepLines w:val="0"/>
                    <w:suppressLineNumbers w:val="0"/>
                    <w:spacing w:before="0" w:beforeAutospacing="0" w:after="0" w:afterAutospacing="0"/>
                    <w:ind w:left="0" w:leftChars="0" w:right="0" w:rightChars="0"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生产废水为制胶、糊胶设备清洗废水锅炉软水制备产生的废水、锅炉排污水、车间清洁废水；制胶、糊胶设备清洗废水暂存于清洗桶内，回用于制胶；锅炉软水制备产生的废水、锅炉排污水进入依托云南新兴仁恒包装材料有限公司40m³/d的生活污水处理设施处理达标后回用于绿化及厂区洒水降尘；本项目不新增劳动定员，不新增生活污水，生活污水依托云南新兴仁恒包装材料有限公司40m³/d的生活污水处理设施处理达标后回用于绿化及厂区洒水降尘。</w:t>
                  </w:r>
                </w:p>
              </w:tc>
              <w:tc>
                <w:tcPr>
                  <w:tcW w:w="532" w:type="pct"/>
                  <w:tcBorders>
                    <w:left w:val="single" w:color="000000" w:sz="4" w:space="0"/>
                    <w:bottom w:val="single" w:color="auto" w:sz="4" w:space="0"/>
                    <w:right w:val="single" w:color="000000" w:sz="4" w:space="0"/>
                  </w:tcBorders>
                  <w:vAlign w:val="center"/>
                </w:tcPr>
                <w:p w14:paraId="64206CA0">
                  <w:pPr>
                    <w:spacing w:before="60" w:after="6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本次改建</w:t>
                  </w:r>
                </w:p>
              </w:tc>
            </w:tr>
            <w:tr w14:paraId="04B8C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442" w:type="pct"/>
                  <w:vMerge w:val="continue"/>
                  <w:tcBorders>
                    <w:left w:val="single" w:color="000000" w:sz="4" w:space="0"/>
                    <w:right w:val="single" w:color="000000" w:sz="4" w:space="0"/>
                  </w:tcBorders>
                  <w:vAlign w:val="center"/>
                </w:tcPr>
                <w:p w14:paraId="773B4693">
                  <w:pPr>
                    <w:autoSpaceDE w:val="0"/>
                    <w:autoSpaceDN w:val="0"/>
                    <w:adjustRightInd w:val="0"/>
                    <w:snapToGrid w:val="0"/>
                    <w:jc w:val="center"/>
                    <w:rPr>
                      <w:rFonts w:hint="default" w:ascii="Times New Roman" w:hAnsi="Times New Roman" w:eastAsia="宋体" w:cs="Times New Roman"/>
                      <w:color w:val="auto"/>
                      <w:sz w:val="21"/>
                      <w:szCs w:val="21"/>
                    </w:rPr>
                  </w:pPr>
                </w:p>
              </w:tc>
              <w:tc>
                <w:tcPr>
                  <w:tcW w:w="667" w:type="pct"/>
                  <w:tcBorders>
                    <w:top w:val="single" w:color="000000" w:sz="4" w:space="0"/>
                    <w:left w:val="single" w:color="000000" w:sz="4" w:space="0"/>
                    <w:bottom w:val="single" w:color="000000" w:sz="4" w:space="0"/>
                    <w:right w:val="single" w:color="000000" w:sz="4" w:space="0"/>
                  </w:tcBorders>
                  <w:vAlign w:val="center"/>
                </w:tcPr>
                <w:p w14:paraId="3F15149F">
                  <w:pPr>
                    <w:pStyle w:val="7"/>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噪声治理工程</w:t>
                  </w:r>
                </w:p>
              </w:tc>
              <w:tc>
                <w:tcPr>
                  <w:tcW w:w="1800" w:type="pct"/>
                  <w:tcBorders>
                    <w:top w:val="single" w:color="000000" w:sz="4" w:space="0"/>
                    <w:left w:val="single" w:color="000000" w:sz="4" w:space="0"/>
                    <w:bottom w:val="single" w:color="000000" w:sz="4" w:space="0"/>
                    <w:right w:val="single" w:color="000000" w:sz="4" w:space="0"/>
                  </w:tcBorders>
                  <w:vAlign w:val="center"/>
                </w:tcPr>
                <w:p w14:paraId="26C4E59D">
                  <w:pPr>
                    <w:pStyle w:val="7"/>
                    <w:snapToGrid w:val="0"/>
                    <w:ind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采用厂房隔声、</w:t>
                  </w:r>
                  <w:r>
                    <w:rPr>
                      <w:rFonts w:hint="default" w:ascii="Times New Roman" w:hAnsi="Times New Roman" w:eastAsia="宋体" w:cs="Times New Roman"/>
                      <w:color w:val="auto"/>
                      <w:sz w:val="21"/>
                      <w:szCs w:val="21"/>
                      <w:lang w:val="en-US" w:eastAsia="zh-CN"/>
                    </w:rPr>
                    <w:t>基础</w:t>
                  </w:r>
                  <w:r>
                    <w:rPr>
                      <w:rFonts w:hint="default" w:ascii="Times New Roman" w:hAnsi="Times New Roman" w:eastAsia="宋体" w:cs="Times New Roman"/>
                      <w:color w:val="auto"/>
                      <w:sz w:val="21"/>
                      <w:szCs w:val="21"/>
                    </w:rPr>
                    <w:t>减震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风机安装消声器</w:t>
                  </w:r>
                  <w:r>
                    <w:rPr>
                      <w:rFonts w:hint="default" w:ascii="Times New Roman" w:hAnsi="Times New Roman" w:eastAsia="宋体" w:cs="Times New Roman"/>
                      <w:color w:val="auto"/>
                      <w:sz w:val="21"/>
                      <w:szCs w:val="21"/>
                    </w:rPr>
                    <w:t>等措施。</w:t>
                  </w:r>
                </w:p>
              </w:tc>
              <w:tc>
                <w:tcPr>
                  <w:tcW w:w="1556" w:type="pct"/>
                  <w:tcBorders>
                    <w:top w:val="single" w:color="000000" w:sz="4" w:space="0"/>
                    <w:left w:val="single" w:color="000000" w:sz="4" w:space="0"/>
                    <w:bottom w:val="single" w:color="000000" w:sz="4" w:space="0"/>
                    <w:right w:val="single" w:color="000000" w:sz="4" w:space="0"/>
                  </w:tcBorders>
                  <w:vAlign w:val="center"/>
                </w:tcPr>
                <w:p w14:paraId="23FE756E">
                  <w:pPr>
                    <w:pStyle w:val="66"/>
                    <w:snapToGrid w:val="0"/>
                    <w:spacing w:before="71"/>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采用厂房隔声、</w:t>
                  </w:r>
                  <w:r>
                    <w:rPr>
                      <w:rFonts w:hint="default" w:ascii="Times New Roman" w:hAnsi="Times New Roman" w:eastAsia="宋体" w:cs="Times New Roman"/>
                      <w:color w:val="auto"/>
                      <w:sz w:val="21"/>
                      <w:szCs w:val="21"/>
                      <w:lang w:val="en-US" w:eastAsia="zh-CN"/>
                    </w:rPr>
                    <w:t>基础</w:t>
                  </w:r>
                  <w:r>
                    <w:rPr>
                      <w:rFonts w:hint="default" w:ascii="Times New Roman" w:hAnsi="Times New Roman" w:eastAsia="宋体" w:cs="Times New Roman"/>
                      <w:color w:val="auto"/>
                      <w:sz w:val="21"/>
                      <w:szCs w:val="21"/>
                    </w:rPr>
                    <w:t>减震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风机安装消声器</w:t>
                  </w:r>
                  <w:r>
                    <w:rPr>
                      <w:rFonts w:hint="default" w:ascii="Times New Roman" w:hAnsi="Times New Roman" w:eastAsia="宋体" w:cs="Times New Roman"/>
                      <w:color w:val="auto"/>
                      <w:sz w:val="21"/>
                      <w:szCs w:val="21"/>
                    </w:rPr>
                    <w:t>等措施。</w:t>
                  </w:r>
                </w:p>
              </w:tc>
              <w:tc>
                <w:tcPr>
                  <w:tcW w:w="532" w:type="pct"/>
                  <w:tcBorders>
                    <w:top w:val="single" w:color="000000" w:sz="4" w:space="0"/>
                    <w:left w:val="single" w:color="000000" w:sz="4" w:space="0"/>
                    <w:bottom w:val="single" w:color="000000" w:sz="4" w:space="0"/>
                    <w:right w:val="single" w:color="000000" w:sz="4" w:space="0"/>
                  </w:tcBorders>
                  <w:vAlign w:val="center"/>
                </w:tcPr>
                <w:p w14:paraId="6AA9874F">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本次改建</w:t>
                  </w:r>
                </w:p>
              </w:tc>
            </w:tr>
          </w:tbl>
          <w:p w14:paraId="791FDD52">
            <w:pPr>
              <w:pStyle w:val="34"/>
              <w:ind w:firstLine="422"/>
              <w:jc w:val="both"/>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本项目依托的现有工程内容见下表2-1-2。</w:t>
            </w:r>
          </w:p>
          <w:p w14:paraId="17B98602">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表2-1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 xml:space="preserve">  工程内容一览表</w:t>
            </w:r>
          </w:p>
          <w:tbl>
            <w:tblPr>
              <w:tblStyle w:val="25"/>
              <w:tblW w:w="81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097"/>
              <w:gridCol w:w="4861"/>
              <w:gridCol w:w="1471"/>
            </w:tblGrid>
            <w:tr w14:paraId="2FAB6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blHeader/>
                <w:jc w:val="center"/>
              </w:trPr>
              <w:tc>
                <w:tcPr>
                  <w:tcW w:w="1118" w:type="pct"/>
                  <w:gridSpan w:val="2"/>
                  <w:tcBorders>
                    <w:top w:val="single" w:color="000000" w:sz="4" w:space="0"/>
                    <w:left w:val="single" w:color="000000" w:sz="4" w:space="0"/>
                    <w:bottom w:val="single" w:color="000000" w:sz="4" w:space="0"/>
                    <w:right w:val="single" w:color="auto" w:sz="4" w:space="0"/>
                  </w:tcBorders>
                  <w:vAlign w:val="center"/>
                </w:tcPr>
                <w:p w14:paraId="5731D810">
                  <w:pPr>
                    <w:autoSpaceDE w:val="0"/>
                    <w:autoSpaceDN w:val="0"/>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工程</w:t>
                  </w:r>
                  <w:r>
                    <w:rPr>
                      <w:rFonts w:hint="default" w:ascii="Times New Roman" w:hAnsi="Times New Roman" w:eastAsia="宋体" w:cs="Times New Roman"/>
                      <w:b/>
                      <w:bCs/>
                      <w:color w:val="auto"/>
                      <w:sz w:val="21"/>
                      <w:szCs w:val="21"/>
                      <w:lang w:val="en-US" w:eastAsia="zh-CN"/>
                    </w:rPr>
                    <w:t>组成</w:t>
                  </w:r>
                </w:p>
              </w:tc>
              <w:tc>
                <w:tcPr>
                  <w:tcW w:w="2980" w:type="pct"/>
                  <w:tcBorders>
                    <w:top w:val="single" w:color="000000" w:sz="4" w:space="0"/>
                    <w:left w:val="single" w:color="auto" w:sz="4" w:space="0"/>
                    <w:bottom w:val="single" w:color="000000" w:sz="4" w:space="0"/>
                    <w:right w:val="single" w:color="000000" w:sz="4" w:space="0"/>
                  </w:tcBorders>
                  <w:vAlign w:val="center"/>
                </w:tcPr>
                <w:p w14:paraId="70198007">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现有</w:t>
                  </w:r>
                  <w:r>
                    <w:rPr>
                      <w:rFonts w:hint="default" w:ascii="Times New Roman" w:hAnsi="Times New Roman" w:eastAsia="宋体" w:cs="Times New Roman"/>
                      <w:b/>
                      <w:bCs/>
                      <w:color w:val="auto"/>
                      <w:sz w:val="21"/>
                      <w:szCs w:val="21"/>
                    </w:rPr>
                    <w:t>工程内容</w:t>
                  </w:r>
                </w:p>
              </w:tc>
              <w:tc>
                <w:tcPr>
                  <w:tcW w:w="901" w:type="pct"/>
                  <w:tcBorders>
                    <w:top w:val="single" w:color="000000" w:sz="4" w:space="0"/>
                    <w:left w:val="single" w:color="000000" w:sz="4" w:space="0"/>
                    <w:bottom w:val="single" w:color="000000" w:sz="4" w:space="0"/>
                    <w:right w:val="single" w:color="000000" w:sz="4" w:space="0"/>
                  </w:tcBorders>
                  <w:vAlign w:val="center"/>
                </w:tcPr>
                <w:p w14:paraId="7E812B76">
                  <w:pPr>
                    <w:autoSpaceDE w:val="0"/>
                    <w:autoSpaceDN w:val="0"/>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7D8E1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445" w:type="pct"/>
                  <w:vMerge w:val="restart"/>
                  <w:tcBorders>
                    <w:left w:val="single" w:color="000000" w:sz="4" w:space="0"/>
                    <w:right w:val="single" w:color="000000" w:sz="4" w:space="0"/>
                  </w:tcBorders>
                  <w:vAlign w:val="center"/>
                </w:tcPr>
                <w:p w14:paraId="226678F8">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储运工程</w:t>
                  </w:r>
                </w:p>
              </w:tc>
              <w:tc>
                <w:tcPr>
                  <w:tcW w:w="672" w:type="pct"/>
                  <w:tcBorders>
                    <w:top w:val="single" w:color="000000" w:sz="4" w:space="0"/>
                    <w:left w:val="single" w:color="000000" w:sz="4" w:space="0"/>
                    <w:bottom w:val="single" w:color="auto" w:sz="4" w:space="0"/>
                    <w:right w:val="single" w:color="000000" w:sz="4" w:space="0"/>
                  </w:tcBorders>
                  <w:vAlign w:val="center"/>
                </w:tcPr>
                <w:p w14:paraId="70CCDAFC">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印刷版暂存间</w:t>
                  </w:r>
                </w:p>
              </w:tc>
              <w:tc>
                <w:tcPr>
                  <w:tcW w:w="2980" w:type="pct"/>
                  <w:tcBorders>
                    <w:top w:val="single" w:color="000000" w:sz="4" w:space="0"/>
                    <w:left w:val="single" w:color="000000" w:sz="4" w:space="0"/>
                    <w:bottom w:val="single" w:color="auto" w:sz="4" w:space="0"/>
                    <w:right w:val="single" w:color="000000" w:sz="4" w:space="0"/>
                  </w:tcBorders>
                  <w:vAlign w:val="center"/>
                </w:tcPr>
                <w:p w14:paraId="023FB0C8">
                  <w:pPr>
                    <w:pStyle w:val="32"/>
                    <w:keepNext w:val="0"/>
                    <w:keepLines w:val="0"/>
                    <w:pageBreakBefore w:val="0"/>
                    <w:widowControl/>
                    <w:kinsoku/>
                    <w:wordWrap/>
                    <w:overflowPunct/>
                    <w:topLinePunct w:val="0"/>
                    <w:bidi w:val="0"/>
                    <w:adjustRightInd w:val="0"/>
                    <w:snapToGrid w:val="0"/>
                    <w:spacing w:before="0" w:beforeLines="0" w:after="0" w:afterLines="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生产区南侧设置1间印刷版暂存间，主要用于暂存印刷版，占地面积为20㎡。</w:t>
                  </w:r>
                </w:p>
              </w:tc>
              <w:tc>
                <w:tcPr>
                  <w:tcW w:w="901" w:type="pct"/>
                  <w:tcBorders>
                    <w:top w:val="single" w:color="000000" w:sz="4" w:space="0"/>
                    <w:left w:val="single" w:color="000000" w:sz="4" w:space="0"/>
                    <w:bottom w:val="single" w:color="auto" w:sz="4" w:space="0"/>
                    <w:right w:val="single" w:color="000000" w:sz="4" w:space="0"/>
                  </w:tcBorders>
                  <w:vAlign w:val="center"/>
                </w:tcPr>
                <w:p w14:paraId="05F2222F">
                  <w:pPr>
                    <w:spacing w:before="60" w:after="6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lang w:val="en-US" w:eastAsia="zh-CN"/>
                    </w:rPr>
                    <w:t>依托</w:t>
                  </w:r>
                </w:p>
              </w:tc>
            </w:tr>
            <w:tr w14:paraId="571E1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6" w:hRule="atLeast"/>
                <w:jc w:val="center"/>
              </w:trPr>
              <w:tc>
                <w:tcPr>
                  <w:tcW w:w="445" w:type="pct"/>
                  <w:vMerge w:val="continue"/>
                  <w:tcBorders>
                    <w:left w:val="single" w:color="000000" w:sz="4" w:space="0"/>
                    <w:right w:val="single" w:color="000000" w:sz="4" w:space="0"/>
                  </w:tcBorders>
                  <w:vAlign w:val="center"/>
                </w:tcPr>
                <w:p w14:paraId="7D5E0FF2">
                  <w:pPr>
                    <w:snapToGrid w:val="0"/>
                    <w:jc w:val="center"/>
                    <w:rPr>
                      <w:rFonts w:hint="default" w:ascii="Times New Roman" w:hAnsi="Times New Roman" w:eastAsia="宋体" w:cs="Times New Roman"/>
                      <w:color w:val="auto"/>
                      <w:sz w:val="21"/>
                      <w:szCs w:val="21"/>
                    </w:rPr>
                  </w:pPr>
                </w:p>
              </w:tc>
              <w:tc>
                <w:tcPr>
                  <w:tcW w:w="672" w:type="pct"/>
                  <w:tcBorders>
                    <w:top w:val="single" w:color="000000" w:sz="4" w:space="0"/>
                    <w:left w:val="single" w:color="000000" w:sz="4" w:space="0"/>
                    <w:bottom w:val="single" w:color="auto" w:sz="4" w:space="0"/>
                    <w:right w:val="single" w:color="000000" w:sz="4" w:space="0"/>
                  </w:tcBorders>
                  <w:vAlign w:val="center"/>
                </w:tcPr>
                <w:p w14:paraId="29E017C8">
                  <w:pPr>
                    <w:autoSpaceDE w:val="0"/>
                    <w:autoSpaceDN w:val="0"/>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成品</w:t>
                  </w:r>
                  <w:r>
                    <w:rPr>
                      <w:rFonts w:hint="default" w:ascii="Times New Roman" w:hAnsi="Times New Roman" w:eastAsia="宋体" w:cs="Times New Roman"/>
                      <w:color w:val="auto"/>
                      <w:sz w:val="21"/>
                      <w:szCs w:val="21"/>
                      <w:lang w:val="en-US" w:eastAsia="zh-CN"/>
                    </w:rPr>
                    <w:t>仓库</w:t>
                  </w:r>
                </w:p>
              </w:tc>
              <w:tc>
                <w:tcPr>
                  <w:tcW w:w="2980" w:type="pct"/>
                  <w:tcBorders>
                    <w:top w:val="single" w:color="000000" w:sz="4" w:space="0"/>
                    <w:left w:val="single" w:color="000000" w:sz="4" w:space="0"/>
                    <w:bottom w:val="single" w:color="auto" w:sz="4" w:space="0"/>
                    <w:right w:val="single" w:color="000000" w:sz="4" w:space="0"/>
                  </w:tcBorders>
                  <w:vAlign w:val="center"/>
                </w:tcPr>
                <w:p w14:paraId="0693B77F">
                  <w:pPr>
                    <w:pStyle w:val="32"/>
                    <w:keepNext w:val="0"/>
                    <w:keepLines w:val="0"/>
                    <w:pageBreakBefore w:val="0"/>
                    <w:widowControl/>
                    <w:kinsoku/>
                    <w:wordWrap/>
                    <w:overflowPunct/>
                    <w:topLinePunct w:val="0"/>
                    <w:bidi w:val="0"/>
                    <w:adjustRightInd w:val="0"/>
                    <w:snapToGrid w:val="0"/>
                    <w:spacing w:before="0" w:beforeLines="0" w:after="0" w:afterLines="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成品仓库占地面积为1491㎡，主要用于暂存合格纸箱。</w:t>
                  </w:r>
                </w:p>
              </w:tc>
              <w:tc>
                <w:tcPr>
                  <w:tcW w:w="901" w:type="pct"/>
                  <w:tcBorders>
                    <w:top w:val="single" w:color="000000" w:sz="4" w:space="0"/>
                    <w:left w:val="single" w:color="000000" w:sz="4" w:space="0"/>
                    <w:bottom w:val="single" w:color="auto" w:sz="4" w:space="0"/>
                    <w:right w:val="single" w:color="000000" w:sz="4" w:space="0"/>
                  </w:tcBorders>
                  <w:vAlign w:val="center"/>
                </w:tcPr>
                <w:p w14:paraId="7C32E07F">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15204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45" w:type="pct"/>
                  <w:vMerge w:val="continue"/>
                  <w:tcBorders>
                    <w:left w:val="single" w:color="000000" w:sz="4" w:space="0"/>
                    <w:bottom w:val="single" w:color="auto" w:sz="4" w:space="0"/>
                    <w:right w:val="single" w:color="000000" w:sz="4" w:space="0"/>
                  </w:tcBorders>
                  <w:vAlign w:val="center"/>
                </w:tcPr>
                <w:p w14:paraId="7A2F0AF0">
                  <w:pPr>
                    <w:snapToGrid w:val="0"/>
                    <w:jc w:val="center"/>
                    <w:rPr>
                      <w:rFonts w:hint="default" w:ascii="Times New Roman" w:hAnsi="Times New Roman" w:eastAsia="宋体" w:cs="Times New Roman"/>
                      <w:color w:val="auto"/>
                      <w:sz w:val="21"/>
                      <w:szCs w:val="21"/>
                    </w:rPr>
                  </w:pPr>
                </w:p>
              </w:tc>
              <w:tc>
                <w:tcPr>
                  <w:tcW w:w="672" w:type="pct"/>
                  <w:tcBorders>
                    <w:top w:val="single" w:color="000000" w:sz="4" w:space="0"/>
                    <w:left w:val="single" w:color="000000" w:sz="4" w:space="0"/>
                    <w:bottom w:val="single" w:color="auto" w:sz="4" w:space="0"/>
                    <w:right w:val="single" w:color="000000" w:sz="4" w:space="0"/>
                  </w:tcBorders>
                  <w:vAlign w:val="center"/>
                </w:tcPr>
                <w:p w14:paraId="1165019C">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油墨间</w:t>
                  </w:r>
                </w:p>
              </w:tc>
              <w:tc>
                <w:tcPr>
                  <w:tcW w:w="2980" w:type="pct"/>
                  <w:tcBorders>
                    <w:top w:val="single" w:color="000000" w:sz="4" w:space="0"/>
                    <w:left w:val="single" w:color="000000" w:sz="4" w:space="0"/>
                    <w:bottom w:val="single" w:color="auto" w:sz="4" w:space="0"/>
                    <w:right w:val="single" w:color="000000" w:sz="4" w:space="0"/>
                  </w:tcBorders>
                  <w:vAlign w:val="center"/>
                </w:tcPr>
                <w:p w14:paraId="1C9684E7">
                  <w:pPr>
                    <w:pStyle w:val="66"/>
                    <w:snapToGrid w:val="0"/>
                    <w:spacing w:before="71"/>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val="en-US" w:eastAsia="zh-CN"/>
                    </w:rPr>
                    <w:t>生产车间南侧</w:t>
                  </w:r>
                  <w:r>
                    <w:rPr>
                      <w:rFonts w:hint="default" w:ascii="Times New Roman" w:hAnsi="Times New Roman" w:eastAsia="宋体" w:cs="Times New Roman"/>
                      <w:color w:val="auto"/>
                      <w:sz w:val="21"/>
                      <w:szCs w:val="21"/>
                    </w:rPr>
                    <w:t>，占地面积为</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。分区暂存油墨、</w:t>
                  </w:r>
                  <w:r>
                    <w:rPr>
                      <w:rFonts w:hint="default" w:ascii="Times New Roman" w:hAnsi="Times New Roman" w:eastAsia="宋体" w:cs="Times New Roman"/>
                      <w:color w:val="auto"/>
                      <w:sz w:val="21"/>
                      <w:szCs w:val="21"/>
                      <w:lang w:eastAsia="zh-CN"/>
                    </w:rPr>
                    <w:t>乳胶，</w:t>
                  </w:r>
                  <w:r>
                    <w:rPr>
                      <w:rFonts w:hint="default" w:ascii="Times New Roman" w:hAnsi="Times New Roman" w:eastAsia="宋体" w:cs="Times New Roman"/>
                      <w:color w:val="auto"/>
                      <w:sz w:val="21"/>
                      <w:szCs w:val="21"/>
                      <w:lang w:val="en-US" w:eastAsia="zh-CN"/>
                    </w:rPr>
                    <w:t>项目不使用乙醇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油墨间依托新兴仁恒原有的防渗工程，并且设置金属托盘盛放</w:t>
                  </w:r>
                  <w:r>
                    <w:rPr>
                      <w:rFonts w:hint="default" w:ascii="Times New Roman" w:hAnsi="Times New Roman" w:eastAsia="宋体" w:cs="Times New Roman"/>
                      <w:color w:val="auto"/>
                      <w:sz w:val="21"/>
                      <w:szCs w:val="21"/>
                    </w:rPr>
                    <w:t>。</w:t>
                  </w:r>
                </w:p>
              </w:tc>
              <w:tc>
                <w:tcPr>
                  <w:tcW w:w="901" w:type="pct"/>
                  <w:tcBorders>
                    <w:top w:val="single" w:color="000000" w:sz="4" w:space="0"/>
                    <w:left w:val="single" w:color="000000" w:sz="4" w:space="0"/>
                    <w:bottom w:val="single" w:color="auto" w:sz="4" w:space="0"/>
                    <w:right w:val="single" w:color="000000" w:sz="4" w:space="0"/>
                  </w:tcBorders>
                  <w:vAlign w:val="center"/>
                </w:tcPr>
                <w:p w14:paraId="073942B8">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4F298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445" w:type="pct"/>
                  <w:vMerge w:val="restart"/>
                  <w:tcBorders>
                    <w:left w:val="single" w:color="000000" w:sz="4" w:space="0"/>
                    <w:right w:val="single" w:color="000000" w:sz="4" w:space="0"/>
                  </w:tcBorders>
                  <w:vAlign w:val="center"/>
                </w:tcPr>
                <w:p w14:paraId="53E2C74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672" w:type="pct"/>
                  <w:tcBorders>
                    <w:top w:val="single" w:color="000000" w:sz="4" w:space="0"/>
                    <w:left w:val="single" w:color="000000" w:sz="4" w:space="0"/>
                    <w:right w:val="single" w:color="000000" w:sz="4" w:space="0"/>
                  </w:tcBorders>
                  <w:vAlign w:val="center"/>
                </w:tcPr>
                <w:p w14:paraId="5143E7C7">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办公室</w:t>
                  </w:r>
                </w:p>
              </w:tc>
              <w:tc>
                <w:tcPr>
                  <w:tcW w:w="2980" w:type="pct"/>
                  <w:tcBorders>
                    <w:top w:val="single" w:color="000000" w:sz="4" w:space="0"/>
                    <w:left w:val="single" w:color="000000" w:sz="4" w:space="0"/>
                    <w:bottom w:val="single" w:color="auto" w:sz="4" w:space="0"/>
                    <w:right w:val="single" w:color="000000" w:sz="4" w:space="0"/>
                  </w:tcBorders>
                  <w:vAlign w:val="center"/>
                </w:tcPr>
                <w:p w14:paraId="10C2F990">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办公室租赁新兴仁恒第二办公区办公室三间，单间占地面积为20㎡，总占地面积为60㎡。</w:t>
                  </w:r>
                </w:p>
              </w:tc>
              <w:tc>
                <w:tcPr>
                  <w:tcW w:w="901" w:type="pct"/>
                  <w:tcBorders>
                    <w:top w:val="single" w:color="000000" w:sz="4" w:space="0"/>
                    <w:left w:val="single" w:color="000000" w:sz="4" w:space="0"/>
                    <w:bottom w:val="single" w:color="auto" w:sz="4" w:space="0"/>
                    <w:right w:val="single" w:color="000000" w:sz="4" w:space="0"/>
                  </w:tcBorders>
                  <w:vAlign w:val="center"/>
                </w:tcPr>
                <w:p w14:paraId="2998ADFB">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498B7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445" w:type="pct"/>
                  <w:vMerge w:val="continue"/>
                  <w:tcBorders>
                    <w:left w:val="single" w:color="000000" w:sz="4" w:space="0"/>
                    <w:right w:val="single" w:color="000000" w:sz="4" w:space="0"/>
                  </w:tcBorders>
                  <w:vAlign w:val="center"/>
                </w:tcPr>
                <w:p w14:paraId="24AEA89C">
                  <w:pPr>
                    <w:snapToGrid w:val="0"/>
                    <w:jc w:val="center"/>
                    <w:rPr>
                      <w:rFonts w:hint="default" w:ascii="Times New Roman" w:hAnsi="Times New Roman" w:eastAsia="宋体" w:cs="Times New Roman"/>
                      <w:color w:val="auto"/>
                      <w:sz w:val="21"/>
                      <w:szCs w:val="21"/>
                    </w:rPr>
                  </w:pPr>
                </w:p>
              </w:tc>
              <w:tc>
                <w:tcPr>
                  <w:tcW w:w="672" w:type="pct"/>
                  <w:tcBorders>
                    <w:top w:val="single" w:color="000000" w:sz="4" w:space="0"/>
                    <w:left w:val="single" w:color="000000" w:sz="4" w:space="0"/>
                    <w:bottom w:val="single" w:color="auto" w:sz="4" w:space="0"/>
                    <w:right w:val="single" w:color="000000" w:sz="4" w:space="0"/>
                  </w:tcBorders>
                  <w:vAlign w:val="center"/>
                </w:tcPr>
                <w:p w14:paraId="0D55ED5B">
                  <w:pPr>
                    <w:autoSpaceDE w:val="0"/>
                    <w:autoSpaceDN w:val="0"/>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综合室</w:t>
                  </w:r>
                </w:p>
              </w:tc>
              <w:tc>
                <w:tcPr>
                  <w:tcW w:w="2980" w:type="pct"/>
                  <w:tcBorders>
                    <w:top w:val="single" w:color="000000" w:sz="4" w:space="0"/>
                    <w:left w:val="single" w:color="000000" w:sz="4" w:space="0"/>
                    <w:bottom w:val="single" w:color="auto" w:sz="4" w:space="0"/>
                    <w:right w:val="single" w:color="000000" w:sz="4" w:space="0"/>
                  </w:tcBorders>
                  <w:vAlign w:val="center"/>
                </w:tcPr>
                <w:p w14:paraId="6F11CF32">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在生产区南侧设置一间综合室，用于员工记录生产进度、物料取用等资料。</w:t>
                  </w:r>
                </w:p>
              </w:tc>
              <w:tc>
                <w:tcPr>
                  <w:tcW w:w="901" w:type="pct"/>
                  <w:tcBorders>
                    <w:top w:val="single" w:color="000000" w:sz="4" w:space="0"/>
                    <w:left w:val="single" w:color="000000" w:sz="4" w:space="0"/>
                    <w:bottom w:val="single" w:color="auto" w:sz="4" w:space="0"/>
                    <w:right w:val="single" w:color="000000" w:sz="4" w:space="0"/>
                  </w:tcBorders>
                  <w:vAlign w:val="center"/>
                </w:tcPr>
                <w:p w14:paraId="5021865C">
                  <w:pPr>
                    <w:spacing w:before="60" w:after="6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lang w:val="en-US" w:eastAsia="zh-CN"/>
                    </w:rPr>
                    <w:t>依托</w:t>
                  </w:r>
                </w:p>
              </w:tc>
            </w:tr>
            <w:tr w14:paraId="4937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445" w:type="pct"/>
                  <w:vMerge w:val="continue"/>
                  <w:tcBorders>
                    <w:left w:val="single" w:color="000000" w:sz="4" w:space="0"/>
                    <w:bottom w:val="single" w:color="auto" w:sz="4" w:space="0"/>
                    <w:right w:val="single" w:color="000000" w:sz="4" w:space="0"/>
                  </w:tcBorders>
                  <w:vAlign w:val="center"/>
                </w:tcPr>
                <w:p w14:paraId="31DB3844">
                  <w:pPr>
                    <w:snapToGrid w:val="0"/>
                    <w:jc w:val="center"/>
                    <w:rPr>
                      <w:rFonts w:hint="default" w:ascii="Times New Roman" w:hAnsi="Times New Roman" w:eastAsia="宋体" w:cs="Times New Roman"/>
                      <w:color w:val="auto"/>
                      <w:sz w:val="21"/>
                      <w:szCs w:val="21"/>
                    </w:rPr>
                  </w:pPr>
                </w:p>
              </w:tc>
              <w:tc>
                <w:tcPr>
                  <w:tcW w:w="672" w:type="pct"/>
                  <w:tcBorders>
                    <w:top w:val="single" w:color="auto" w:sz="4" w:space="0"/>
                    <w:left w:val="single" w:color="000000" w:sz="4" w:space="0"/>
                    <w:bottom w:val="single" w:color="auto" w:sz="4" w:space="0"/>
                    <w:right w:val="single" w:color="000000" w:sz="4" w:space="0"/>
                  </w:tcBorders>
                  <w:vAlign w:val="center"/>
                </w:tcPr>
                <w:p w14:paraId="6DD22DFD">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卫生间</w:t>
                  </w:r>
                </w:p>
              </w:tc>
              <w:tc>
                <w:tcPr>
                  <w:tcW w:w="2980" w:type="pct"/>
                  <w:tcBorders>
                    <w:top w:val="single" w:color="auto" w:sz="4" w:space="0"/>
                    <w:left w:val="single" w:color="000000" w:sz="4" w:space="0"/>
                    <w:bottom w:val="single" w:color="auto" w:sz="4" w:space="0"/>
                    <w:right w:val="single" w:color="000000" w:sz="4" w:space="0"/>
                  </w:tcBorders>
                  <w:vAlign w:val="center"/>
                </w:tcPr>
                <w:p w14:paraId="61FC5DCD">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本项目依托新兴仁恒第二办公区卫生间，卫生间设置15m³化粪池，处理后的废水进入新兴仁恒40m³/d污水处理处理后回用于新兴仁恒厂内绿化。</w:t>
                  </w:r>
                </w:p>
              </w:tc>
              <w:tc>
                <w:tcPr>
                  <w:tcW w:w="901" w:type="pct"/>
                  <w:tcBorders>
                    <w:top w:val="single" w:color="auto" w:sz="4" w:space="0"/>
                    <w:left w:val="single" w:color="000000" w:sz="4" w:space="0"/>
                    <w:bottom w:val="single" w:color="auto" w:sz="4" w:space="0"/>
                    <w:right w:val="single" w:color="000000" w:sz="4" w:space="0"/>
                  </w:tcBorders>
                  <w:vAlign w:val="center"/>
                </w:tcPr>
                <w:p w14:paraId="3F73B3A9">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73FDF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445" w:type="pct"/>
                  <w:tcBorders>
                    <w:top w:val="single" w:color="auto" w:sz="4" w:space="0"/>
                    <w:left w:val="single" w:color="000000" w:sz="4" w:space="0"/>
                    <w:right w:val="single" w:color="000000" w:sz="4" w:space="0"/>
                  </w:tcBorders>
                  <w:vAlign w:val="center"/>
                </w:tcPr>
                <w:p w14:paraId="4F27E130">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依托工程</w:t>
                  </w:r>
                </w:p>
              </w:tc>
              <w:tc>
                <w:tcPr>
                  <w:tcW w:w="672" w:type="pct"/>
                  <w:tcBorders>
                    <w:top w:val="single" w:color="auto" w:sz="4" w:space="0"/>
                    <w:left w:val="single" w:color="000000" w:sz="4" w:space="0"/>
                    <w:bottom w:val="single" w:color="auto" w:sz="4" w:space="0"/>
                    <w:right w:val="single" w:color="000000" w:sz="4" w:space="0"/>
                  </w:tcBorders>
                  <w:vAlign w:val="center"/>
                </w:tcPr>
                <w:p w14:paraId="4C328332">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2980" w:type="pct"/>
                  <w:tcBorders>
                    <w:top w:val="single" w:color="auto" w:sz="4" w:space="0"/>
                    <w:left w:val="single" w:color="000000" w:sz="4" w:space="0"/>
                    <w:bottom w:val="single" w:color="auto" w:sz="4" w:space="0"/>
                    <w:right w:val="single" w:color="000000" w:sz="4" w:space="0"/>
                  </w:tcBorders>
                  <w:vAlign w:val="center"/>
                </w:tcPr>
                <w:p w14:paraId="59002C99">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val="en-US" w:eastAsia="zh-CN"/>
                    </w:rPr>
                    <w:t>现有市政</w:t>
                  </w:r>
                  <w:r>
                    <w:rPr>
                      <w:rFonts w:hint="default" w:ascii="Times New Roman" w:hAnsi="Times New Roman" w:eastAsia="宋体" w:cs="Times New Roman"/>
                      <w:color w:val="auto"/>
                      <w:sz w:val="21"/>
                      <w:szCs w:val="21"/>
                    </w:rPr>
                    <w:t>管网供水。</w:t>
                  </w:r>
                </w:p>
              </w:tc>
              <w:tc>
                <w:tcPr>
                  <w:tcW w:w="901" w:type="pct"/>
                  <w:tcBorders>
                    <w:top w:val="single" w:color="auto" w:sz="4" w:space="0"/>
                    <w:left w:val="single" w:color="000000" w:sz="4" w:space="0"/>
                    <w:bottom w:val="single" w:color="auto" w:sz="4" w:space="0"/>
                    <w:right w:val="single" w:color="000000" w:sz="4" w:space="0"/>
                  </w:tcBorders>
                  <w:vAlign w:val="center"/>
                </w:tcPr>
                <w:p w14:paraId="07B4A124">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4989E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445" w:type="pct"/>
                  <w:vMerge w:val="restart"/>
                  <w:tcBorders>
                    <w:left w:val="single" w:color="000000" w:sz="4" w:space="0"/>
                    <w:right w:val="single" w:color="000000" w:sz="4" w:space="0"/>
                  </w:tcBorders>
                  <w:vAlign w:val="center"/>
                </w:tcPr>
                <w:p w14:paraId="5D97BCBF">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672" w:type="pct"/>
                  <w:vMerge w:val="restart"/>
                  <w:tcBorders>
                    <w:top w:val="single" w:color="000000" w:sz="4" w:space="0"/>
                    <w:left w:val="single" w:color="000000" w:sz="4" w:space="0"/>
                    <w:right w:val="single" w:color="000000" w:sz="4" w:space="0"/>
                  </w:tcBorders>
                  <w:vAlign w:val="center"/>
                </w:tcPr>
                <w:p w14:paraId="70F8D0C0">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废气处理工程</w:t>
                  </w:r>
                </w:p>
              </w:tc>
              <w:tc>
                <w:tcPr>
                  <w:tcW w:w="2980" w:type="pct"/>
                  <w:tcBorders>
                    <w:top w:val="single" w:color="000000" w:sz="4" w:space="0"/>
                    <w:left w:val="single" w:color="000000" w:sz="4" w:space="0"/>
                    <w:bottom w:val="single" w:color="auto" w:sz="4" w:space="0"/>
                    <w:right w:val="single" w:color="000000" w:sz="4" w:space="0"/>
                  </w:tcBorders>
                  <w:vAlign w:val="center"/>
                </w:tcPr>
                <w:p w14:paraId="35EF654D">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本项目印刷机产生的有机废气和油墨乳胶暂存间产生的有机废气通过1台新建的两级活性炭吸附装置（TA001）处理后通过1根15m高的排气筒（DA001）进行排放。</w:t>
                  </w:r>
                </w:p>
              </w:tc>
              <w:tc>
                <w:tcPr>
                  <w:tcW w:w="901" w:type="pct"/>
                  <w:tcBorders>
                    <w:top w:val="single" w:color="auto" w:sz="4" w:space="0"/>
                    <w:left w:val="single" w:color="000000" w:sz="4" w:space="0"/>
                    <w:right w:val="single" w:color="000000" w:sz="4" w:space="0"/>
                  </w:tcBorders>
                  <w:vAlign w:val="center"/>
                </w:tcPr>
                <w:p w14:paraId="4E5844CD">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4D5C6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445" w:type="pct"/>
                  <w:vMerge w:val="continue"/>
                  <w:tcBorders>
                    <w:left w:val="single" w:color="000000" w:sz="4" w:space="0"/>
                    <w:right w:val="single" w:color="000000" w:sz="4" w:space="0"/>
                  </w:tcBorders>
                  <w:vAlign w:val="center"/>
                </w:tcPr>
                <w:p w14:paraId="0C2D80A9">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vMerge w:val="continue"/>
                  <w:tcBorders>
                    <w:left w:val="single" w:color="000000" w:sz="4" w:space="0"/>
                    <w:right w:val="single" w:color="000000" w:sz="4" w:space="0"/>
                  </w:tcBorders>
                  <w:vAlign w:val="center"/>
                </w:tcPr>
                <w:p w14:paraId="31F72E05">
                  <w:pPr>
                    <w:snapToGrid w:val="0"/>
                    <w:jc w:val="center"/>
                    <w:rPr>
                      <w:rFonts w:hint="default" w:ascii="Times New Roman" w:hAnsi="Times New Roman" w:eastAsia="宋体" w:cs="Times New Roman"/>
                      <w:color w:val="auto"/>
                      <w:sz w:val="21"/>
                      <w:szCs w:val="21"/>
                    </w:rPr>
                  </w:pPr>
                </w:p>
              </w:tc>
              <w:tc>
                <w:tcPr>
                  <w:tcW w:w="2980" w:type="pct"/>
                  <w:tcBorders>
                    <w:top w:val="single" w:color="auto" w:sz="4" w:space="0"/>
                    <w:left w:val="single" w:color="000000" w:sz="4" w:space="0"/>
                    <w:bottom w:val="single" w:color="auto" w:sz="4" w:space="0"/>
                    <w:right w:val="single" w:color="000000" w:sz="4" w:space="0"/>
                  </w:tcBorders>
                  <w:vAlign w:val="center"/>
                </w:tcPr>
                <w:p w14:paraId="1FB9AB3A">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本项目在窗口设置排风扇，将未收集的无组织废气经车间排风扇以无组织的形式排出</w:t>
                  </w:r>
                </w:p>
              </w:tc>
              <w:tc>
                <w:tcPr>
                  <w:tcW w:w="901" w:type="pct"/>
                  <w:tcBorders>
                    <w:top w:val="single" w:color="auto" w:sz="4" w:space="0"/>
                    <w:left w:val="single" w:color="000000" w:sz="4" w:space="0"/>
                    <w:bottom w:val="single" w:color="auto" w:sz="4" w:space="0"/>
                    <w:right w:val="single" w:color="000000" w:sz="4" w:space="0"/>
                  </w:tcBorders>
                  <w:vAlign w:val="center"/>
                </w:tcPr>
                <w:p w14:paraId="72F08C53">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2F092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9" w:hRule="atLeast"/>
                <w:jc w:val="center"/>
              </w:trPr>
              <w:tc>
                <w:tcPr>
                  <w:tcW w:w="445" w:type="pct"/>
                  <w:vMerge w:val="continue"/>
                  <w:tcBorders>
                    <w:left w:val="single" w:color="000000" w:sz="4" w:space="0"/>
                    <w:right w:val="single" w:color="000000" w:sz="4" w:space="0"/>
                  </w:tcBorders>
                  <w:vAlign w:val="center"/>
                </w:tcPr>
                <w:p w14:paraId="1FF91E37">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tcBorders>
                    <w:left w:val="single" w:color="000000" w:sz="4" w:space="0"/>
                    <w:right w:val="single" w:color="000000" w:sz="4" w:space="0"/>
                  </w:tcBorders>
                  <w:vAlign w:val="center"/>
                </w:tcPr>
                <w:p w14:paraId="0198EE6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废水治理工程</w:t>
                  </w:r>
                </w:p>
              </w:tc>
              <w:tc>
                <w:tcPr>
                  <w:tcW w:w="2980" w:type="pct"/>
                  <w:tcBorders>
                    <w:top w:val="single" w:color="auto" w:sz="4" w:space="0"/>
                    <w:left w:val="single" w:color="000000" w:sz="4" w:space="0"/>
                    <w:bottom w:val="single" w:color="auto" w:sz="4" w:space="0"/>
                    <w:right w:val="single" w:color="000000" w:sz="4" w:space="0"/>
                  </w:tcBorders>
                  <w:vAlign w:val="center"/>
                </w:tcPr>
                <w:p w14:paraId="4EE654E8">
                  <w:pPr>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印刷机和印版清洗产生的清洗废水通过车间内的1.3m³收集池收集后经新建的2m³/d清洗废水预处理设施处理后和项目产生的生活污水及车间清洗废水一同进入新兴仁恒40m³/d污水处理站处理后回用于新兴仁恒厂区绿化、降尘</w:t>
                  </w:r>
                  <w:r>
                    <w:rPr>
                      <w:rFonts w:hint="default" w:ascii="Times New Roman" w:hAnsi="Times New Roman" w:eastAsia="宋体" w:cs="Times New Roman"/>
                      <w:color w:val="auto"/>
                      <w:sz w:val="21"/>
                      <w:szCs w:val="21"/>
                    </w:rPr>
                    <w:t>。</w:t>
                  </w:r>
                </w:p>
              </w:tc>
              <w:tc>
                <w:tcPr>
                  <w:tcW w:w="901" w:type="pct"/>
                  <w:tcBorders>
                    <w:left w:val="single" w:color="000000" w:sz="4" w:space="0"/>
                    <w:bottom w:val="single" w:color="auto" w:sz="4" w:space="0"/>
                    <w:right w:val="single" w:color="000000" w:sz="4" w:space="0"/>
                  </w:tcBorders>
                  <w:vAlign w:val="center"/>
                </w:tcPr>
                <w:p w14:paraId="24FB77E9">
                  <w:pPr>
                    <w:spacing w:before="60" w:after="6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lang w:val="en-US" w:eastAsia="zh-CN"/>
                    </w:rPr>
                    <w:t>依托</w:t>
                  </w:r>
                </w:p>
              </w:tc>
            </w:tr>
            <w:tr w14:paraId="4F54A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445" w:type="pct"/>
                  <w:vMerge w:val="continue"/>
                  <w:tcBorders>
                    <w:left w:val="single" w:color="000000" w:sz="4" w:space="0"/>
                    <w:right w:val="single" w:color="000000" w:sz="4" w:space="0"/>
                  </w:tcBorders>
                  <w:vAlign w:val="center"/>
                </w:tcPr>
                <w:p w14:paraId="04AE40E9">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tcBorders>
                    <w:top w:val="single" w:color="000000" w:sz="4" w:space="0"/>
                    <w:left w:val="single" w:color="000000" w:sz="4" w:space="0"/>
                    <w:bottom w:val="single" w:color="000000" w:sz="4" w:space="0"/>
                    <w:right w:val="single" w:color="000000" w:sz="4" w:space="0"/>
                  </w:tcBorders>
                  <w:vAlign w:val="center"/>
                </w:tcPr>
                <w:p w14:paraId="3B577EB4">
                  <w:pPr>
                    <w:pStyle w:val="7"/>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噪声治理工程</w:t>
                  </w:r>
                </w:p>
              </w:tc>
              <w:tc>
                <w:tcPr>
                  <w:tcW w:w="2980" w:type="pct"/>
                  <w:tcBorders>
                    <w:top w:val="single" w:color="000000" w:sz="4" w:space="0"/>
                    <w:left w:val="single" w:color="000000" w:sz="4" w:space="0"/>
                    <w:bottom w:val="single" w:color="000000" w:sz="4" w:space="0"/>
                    <w:right w:val="single" w:color="000000" w:sz="4" w:space="0"/>
                  </w:tcBorders>
                  <w:vAlign w:val="center"/>
                </w:tcPr>
                <w:p w14:paraId="22A9B271">
                  <w:pPr>
                    <w:pStyle w:val="7"/>
                    <w:snapToGrid w:val="0"/>
                    <w:ind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采用厂房隔声、</w:t>
                  </w:r>
                  <w:r>
                    <w:rPr>
                      <w:rFonts w:hint="default" w:ascii="Times New Roman" w:hAnsi="Times New Roman" w:eastAsia="宋体" w:cs="Times New Roman"/>
                      <w:color w:val="auto"/>
                      <w:sz w:val="21"/>
                      <w:szCs w:val="21"/>
                      <w:lang w:val="en-US" w:eastAsia="zh-CN"/>
                    </w:rPr>
                    <w:t>基础</w:t>
                  </w:r>
                  <w:r>
                    <w:rPr>
                      <w:rFonts w:hint="default" w:ascii="Times New Roman" w:hAnsi="Times New Roman" w:eastAsia="宋体" w:cs="Times New Roman"/>
                      <w:color w:val="auto"/>
                      <w:sz w:val="21"/>
                      <w:szCs w:val="21"/>
                    </w:rPr>
                    <w:t>减震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风机安装消声器</w:t>
                  </w:r>
                  <w:r>
                    <w:rPr>
                      <w:rFonts w:hint="default" w:ascii="Times New Roman" w:hAnsi="Times New Roman" w:eastAsia="宋体" w:cs="Times New Roman"/>
                      <w:color w:val="auto"/>
                      <w:sz w:val="21"/>
                      <w:szCs w:val="21"/>
                    </w:rPr>
                    <w:t>等措施。</w:t>
                  </w:r>
                </w:p>
              </w:tc>
              <w:tc>
                <w:tcPr>
                  <w:tcW w:w="901" w:type="pct"/>
                  <w:tcBorders>
                    <w:top w:val="single" w:color="000000" w:sz="4" w:space="0"/>
                    <w:left w:val="single" w:color="000000" w:sz="4" w:space="0"/>
                    <w:bottom w:val="single" w:color="000000" w:sz="4" w:space="0"/>
                    <w:right w:val="single" w:color="000000" w:sz="4" w:space="0"/>
                  </w:tcBorders>
                  <w:vAlign w:val="center"/>
                </w:tcPr>
                <w:p w14:paraId="697B1F8B">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1ABA6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445" w:type="pct"/>
                  <w:vMerge w:val="continue"/>
                  <w:tcBorders>
                    <w:left w:val="single" w:color="000000" w:sz="4" w:space="0"/>
                    <w:right w:val="single" w:color="000000" w:sz="4" w:space="0"/>
                  </w:tcBorders>
                  <w:vAlign w:val="center"/>
                </w:tcPr>
                <w:p w14:paraId="508BC323">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vMerge w:val="restart"/>
                  <w:tcBorders>
                    <w:top w:val="single" w:color="000000" w:sz="4" w:space="0"/>
                    <w:left w:val="single" w:color="000000" w:sz="4" w:space="0"/>
                    <w:right w:val="single" w:color="000000" w:sz="4" w:space="0"/>
                  </w:tcBorders>
                  <w:vAlign w:val="center"/>
                </w:tcPr>
                <w:p w14:paraId="4525396A">
                  <w:pPr>
                    <w:pStyle w:val="7"/>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固废处置工程</w:t>
                  </w:r>
                </w:p>
              </w:tc>
              <w:tc>
                <w:tcPr>
                  <w:tcW w:w="2980" w:type="pct"/>
                  <w:tcBorders>
                    <w:top w:val="single" w:color="000000" w:sz="4" w:space="0"/>
                    <w:left w:val="single" w:color="000000" w:sz="4" w:space="0"/>
                    <w:bottom w:val="single" w:color="auto" w:sz="4" w:space="0"/>
                    <w:right w:val="single" w:color="000000" w:sz="4" w:space="0"/>
                  </w:tcBorders>
                  <w:vAlign w:val="center"/>
                </w:tcPr>
                <w:p w14:paraId="4977DF88">
                  <w:pPr>
                    <w:autoSpaceDE w:val="0"/>
                    <w:autoSpaceDN w:val="0"/>
                    <w:adjustRightInd w:val="0"/>
                    <w:ind w:firstLine="420" w:firstLineChars="2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lang w:val="en-US" w:eastAsia="zh-CN"/>
                    </w:rPr>
                    <w:t>产品仓库西北角隔间作为一般工业固废暂存间，占地面积约30㎡，用于一般固废收集</w:t>
                  </w:r>
                  <w:r>
                    <w:rPr>
                      <w:rFonts w:hint="default" w:ascii="Times New Roman" w:hAnsi="Times New Roman" w:eastAsia="宋体" w:cs="Times New Roman"/>
                      <w:color w:val="auto"/>
                      <w:sz w:val="21"/>
                      <w:szCs w:val="21"/>
                    </w:rPr>
                    <w:t>后统一出售给物资回收公司回收利用</w:t>
                  </w:r>
                </w:p>
              </w:tc>
              <w:tc>
                <w:tcPr>
                  <w:tcW w:w="901" w:type="pct"/>
                  <w:tcBorders>
                    <w:top w:val="single" w:color="000000" w:sz="4" w:space="0"/>
                    <w:left w:val="single" w:color="000000" w:sz="4" w:space="0"/>
                    <w:bottom w:val="single" w:color="auto" w:sz="4" w:space="0"/>
                    <w:right w:val="single" w:color="000000" w:sz="4" w:space="0"/>
                  </w:tcBorders>
                  <w:vAlign w:val="center"/>
                </w:tcPr>
                <w:p w14:paraId="1C8E8877">
                  <w:pPr>
                    <w:spacing w:before="60" w:after="60"/>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val="0"/>
                      <w:color w:val="auto"/>
                      <w:lang w:val="en-US" w:eastAsia="zh-CN"/>
                    </w:rPr>
                    <w:t>依托</w:t>
                  </w:r>
                </w:p>
              </w:tc>
            </w:tr>
            <w:tr w14:paraId="66D9A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445" w:type="pct"/>
                  <w:vMerge w:val="continue"/>
                  <w:tcBorders>
                    <w:left w:val="single" w:color="000000" w:sz="4" w:space="0"/>
                    <w:right w:val="single" w:color="000000" w:sz="4" w:space="0"/>
                  </w:tcBorders>
                  <w:vAlign w:val="center"/>
                </w:tcPr>
                <w:p w14:paraId="660A667A">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vMerge w:val="continue"/>
                  <w:tcBorders>
                    <w:left w:val="single" w:color="000000" w:sz="4" w:space="0"/>
                    <w:right w:val="single" w:color="000000" w:sz="4" w:space="0"/>
                  </w:tcBorders>
                  <w:vAlign w:val="center"/>
                </w:tcPr>
                <w:p w14:paraId="08240DBC">
                  <w:pPr>
                    <w:pStyle w:val="7"/>
                    <w:snapToGrid w:val="0"/>
                    <w:ind w:firstLine="0"/>
                    <w:jc w:val="center"/>
                    <w:rPr>
                      <w:rFonts w:hint="default" w:ascii="Times New Roman" w:hAnsi="Times New Roman" w:eastAsia="宋体" w:cs="Times New Roman"/>
                      <w:color w:val="auto"/>
                      <w:sz w:val="21"/>
                      <w:szCs w:val="21"/>
                    </w:rPr>
                  </w:pPr>
                </w:p>
              </w:tc>
              <w:tc>
                <w:tcPr>
                  <w:tcW w:w="2980" w:type="pct"/>
                  <w:tcBorders>
                    <w:top w:val="single" w:color="000000" w:sz="4" w:space="0"/>
                    <w:left w:val="single" w:color="000000" w:sz="4" w:space="0"/>
                    <w:bottom w:val="single" w:color="auto" w:sz="4" w:space="0"/>
                    <w:right w:val="single" w:color="000000" w:sz="4" w:space="0"/>
                  </w:tcBorders>
                  <w:vAlign w:val="center"/>
                </w:tcPr>
                <w:p w14:paraId="3108C2D9">
                  <w:pPr>
                    <w:autoSpaceDE w:val="0"/>
                    <w:autoSpaceDN w:val="0"/>
                    <w:adjustRightIn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设置若干个生活垃圾收集桶（TS002），生活垃圾收集后，有园区的环卫部门进行清运处置。</w:t>
                  </w:r>
                </w:p>
              </w:tc>
              <w:tc>
                <w:tcPr>
                  <w:tcW w:w="901" w:type="pct"/>
                  <w:tcBorders>
                    <w:top w:val="single" w:color="auto" w:sz="4" w:space="0"/>
                    <w:left w:val="single" w:color="000000" w:sz="4" w:space="0"/>
                    <w:bottom w:val="single" w:color="auto" w:sz="4" w:space="0"/>
                    <w:right w:val="single" w:color="000000" w:sz="4" w:space="0"/>
                  </w:tcBorders>
                  <w:vAlign w:val="center"/>
                </w:tcPr>
                <w:p w14:paraId="5523D1A3">
                  <w:pPr>
                    <w:spacing w:before="60" w:after="6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19B07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445" w:type="pct"/>
                  <w:vMerge w:val="continue"/>
                  <w:tcBorders>
                    <w:left w:val="single" w:color="000000" w:sz="4" w:space="0"/>
                    <w:right w:val="single" w:color="000000" w:sz="4" w:space="0"/>
                  </w:tcBorders>
                  <w:vAlign w:val="center"/>
                </w:tcPr>
                <w:p w14:paraId="7827A49A">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vMerge w:val="continue"/>
                  <w:tcBorders>
                    <w:left w:val="single" w:color="000000" w:sz="4" w:space="0"/>
                    <w:right w:val="single" w:color="000000" w:sz="4" w:space="0"/>
                  </w:tcBorders>
                  <w:vAlign w:val="center"/>
                </w:tcPr>
                <w:p w14:paraId="76567A81">
                  <w:pPr>
                    <w:pStyle w:val="7"/>
                    <w:snapToGrid w:val="0"/>
                    <w:ind w:firstLine="0"/>
                    <w:jc w:val="center"/>
                    <w:rPr>
                      <w:rFonts w:hint="default" w:ascii="Times New Roman" w:hAnsi="Times New Roman" w:eastAsia="宋体" w:cs="Times New Roman"/>
                      <w:color w:val="auto"/>
                      <w:sz w:val="21"/>
                      <w:szCs w:val="21"/>
                    </w:rPr>
                  </w:pPr>
                </w:p>
              </w:tc>
              <w:tc>
                <w:tcPr>
                  <w:tcW w:w="2980" w:type="pct"/>
                  <w:tcBorders>
                    <w:top w:val="single" w:color="auto" w:sz="4" w:space="0"/>
                    <w:left w:val="single" w:color="000000" w:sz="4" w:space="0"/>
                    <w:bottom w:val="single" w:color="auto" w:sz="4" w:space="0"/>
                    <w:right w:val="single" w:color="000000" w:sz="4" w:space="0"/>
                  </w:tcBorders>
                  <w:vAlign w:val="center"/>
                </w:tcPr>
                <w:p w14:paraId="51FB038F">
                  <w:pPr>
                    <w:autoSpaceDE w:val="0"/>
                    <w:autoSpaceDN w:val="0"/>
                    <w:adjustRightInd w:val="0"/>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项目在油墨暂存间内单独设置1个5㎡的独立房间作为危废暂存间，危废暂存间地面采用环氧树脂进行防渗处理，已完成自主验收，具备依托条件</w:t>
                  </w:r>
                  <w:r>
                    <w:rPr>
                      <w:rFonts w:hint="default" w:ascii="Times New Roman" w:hAnsi="Times New Roman" w:eastAsia="宋体" w:cs="Times New Roman"/>
                      <w:color w:val="auto"/>
                      <w:sz w:val="21"/>
                      <w:szCs w:val="21"/>
                    </w:rPr>
                    <w:t>。</w:t>
                  </w:r>
                </w:p>
              </w:tc>
              <w:tc>
                <w:tcPr>
                  <w:tcW w:w="901" w:type="pct"/>
                  <w:tcBorders>
                    <w:top w:val="single" w:color="auto" w:sz="4" w:space="0"/>
                    <w:left w:val="single" w:color="000000" w:sz="4" w:space="0"/>
                    <w:bottom w:val="single" w:color="auto" w:sz="4" w:space="0"/>
                    <w:right w:val="single" w:color="000000" w:sz="4" w:space="0"/>
                  </w:tcBorders>
                  <w:vAlign w:val="center"/>
                </w:tcPr>
                <w:p w14:paraId="5D474632">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lang w:val="en-US" w:eastAsia="zh-CN"/>
                    </w:rPr>
                    <w:t>依托</w:t>
                  </w:r>
                </w:p>
              </w:tc>
            </w:tr>
            <w:tr w14:paraId="519B5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445" w:type="pct"/>
                  <w:vMerge w:val="restart"/>
                  <w:tcBorders>
                    <w:left w:val="single" w:color="000000" w:sz="4" w:space="0"/>
                    <w:right w:val="single" w:color="000000" w:sz="4" w:space="0"/>
                  </w:tcBorders>
                  <w:vAlign w:val="center"/>
                </w:tcPr>
                <w:p w14:paraId="2CACA03E">
                  <w:pPr>
                    <w:autoSpaceDE w:val="0"/>
                    <w:autoSpaceDN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消防工程</w:t>
                  </w:r>
                </w:p>
              </w:tc>
              <w:tc>
                <w:tcPr>
                  <w:tcW w:w="672" w:type="pct"/>
                  <w:tcBorders>
                    <w:left w:val="single" w:color="000000" w:sz="4" w:space="0"/>
                    <w:bottom w:val="single" w:color="auto" w:sz="4" w:space="0"/>
                    <w:right w:val="single" w:color="000000" w:sz="4" w:space="0"/>
                  </w:tcBorders>
                  <w:vAlign w:val="center"/>
                </w:tcPr>
                <w:p w14:paraId="1ACE9B48">
                  <w:pPr>
                    <w:pStyle w:val="7"/>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消防栓及消防水袋</w:t>
                  </w:r>
                </w:p>
              </w:tc>
              <w:tc>
                <w:tcPr>
                  <w:tcW w:w="2980" w:type="pct"/>
                  <w:tcBorders>
                    <w:top w:val="single" w:color="auto" w:sz="4" w:space="0"/>
                    <w:left w:val="single" w:color="000000" w:sz="4" w:space="0"/>
                    <w:bottom w:val="single" w:color="auto" w:sz="4" w:space="0"/>
                    <w:right w:val="single" w:color="000000" w:sz="4" w:space="0"/>
                  </w:tcBorders>
                  <w:vAlign w:val="center"/>
                </w:tcPr>
                <w:p w14:paraId="39D147AD">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依托厂房内</w:t>
                  </w:r>
                  <w:r>
                    <w:rPr>
                      <w:rFonts w:hint="default" w:ascii="Times New Roman" w:hAnsi="Times New Roman" w:eastAsia="宋体" w:cs="Times New Roman"/>
                      <w:color w:val="auto"/>
                      <w:sz w:val="21"/>
                      <w:szCs w:val="21"/>
                      <w:lang w:val="en-US" w:eastAsia="zh-CN"/>
                    </w:rPr>
                    <w:t>已有的</w:t>
                  </w:r>
                  <w:r>
                    <w:rPr>
                      <w:rFonts w:hint="default" w:ascii="Times New Roman" w:hAnsi="Times New Roman" w:eastAsia="宋体" w:cs="Times New Roman"/>
                      <w:color w:val="auto"/>
                      <w:sz w:val="21"/>
                      <w:szCs w:val="21"/>
                    </w:rPr>
                    <w:t>消防栓和消防水带。</w:t>
                  </w:r>
                </w:p>
              </w:tc>
              <w:tc>
                <w:tcPr>
                  <w:tcW w:w="901" w:type="pct"/>
                  <w:tcBorders>
                    <w:top w:val="single" w:color="auto" w:sz="4" w:space="0"/>
                    <w:left w:val="single" w:color="000000" w:sz="4" w:space="0"/>
                    <w:bottom w:val="single" w:color="auto" w:sz="4" w:space="0"/>
                    <w:right w:val="single" w:color="000000" w:sz="4" w:space="0"/>
                  </w:tcBorders>
                  <w:vAlign w:val="center"/>
                </w:tcPr>
                <w:p w14:paraId="7A461F0F">
                  <w:pPr>
                    <w:autoSpaceDE w:val="0"/>
                    <w:autoSpaceDN w:val="0"/>
                    <w:adjustRightInd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本项目依托现有，若无法满足消费安全需要，则以安全“三同时”提出的意见为准。</w:t>
                  </w:r>
                </w:p>
              </w:tc>
            </w:tr>
            <w:tr w14:paraId="1F957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445" w:type="pct"/>
                  <w:vMerge w:val="continue"/>
                  <w:tcBorders>
                    <w:left w:val="single" w:color="000000" w:sz="4" w:space="0"/>
                    <w:right w:val="single" w:color="000000" w:sz="4" w:space="0"/>
                  </w:tcBorders>
                  <w:vAlign w:val="center"/>
                </w:tcPr>
                <w:p w14:paraId="6AE1BD2E">
                  <w:pPr>
                    <w:autoSpaceDE w:val="0"/>
                    <w:autoSpaceDN w:val="0"/>
                    <w:adjustRightInd w:val="0"/>
                    <w:snapToGrid w:val="0"/>
                    <w:jc w:val="center"/>
                    <w:rPr>
                      <w:rFonts w:hint="default" w:ascii="Times New Roman" w:hAnsi="Times New Roman" w:eastAsia="宋体" w:cs="Times New Roman"/>
                      <w:color w:val="auto"/>
                      <w:sz w:val="21"/>
                      <w:szCs w:val="21"/>
                    </w:rPr>
                  </w:pPr>
                </w:p>
              </w:tc>
              <w:tc>
                <w:tcPr>
                  <w:tcW w:w="672" w:type="pct"/>
                  <w:tcBorders>
                    <w:top w:val="single" w:color="auto" w:sz="4" w:space="0"/>
                    <w:left w:val="single" w:color="000000" w:sz="4" w:space="0"/>
                    <w:bottom w:val="single" w:color="000000" w:sz="4" w:space="0"/>
                    <w:right w:val="single" w:color="000000" w:sz="4" w:space="0"/>
                  </w:tcBorders>
                  <w:vAlign w:val="center"/>
                </w:tcPr>
                <w:p w14:paraId="2F352070">
                  <w:pPr>
                    <w:pStyle w:val="7"/>
                    <w:snapToGrid w:val="0"/>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灭火器</w:t>
                  </w:r>
                </w:p>
              </w:tc>
              <w:tc>
                <w:tcPr>
                  <w:tcW w:w="2980" w:type="pct"/>
                  <w:tcBorders>
                    <w:top w:val="single" w:color="auto" w:sz="4" w:space="0"/>
                    <w:left w:val="single" w:color="000000" w:sz="4" w:space="0"/>
                    <w:bottom w:val="single" w:color="000000" w:sz="4" w:space="0"/>
                    <w:right w:val="single" w:color="000000" w:sz="4" w:space="0"/>
                  </w:tcBorders>
                  <w:vAlign w:val="center"/>
                </w:tcPr>
                <w:p w14:paraId="71877E43">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项目厂区内设置干粉灭火器，</w:t>
                  </w:r>
                  <w:r>
                    <w:rPr>
                      <w:rFonts w:hint="default" w:ascii="Times New Roman" w:hAnsi="Times New Roman" w:eastAsia="宋体" w:cs="Times New Roman"/>
                      <w:color w:val="auto"/>
                      <w:sz w:val="21"/>
                      <w:szCs w:val="21"/>
                      <w:lang w:val="en-US" w:eastAsia="zh-CN"/>
                    </w:rPr>
                    <w:t>油墨乳胶</w:t>
                  </w:r>
                  <w:r>
                    <w:rPr>
                      <w:rFonts w:hint="default" w:ascii="Times New Roman" w:hAnsi="Times New Roman" w:eastAsia="宋体" w:cs="Times New Roman"/>
                      <w:color w:val="auto"/>
                      <w:sz w:val="21"/>
                      <w:szCs w:val="21"/>
                    </w:rPr>
                    <w:t>暂存间设置泡沫灭火器。</w:t>
                  </w:r>
                </w:p>
              </w:tc>
              <w:tc>
                <w:tcPr>
                  <w:tcW w:w="901" w:type="pct"/>
                  <w:tcBorders>
                    <w:top w:val="single" w:color="auto" w:sz="4" w:space="0"/>
                    <w:left w:val="single" w:color="000000" w:sz="4" w:space="0"/>
                    <w:bottom w:val="single" w:color="000000" w:sz="4" w:space="0"/>
                    <w:right w:val="single" w:color="000000" w:sz="4" w:space="0"/>
                  </w:tcBorders>
                  <w:vAlign w:val="center"/>
                </w:tcPr>
                <w:p w14:paraId="180D9CC7">
                  <w:pPr>
                    <w:autoSpaceDE w:val="0"/>
                    <w:autoSpaceDN w:val="0"/>
                    <w:adjustRightIn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本项目依托现有，若无法满足消防安全需要，则以安全“三同时”提出的意见为准。</w:t>
                  </w:r>
                </w:p>
              </w:tc>
            </w:tr>
          </w:tbl>
          <w:p w14:paraId="79372C90">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2.3 项目产品方案</w:t>
            </w:r>
          </w:p>
          <w:p w14:paraId="54B57CA8">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项目改建</w:t>
            </w:r>
            <w:r>
              <w:rPr>
                <w:rFonts w:hint="default" w:ascii="Times New Roman" w:hAnsi="Times New Roman" w:eastAsia="宋体" w:cs="Times New Roman"/>
                <w:color w:val="auto"/>
                <w:sz w:val="21"/>
                <w:szCs w:val="21"/>
              </w:rPr>
              <w:t>后年产</w:t>
            </w:r>
            <w:r>
              <w:rPr>
                <w:rFonts w:hint="default" w:ascii="Times New Roman" w:hAnsi="Times New Roman" w:eastAsia="宋体" w:cs="Times New Roman"/>
                <w:color w:val="auto"/>
                <w:sz w:val="21"/>
                <w:szCs w:val="21"/>
                <w:lang w:val="en-US" w:eastAsia="zh-CN"/>
              </w:rPr>
              <w:t>8000t瓦楞纸板自用，用于原有项目400</w:t>
            </w:r>
            <w:r>
              <w:rPr>
                <w:rFonts w:hint="default" w:ascii="Times New Roman" w:hAnsi="Times New Roman" w:eastAsia="宋体" w:cs="Times New Roman"/>
                <w:color w:val="auto"/>
                <w:sz w:val="21"/>
                <w:szCs w:val="21"/>
              </w:rPr>
              <w:t>万支纸箱</w:t>
            </w:r>
            <w:r>
              <w:rPr>
                <w:rFonts w:hint="default" w:ascii="Times New Roman" w:hAnsi="Times New Roman" w:eastAsia="宋体" w:cs="Times New Roman"/>
                <w:color w:val="auto"/>
                <w:sz w:val="21"/>
                <w:szCs w:val="21"/>
                <w:lang w:eastAsia="zh-CN"/>
              </w:rPr>
              <w:t>的</w:t>
            </w:r>
            <w:r>
              <w:rPr>
                <w:rFonts w:hint="default" w:ascii="Times New Roman" w:hAnsi="Times New Roman" w:eastAsia="宋体" w:cs="Times New Roman"/>
                <w:color w:val="auto"/>
                <w:sz w:val="21"/>
                <w:szCs w:val="21"/>
                <w:lang w:val="en-US" w:eastAsia="zh-CN"/>
              </w:rPr>
              <w:t>生产使用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其中粘箱300万支，钉箱100万只</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具体见下表。</w:t>
            </w:r>
          </w:p>
          <w:p w14:paraId="517C2C0C">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表2-2  本项目产品方案一览表</w:t>
            </w:r>
          </w:p>
          <w:tbl>
            <w:tblPr>
              <w:tblStyle w:val="25"/>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00"/>
              <w:gridCol w:w="1262"/>
              <w:gridCol w:w="1327"/>
              <w:gridCol w:w="1553"/>
              <w:gridCol w:w="1842"/>
            </w:tblGrid>
            <w:tr w14:paraId="63DF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55" w:type="dxa"/>
                  <w:vMerge w:val="restart"/>
                  <w:vAlign w:val="center"/>
                </w:tcPr>
                <w:p w14:paraId="23B29B3B">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序号</w:t>
                  </w:r>
                </w:p>
              </w:tc>
              <w:tc>
                <w:tcPr>
                  <w:tcW w:w="2562" w:type="dxa"/>
                  <w:gridSpan w:val="2"/>
                  <w:vMerge w:val="restart"/>
                  <w:vAlign w:val="center"/>
                </w:tcPr>
                <w:p w14:paraId="15F9FC3B">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产品名称</w:t>
                  </w:r>
                </w:p>
              </w:tc>
              <w:tc>
                <w:tcPr>
                  <w:tcW w:w="2880" w:type="dxa"/>
                  <w:gridSpan w:val="2"/>
                  <w:vAlign w:val="center"/>
                </w:tcPr>
                <w:p w14:paraId="324E1616">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年产量</w:t>
                  </w:r>
                </w:p>
              </w:tc>
              <w:tc>
                <w:tcPr>
                  <w:tcW w:w="1842" w:type="dxa"/>
                  <w:vMerge w:val="restart"/>
                  <w:vAlign w:val="center"/>
                </w:tcPr>
                <w:p w14:paraId="78B21BBC">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备注</w:t>
                  </w:r>
                </w:p>
              </w:tc>
            </w:tr>
            <w:tr w14:paraId="293C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55" w:type="dxa"/>
                  <w:vMerge w:val="continue"/>
                  <w:vAlign w:val="center"/>
                </w:tcPr>
                <w:p w14:paraId="675F7B2E">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p>
              </w:tc>
              <w:tc>
                <w:tcPr>
                  <w:tcW w:w="2562" w:type="dxa"/>
                  <w:gridSpan w:val="2"/>
                  <w:vMerge w:val="continue"/>
                  <w:vAlign w:val="center"/>
                </w:tcPr>
                <w:p w14:paraId="407A0412">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p>
              </w:tc>
              <w:tc>
                <w:tcPr>
                  <w:tcW w:w="1327" w:type="dxa"/>
                  <w:vAlign w:val="center"/>
                </w:tcPr>
                <w:p w14:paraId="75A6AAD1">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改建前</w:t>
                  </w:r>
                </w:p>
              </w:tc>
              <w:tc>
                <w:tcPr>
                  <w:tcW w:w="1553" w:type="dxa"/>
                  <w:vAlign w:val="center"/>
                </w:tcPr>
                <w:p w14:paraId="4B1DE457">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改建后</w:t>
                  </w:r>
                </w:p>
              </w:tc>
              <w:tc>
                <w:tcPr>
                  <w:tcW w:w="1842" w:type="dxa"/>
                  <w:vMerge w:val="continue"/>
                  <w:vAlign w:val="center"/>
                </w:tcPr>
                <w:p w14:paraId="51E1517C">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bCs/>
                      <w:color w:val="auto"/>
                      <w:kern w:val="2"/>
                      <w:sz w:val="21"/>
                      <w:szCs w:val="21"/>
                    </w:rPr>
                  </w:pPr>
                </w:p>
              </w:tc>
            </w:tr>
            <w:tr w14:paraId="090E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5" w:type="dxa"/>
                  <w:vAlign w:val="center"/>
                </w:tcPr>
                <w:p w14:paraId="7D5D4411">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w:t>
                  </w:r>
                </w:p>
              </w:tc>
              <w:tc>
                <w:tcPr>
                  <w:tcW w:w="1300" w:type="dxa"/>
                  <w:vAlign w:val="center"/>
                </w:tcPr>
                <w:p w14:paraId="7E094099">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现有生产线</w:t>
                  </w:r>
                </w:p>
              </w:tc>
              <w:tc>
                <w:tcPr>
                  <w:tcW w:w="1262" w:type="dxa"/>
                  <w:vAlign w:val="center"/>
                </w:tcPr>
                <w:p w14:paraId="68FE09A5">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纸箱</w:t>
                  </w:r>
                </w:p>
              </w:tc>
              <w:tc>
                <w:tcPr>
                  <w:tcW w:w="1327" w:type="dxa"/>
                  <w:vAlign w:val="center"/>
                </w:tcPr>
                <w:p w14:paraId="44003AAC">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00万支</w:t>
                  </w:r>
                </w:p>
              </w:tc>
              <w:tc>
                <w:tcPr>
                  <w:tcW w:w="1553" w:type="dxa"/>
                  <w:vAlign w:val="center"/>
                </w:tcPr>
                <w:p w14:paraId="1C215B3B">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00万支</w:t>
                  </w:r>
                </w:p>
              </w:tc>
              <w:tc>
                <w:tcPr>
                  <w:tcW w:w="1842" w:type="dxa"/>
                  <w:vAlign w:val="center"/>
                </w:tcPr>
                <w:p w14:paraId="57D7B385">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粘箱300万支，钉箱100万只</w:t>
                  </w:r>
                </w:p>
              </w:tc>
            </w:tr>
            <w:tr w14:paraId="0FD3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5" w:type="dxa"/>
                  <w:vAlign w:val="center"/>
                </w:tcPr>
                <w:p w14:paraId="33126061">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w:t>
                  </w:r>
                </w:p>
              </w:tc>
              <w:tc>
                <w:tcPr>
                  <w:tcW w:w="1300" w:type="dxa"/>
                  <w:vAlign w:val="center"/>
                </w:tcPr>
                <w:p w14:paraId="38F3CBAD">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本次改建</w:t>
                  </w:r>
                </w:p>
              </w:tc>
              <w:tc>
                <w:tcPr>
                  <w:tcW w:w="1262" w:type="dxa"/>
                  <w:vAlign w:val="center"/>
                </w:tcPr>
                <w:p w14:paraId="744291FF">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瓦楞纸板</w:t>
                  </w:r>
                </w:p>
              </w:tc>
              <w:tc>
                <w:tcPr>
                  <w:tcW w:w="1327" w:type="dxa"/>
                  <w:vAlign w:val="center"/>
                </w:tcPr>
                <w:p w14:paraId="32C36197">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53" w:type="dxa"/>
                  <w:vAlign w:val="center"/>
                </w:tcPr>
                <w:p w14:paraId="05EDF06C">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8000吨（自用于纸箱生产）</w:t>
                  </w:r>
                </w:p>
              </w:tc>
              <w:tc>
                <w:tcPr>
                  <w:tcW w:w="1842" w:type="dxa"/>
                  <w:vAlign w:val="center"/>
                </w:tcPr>
                <w:p w14:paraId="5BAAA770">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粘箱300万支，钉箱100万只</w:t>
                  </w:r>
                </w:p>
              </w:tc>
            </w:tr>
            <w:tr w14:paraId="3CD1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039" w:type="dxa"/>
                  <w:gridSpan w:val="6"/>
                  <w:vAlign w:val="center"/>
                </w:tcPr>
                <w:p w14:paraId="442439FC">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注：纸箱每支2kg。</w:t>
                  </w:r>
                </w:p>
              </w:tc>
            </w:tr>
          </w:tbl>
          <w:p w14:paraId="44DF76C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2.4 主要生产设备</w:t>
            </w:r>
          </w:p>
          <w:p w14:paraId="4BDDC7F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本次改建主要为瓦楞纸生产</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改建前后</w:t>
            </w:r>
            <w:r>
              <w:rPr>
                <w:rFonts w:hint="default" w:ascii="Times New Roman" w:hAnsi="Times New Roman" w:eastAsia="宋体" w:cs="Times New Roman"/>
                <w:color w:val="auto"/>
              </w:rPr>
              <w:t>主要生产单元、主要生产工艺、生产设施及设施参数见下表。</w:t>
            </w:r>
          </w:p>
          <w:p w14:paraId="164DA76D">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表2-3</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主要生产单元、主要生产工艺、生产设施及设施参数</w:t>
            </w:r>
          </w:p>
          <w:tbl>
            <w:tblPr>
              <w:tblStyle w:val="26"/>
              <w:tblW w:w="8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500"/>
              <w:gridCol w:w="995"/>
              <w:gridCol w:w="2668"/>
              <w:gridCol w:w="863"/>
              <w:gridCol w:w="876"/>
              <w:gridCol w:w="1297"/>
            </w:tblGrid>
            <w:tr w14:paraId="6E67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14" w:type="dxa"/>
                  <w:vMerge w:val="restart"/>
                  <w:vAlign w:val="center"/>
                </w:tcPr>
                <w:p w14:paraId="3C1CBFC3">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主要生产单元</w:t>
                  </w:r>
                </w:p>
              </w:tc>
              <w:tc>
                <w:tcPr>
                  <w:tcW w:w="1495" w:type="dxa"/>
                  <w:gridSpan w:val="2"/>
                  <w:vMerge w:val="restart"/>
                  <w:vAlign w:val="center"/>
                </w:tcPr>
                <w:p w14:paraId="35F57A6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主要工艺</w:t>
                  </w:r>
                </w:p>
              </w:tc>
              <w:tc>
                <w:tcPr>
                  <w:tcW w:w="2668" w:type="dxa"/>
                  <w:vMerge w:val="restart"/>
                  <w:vAlign w:val="center"/>
                </w:tcPr>
                <w:p w14:paraId="25657DBD">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生产设施</w:t>
                  </w:r>
                </w:p>
              </w:tc>
              <w:tc>
                <w:tcPr>
                  <w:tcW w:w="1739" w:type="dxa"/>
                  <w:gridSpan w:val="2"/>
                  <w:vAlign w:val="center"/>
                </w:tcPr>
                <w:p w14:paraId="7D70B78E">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p w14:paraId="4195779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（台、套、个）</w:t>
                  </w:r>
                </w:p>
              </w:tc>
              <w:tc>
                <w:tcPr>
                  <w:tcW w:w="1297" w:type="dxa"/>
                  <w:vMerge w:val="restart"/>
                  <w:vAlign w:val="center"/>
                </w:tcPr>
                <w:p w14:paraId="1E1A34C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Cs w:val="21"/>
                      <w:lang w:val="en-US" w:eastAsia="zh-CN"/>
                    </w:rPr>
                    <w:t>备注</w:t>
                  </w:r>
                </w:p>
              </w:tc>
            </w:tr>
            <w:tr w14:paraId="7BCB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14" w:type="dxa"/>
                  <w:vMerge w:val="continue"/>
                  <w:vAlign w:val="center"/>
                </w:tcPr>
                <w:p w14:paraId="7C18AD0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6769B31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668" w:type="dxa"/>
                  <w:vMerge w:val="continue"/>
                  <w:vAlign w:val="center"/>
                </w:tcPr>
                <w:p w14:paraId="47897AF2">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863" w:type="dxa"/>
                  <w:vAlign w:val="center"/>
                </w:tcPr>
                <w:p w14:paraId="1366DBA3">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kern w:val="2"/>
                      <w:sz w:val="21"/>
                      <w:szCs w:val="21"/>
                      <w:lang w:val="en-US" w:eastAsia="zh-CN"/>
                    </w:rPr>
                    <w:t>改建前</w:t>
                  </w:r>
                </w:p>
              </w:tc>
              <w:tc>
                <w:tcPr>
                  <w:tcW w:w="876" w:type="dxa"/>
                  <w:vAlign w:val="center"/>
                </w:tcPr>
                <w:p w14:paraId="6494D0A0">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kern w:val="2"/>
                      <w:sz w:val="21"/>
                      <w:szCs w:val="21"/>
                      <w:lang w:val="en-US" w:eastAsia="zh-CN"/>
                    </w:rPr>
                    <w:t>改建后</w:t>
                  </w:r>
                </w:p>
              </w:tc>
              <w:tc>
                <w:tcPr>
                  <w:tcW w:w="1297" w:type="dxa"/>
                  <w:vMerge w:val="continue"/>
                  <w:vAlign w:val="center"/>
                </w:tcPr>
                <w:p w14:paraId="5405116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52BD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14" w:type="dxa"/>
                  <w:vMerge w:val="restart"/>
                  <w:vAlign w:val="center"/>
                </w:tcPr>
                <w:p w14:paraId="636D013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瓦楞纸板生产线</w:t>
                  </w:r>
                </w:p>
              </w:tc>
              <w:tc>
                <w:tcPr>
                  <w:tcW w:w="1495" w:type="dxa"/>
                  <w:gridSpan w:val="2"/>
                  <w:vAlign w:val="center"/>
                </w:tcPr>
                <w:p w14:paraId="4218911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送纸</w:t>
                  </w:r>
                </w:p>
              </w:tc>
              <w:tc>
                <w:tcPr>
                  <w:tcW w:w="2668" w:type="dxa"/>
                  <w:vAlign w:val="center"/>
                </w:tcPr>
                <w:p w14:paraId="7A5CDF5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送纸导轨（含小车）</w:t>
                  </w:r>
                </w:p>
              </w:tc>
              <w:tc>
                <w:tcPr>
                  <w:tcW w:w="863" w:type="dxa"/>
                  <w:vAlign w:val="center"/>
                </w:tcPr>
                <w:p w14:paraId="1A2F370D">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4AFE8037">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5</w:t>
                  </w:r>
                </w:p>
              </w:tc>
              <w:tc>
                <w:tcPr>
                  <w:tcW w:w="1297" w:type="dxa"/>
                  <w:vMerge w:val="restart"/>
                  <w:vAlign w:val="center"/>
                </w:tcPr>
                <w:p w14:paraId="56401AA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w:t>
                  </w:r>
                </w:p>
              </w:tc>
            </w:tr>
            <w:tr w14:paraId="6FE3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14" w:type="dxa"/>
                  <w:vMerge w:val="continue"/>
                  <w:vAlign w:val="center"/>
                </w:tcPr>
                <w:p w14:paraId="7429835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7AB71303">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原纸预热</w:t>
                  </w:r>
                </w:p>
              </w:tc>
              <w:tc>
                <w:tcPr>
                  <w:tcW w:w="2668" w:type="dxa"/>
                  <w:vAlign w:val="center"/>
                </w:tcPr>
                <w:p w14:paraId="17CD1B70">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vertAlign w:val="baseline"/>
                      <w:lang w:val="en-US" w:eastAsia="zh-CN" w:bidi="ar-SA"/>
                    </w:rPr>
                    <w:t>预热缸</w:t>
                  </w:r>
                </w:p>
              </w:tc>
              <w:tc>
                <w:tcPr>
                  <w:tcW w:w="863" w:type="dxa"/>
                  <w:vAlign w:val="center"/>
                </w:tcPr>
                <w:p w14:paraId="215467E7">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3042DE2D">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5</w:t>
                  </w:r>
                </w:p>
              </w:tc>
              <w:tc>
                <w:tcPr>
                  <w:tcW w:w="1297" w:type="dxa"/>
                  <w:vMerge w:val="continue"/>
                  <w:vAlign w:val="center"/>
                </w:tcPr>
                <w:p w14:paraId="33A6B93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4CFF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914" w:type="dxa"/>
                  <w:vMerge w:val="continue"/>
                  <w:vAlign w:val="center"/>
                </w:tcPr>
                <w:p w14:paraId="3292BE7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bidi="ar-SA"/>
                    </w:rPr>
                  </w:pPr>
                </w:p>
              </w:tc>
              <w:tc>
                <w:tcPr>
                  <w:tcW w:w="1495" w:type="dxa"/>
                  <w:gridSpan w:val="2"/>
                  <w:vAlign w:val="center"/>
                </w:tcPr>
                <w:p w14:paraId="50409EB0">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压楞</w:t>
                  </w:r>
                </w:p>
              </w:tc>
              <w:tc>
                <w:tcPr>
                  <w:tcW w:w="2668" w:type="dxa"/>
                  <w:vAlign w:val="center"/>
                </w:tcPr>
                <w:p w14:paraId="4B6E3A56">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vertAlign w:val="baseline"/>
                      <w:lang w:val="en-US" w:eastAsia="zh-CN" w:bidi="ar-SA"/>
                    </w:rPr>
                    <w:t>瓦楞辊机组（单面机）</w:t>
                  </w:r>
                </w:p>
              </w:tc>
              <w:tc>
                <w:tcPr>
                  <w:tcW w:w="863" w:type="dxa"/>
                  <w:vAlign w:val="center"/>
                </w:tcPr>
                <w:p w14:paraId="6F9CD200">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5B487A19">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w:t>
                  </w:r>
                </w:p>
              </w:tc>
              <w:tc>
                <w:tcPr>
                  <w:tcW w:w="1297" w:type="dxa"/>
                  <w:vMerge w:val="continue"/>
                  <w:vAlign w:val="center"/>
                </w:tcPr>
                <w:p w14:paraId="49545BA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3379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14" w:type="dxa"/>
                  <w:vMerge w:val="continue"/>
                  <w:vAlign w:val="center"/>
                </w:tcPr>
                <w:p w14:paraId="4C8265B1">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bidi="ar-SA"/>
                    </w:rPr>
                  </w:pPr>
                </w:p>
              </w:tc>
              <w:tc>
                <w:tcPr>
                  <w:tcW w:w="1495" w:type="dxa"/>
                  <w:gridSpan w:val="2"/>
                  <w:vAlign w:val="center"/>
                </w:tcPr>
                <w:p w14:paraId="2E6A9DCD">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糊胶</w:t>
                  </w:r>
                </w:p>
              </w:tc>
              <w:tc>
                <w:tcPr>
                  <w:tcW w:w="2668" w:type="dxa"/>
                  <w:vAlign w:val="center"/>
                </w:tcPr>
                <w:p w14:paraId="52FF96D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糊胶机（过胶机）</w:t>
                  </w:r>
                </w:p>
              </w:tc>
              <w:tc>
                <w:tcPr>
                  <w:tcW w:w="863" w:type="dxa"/>
                  <w:vAlign w:val="center"/>
                </w:tcPr>
                <w:p w14:paraId="5C13A702">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2483BE4F">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5A0DBF5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49F9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914" w:type="dxa"/>
                  <w:vMerge w:val="continue"/>
                  <w:vAlign w:val="center"/>
                </w:tcPr>
                <w:p w14:paraId="32FE39BB">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bidi="ar-SA"/>
                    </w:rPr>
                  </w:pPr>
                </w:p>
              </w:tc>
              <w:tc>
                <w:tcPr>
                  <w:tcW w:w="1495" w:type="dxa"/>
                  <w:gridSpan w:val="2"/>
                  <w:vMerge w:val="restart"/>
                  <w:vAlign w:val="center"/>
                </w:tcPr>
                <w:p w14:paraId="214979A3">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复合</w:t>
                  </w:r>
                </w:p>
              </w:tc>
              <w:tc>
                <w:tcPr>
                  <w:tcW w:w="2668" w:type="dxa"/>
                  <w:vAlign w:val="center"/>
                </w:tcPr>
                <w:p w14:paraId="7BBEBC8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接纸机（粘合机）</w:t>
                  </w:r>
                </w:p>
              </w:tc>
              <w:tc>
                <w:tcPr>
                  <w:tcW w:w="863" w:type="dxa"/>
                  <w:vAlign w:val="center"/>
                </w:tcPr>
                <w:p w14:paraId="3509F035">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76535AE0">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435661E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671C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914" w:type="dxa"/>
                  <w:vMerge w:val="continue"/>
                  <w:vAlign w:val="center"/>
                </w:tcPr>
                <w:p w14:paraId="47D82C0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bidi="ar-SA"/>
                    </w:rPr>
                  </w:pPr>
                </w:p>
              </w:tc>
              <w:tc>
                <w:tcPr>
                  <w:tcW w:w="1495" w:type="dxa"/>
                  <w:gridSpan w:val="2"/>
                  <w:vMerge w:val="continue"/>
                  <w:vAlign w:val="center"/>
                </w:tcPr>
                <w:p w14:paraId="3FF658BB">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p>
              </w:tc>
              <w:tc>
                <w:tcPr>
                  <w:tcW w:w="2668" w:type="dxa"/>
                  <w:vAlign w:val="center"/>
                </w:tcPr>
                <w:p w14:paraId="77EAFA9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纠偏机</w:t>
                  </w:r>
                </w:p>
              </w:tc>
              <w:tc>
                <w:tcPr>
                  <w:tcW w:w="863" w:type="dxa"/>
                  <w:vAlign w:val="center"/>
                </w:tcPr>
                <w:p w14:paraId="5DEB0A80">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226A9B6E">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51AB55B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39B8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14" w:type="dxa"/>
                  <w:vMerge w:val="continue"/>
                  <w:vAlign w:val="center"/>
                </w:tcPr>
                <w:p w14:paraId="05CA764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471DCE11">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加热干燥</w:t>
                  </w:r>
                </w:p>
              </w:tc>
              <w:tc>
                <w:tcPr>
                  <w:tcW w:w="2668" w:type="dxa"/>
                  <w:vAlign w:val="center"/>
                </w:tcPr>
                <w:p w14:paraId="59C7E33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加热板</w:t>
                  </w:r>
                </w:p>
              </w:tc>
              <w:tc>
                <w:tcPr>
                  <w:tcW w:w="863" w:type="dxa"/>
                  <w:vAlign w:val="center"/>
                </w:tcPr>
                <w:p w14:paraId="185ABCDF">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67876CCC">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2F65CB7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79F2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14" w:type="dxa"/>
                  <w:vMerge w:val="continue"/>
                  <w:vAlign w:val="center"/>
                </w:tcPr>
                <w:p w14:paraId="27B5FAF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restart"/>
                  <w:vAlign w:val="center"/>
                </w:tcPr>
                <w:p w14:paraId="5D612F5F">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分切</w:t>
                  </w:r>
                </w:p>
              </w:tc>
              <w:tc>
                <w:tcPr>
                  <w:tcW w:w="2668" w:type="dxa"/>
                  <w:vAlign w:val="center"/>
                </w:tcPr>
                <w:p w14:paraId="7D7583E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全自动薄刀纵切压线机（伺服型薄刀机）</w:t>
                  </w:r>
                </w:p>
              </w:tc>
              <w:tc>
                <w:tcPr>
                  <w:tcW w:w="863" w:type="dxa"/>
                  <w:vAlign w:val="center"/>
                </w:tcPr>
                <w:p w14:paraId="7FE8B273">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02257752">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6050957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436C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14" w:type="dxa"/>
                  <w:vMerge w:val="continue"/>
                  <w:vAlign w:val="center"/>
                </w:tcPr>
                <w:p w14:paraId="343253E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5DB7E198">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668" w:type="dxa"/>
                  <w:vAlign w:val="center"/>
                </w:tcPr>
                <w:p w14:paraId="7656FD3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横切机</w:t>
                  </w:r>
                </w:p>
              </w:tc>
              <w:tc>
                <w:tcPr>
                  <w:tcW w:w="863" w:type="dxa"/>
                  <w:vAlign w:val="center"/>
                </w:tcPr>
                <w:p w14:paraId="127CBEB4">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6165FDA3">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0A145EC1">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47BC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14" w:type="dxa"/>
                  <w:vMerge w:val="continue"/>
                  <w:vAlign w:val="center"/>
                </w:tcPr>
                <w:p w14:paraId="310A052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1FE50918">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堆码</w:t>
                  </w:r>
                </w:p>
              </w:tc>
              <w:tc>
                <w:tcPr>
                  <w:tcW w:w="2668" w:type="dxa"/>
                  <w:vAlign w:val="center"/>
                </w:tcPr>
                <w:p w14:paraId="4040754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堆码机</w:t>
                  </w:r>
                </w:p>
              </w:tc>
              <w:tc>
                <w:tcPr>
                  <w:tcW w:w="863" w:type="dxa"/>
                  <w:vAlign w:val="center"/>
                </w:tcPr>
                <w:p w14:paraId="1B706A05">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586613F2">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0E2861F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0103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14" w:type="dxa"/>
                  <w:vMerge w:val="restart"/>
                  <w:vAlign w:val="center"/>
                </w:tcPr>
                <w:p w14:paraId="3F2AA33B">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制胶生产线</w:t>
                  </w:r>
                </w:p>
              </w:tc>
              <w:tc>
                <w:tcPr>
                  <w:tcW w:w="1495" w:type="dxa"/>
                  <w:gridSpan w:val="2"/>
                  <w:vAlign w:val="center"/>
                </w:tcPr>
                <w:p w14:paraId="23AFD69C">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搅拌</w:t>
                  </w:r>
                </w:p>
              </w:tc>
              <w:tc>
                <w:tcPr>
                  <w:tcW w:w="2668" w:type="dxa"/>
                  <w:vAlign w:val="center"/>
                </w:tcPr>
                <w:p w14:paraId="08F4728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全自动制胶机</w:t>
                  </w:r>
                </w:p>
              </w:tc>
              <w:tc>
                <w:tcPr>
                  <w:tcW w:w="863" w:type="dxa"/>
                  <w:vAlign w:val="center"/>
                </w:tcPr>
                <w:p w14:paraId="45972BD0">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5D720FCD">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1</w:t>
                  </w:r>
                </w:p>
              </w:tc>
              <w:tc>
                <w:tcPr>
                  <w:tcW w:w="1297" w:type="dxa"/>
                  <w:vMerge w:val="continue"/>
                  <w:vAlign w:val="center"/>
                </w:tcPr>
                <w:p w14:paraId="6EA940F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0524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914" w:type="dxa"/>
                  <w:vMerge w:val="continue"/>
                  <w:vAlign w:val="center"/>
                </w:tcPr>
                <w:p w14:paraId="46C94F4B">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c>
                <w:tcPr>
                  <w:tcW w:w="1495" w:type="dxa"/>
                  <w:gridSpan w:val="2"/>
                  <w:vAlign w:val="center"/>
                </w:tcPr>
                <w:p w14:paraId="31AF6779">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存储</w:t>
                  </w:r>
                </w:p>
              </w:tc>
              <w:tc>
                <w:tcPr>
                  <w:tcW w:w="2668" w:type="dxa"/>
                  <w:vAlign w:val="center"/>
                </w:tcPr>
                <w:p w14:paraId="58CC79D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2m³成品胶罐</w:t>
                  </w:r>
                </w:p>
              </w:tc>
              <w:tc>
                <w:tcPr>
                  <w:tcW w:w="863" w:type="dxa"/>
                  <w:vAlign w:val="center"/>
                </w:tcPr>
                <w:p w14:paraId="5A448504">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0</w:t>
                  </w:r>
                </w:p>
              </w:tc>
              <w:tc>
                <w:tcPr>
                  <w:tcW w:w="876" w:type="dxa"/>
                  <w:vAlign w:val="center"/>
                </w:tcPr>
                <w:p w14:paraId="76CC7856">
                  <w:pPr>
                    <w:pStyle w:val="21"/>
                    <w:keepNext w:val="0"/>
                    <w:keepLines w:val="0"/>
                    <w:pageBreakBefore w:val="0"/>
                    <w:widowControl/>
                    <w:kinsoku/>
                    <w:wordWrap/>
                    <w:overflowPunct/>
                    <w:topLinePunct w:val="0"/>
                    <w:autoSpaceDE/>
                    <w:autoSpaceDN/>
                    <w:bidi w:val="0"/>
                    <w:adjustRightInd/>
                    <w:snapToGrid w:val="0"/>
                    <w:spacing w:before="95" w:beforeLines="30" w:beforeAutospacing="0" w:after="95" w:afterLines="30" w:afterAutospacing="0"/>
                    <w:jc w:val="center"/>
                    <w:textAlignment w:val="auto"/>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eastAsia="宋体" w:cs="Times New Roman"/>
                      <w:b w:val="0"/>
                      <w:bCs w:val="0"/>
                      <w:color w:val="auto"/>
                      <w:kern w:val="2"/>
                      <w:sz w:val="21"/>
                      <w:szCs w:val="21"/>
                      <w:lang w:val="en-US" w:eastAsia="zh-CN"/>
                    </w:rPr>
                    <w:t>2</w:t>
                  </w:r>
                </w:p>
              </w:tc>
              <w:tc>
                <w:tcPr>
                  <w:tcW w:w="1297" w:type="dxa"/>
                  <w:vMerge w:val="continue"/>
                  <w:vAlign w:val="center"/>
                </w:tcPr>
                <w:p w14:paraId="150A279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p>
              </w:tc>
            </w:tr>
            <w:tr w14:paraId="037B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914" w:type="dxa"/>
                  <w:vMerge w:val="restart"/>
                  <w:vAlign w:val="center"/>
                </w:tcPr>
                <w:p w14:paraId="45E4B4D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纸箱生产线</w:t>
                  </w:r>
                </w:p>
              </w:tc>
              <w:tc>
                <w:tcPr>
                  <w:tcW w:w="1495" w:type="dxa"/>
                  <w:gridSpan w:val="2"/>
                  <w:shd w:val="clear" w:color="auto" w:fill="auto"/>
                  <w:vAlign w:val="center"/>
                </w:tcPr>
                <w:p w14:paraId="71FB726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分纸</w:t>
                  </w:r>
                </w:p>
              </w:tc>
              <w:tc>
                <w:tcPr>
                  <w:tcW w:w="2668" w:type="dxa"/>
                  <w:shd w:val="clear" w:color="auto" w:fill="auto"/>
                  <w:vAlign w:val="center"/>
                </w:tcPr>
                <w:p w14:paraId="565FC2E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碰线机</w:t>
                  </w:r>
                </w:p>
              </w:tc>
              <w:tc>
                <w:tcPr>
                  <w:tcW w:w="863" w:type="dxa"/>
                  <w:shd w:val="clear" w:color="auto" w:fill="auto"/>
                  <w:vAlign w:val="center"/>
                </w:tcPr>
                <w:p w14:paraId="32C45B9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未建设</w:t>
                  </w:r>
                </w:p>
              </w:tc>
              <w:tc>
                <w:tcPr>
                  <w:tcW w:w="876" w:type="dxa"/>
                  <w:shd w:val="clear" w:color="auto" w:fill="auto"/>
                  <w:vAlign w:val="center"/>
                </w:tcPr>
                <w:p w14:paraId="0793FA0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未建设</w:t>
                  </w:r>
                </w:p>
              </w:tc>
              <w:tc>
                <w:tcPr>
                  <w:tcW w:w="1297" w:type="dxa"/>
                  <w:shd w:val="clear" w:color="auto" w:fill="auto"/>
                  <w:vAlign w:val="center"/>
                </w:tcPr>
                <w:p w14:paraId="31FAF45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依托</w:t>
                  </w:r>
                </w:p>
              </w:tc>
            </w:tr>
            <w:tr w14:paraId="4AFD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19D5152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7C20D91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印刷模切</w:t>
                  </w:r>
                </w:p>
              </w:tc>
              <w:tc>
                <w:tcPr>
                  <w:tcW w:w="2668" w:type="dxa"/>
                  <w:vAlign w:val="center"/>
                </w:tcPr>
                <w:p w14:paraId="13357A9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高速</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色</w:t>
                  </w:r>
                  <w:r>
                    <w:rPr>
                      <w:rFonts w:hint="default" w:ascii="Times New Roman" w:hAnsi="Times New Roman" w:eastAsia="宋体" w:cs="Times New Roman"/>
                      <w:bCs/>
                      <w:color w:val="auto"/>
                      <w:sz w:val="21"/>
                      <w:szCs w:val="21"/>
                      <w:lang w:val="en-US" w:eastAsia="zh-CN"/>
                    </w:rPr>
                    <w:t>印刷模切开槽机</w:t>
                  </w:r>
                </w:p>
              </w:tc>
              <w:tc>
                <w:tcPr>
                  <w:tcW w:w="863" w:type="dxa"/>
                  <w:vAlign w:val="center"/>
                </w:tcPr>
                <w:p w14:paraId="05AC928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76" w:type="dxa"/>
                  <w:vAlign w:val="center"/>
                </w:tcPr>
                <w:p w14:paraId="54F18EB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97" w:type="dxa"/>
                  <w:vAlign w:val="center"/>
                </w:tcPr>
                <w:p w14:paraId="487EFEB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依托</w:t>
                  </w:r>
                </w:p>
              </w:tc>
            </w:tr>
            <w:tr w14:paraId="6928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01DB2DBC">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507633A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钉</w:t>
                  </w:r>
                  <w:r>
                    <w:rPr>
                      <w:rFonts w:hint="default" w:ascii="Times New Roman" w:hAnsi="Times New Roman" w:eastAsia="宋体" w:cs="Times New Roman"/>
                      <w:color w:val="auto"/>
                      <w:szCs w:val="21"/>
                      <w:lang w:val="en-US" w:eastAsia="zh-CN"/>
                    </w:rPr>
                    <w:t>箱</w:t>
                  </w:r>
                </w:p>
              </w:tc>
              <w:tc>
                <w:tcPr>
                  <w:tcW w:w="2668" w:type="dxa"/>
                  <w:vAlign w:val="center"/>
                </w:tcPr>
                <w:p w14:paraId="61A95E6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双伺服钉箱机</w:t>
                  </w:r>
                </w:p>
              </w:tc>
              <w:tc>
                <w:tcPr>
                  <w:tcW w:w="863" w:type="dxa"/>
                  <w:vAlign w:val="center"/>
                </w:tcPr>
                <w:p w14:paraId="399744C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876" w:type="dxa"/>
                  <w:vAlign w:val="center"/>
                </w:tcPr>
                <w:p w14:paraId="6BC9FB2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1297" w:type="dxa"/>
                  <w:vAlign w:val="center"/>
                </w:tcPr>
                <w:p w14:paraId="7B3631F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依托</w:t>
                  </w:r>
                </w:p>
              </w:tc>
            </w:tr>
            <w:tr w14:paraId="3324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426E551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1DC26F1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粘箱</w:t>
                  </w:r>
                </w:p>
              </w:tc>
              <w:tc>
                <w:tcPr>
                  <w:tcW w:w="2668" w:type="dxa"/>
                  <w:vAlign w:val="center"/>
                </w:tcPr>
                <w:p w14:paraId="472D10E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全自动</w:t>
                  </w:r>
                  <w:r>
                    <w:rPr>
                      <w:rFonts w:hint="default" w:ascii="Times New Roman" w:hAnsi="Times New Roman" w:eastAsia="宋体" w:cs="Times New Roman"/>
                      <w:color w:val="auto"/>
                      <w:szCs w:val="21"/>
                      <w:lang w:val="en-US" w:eastAsia="zh-CN"/>
                    </w:rPr>
                    <w:t>粘箱</w:t>
                  </w:r>
                  <w:r>
                    <w:rPr>
                      <w:rFonts w:hint="default" w:ascii="Times New Roman" w:hAnsi="Times New Roman" w:eastAsia="宋体" w:cs="Times New Roman"/>
                      <w:color w:val="auto"/>
                      <w:szCs w:val="21"/>
                    </w:rPr>
                    <w:t>机</w:t>
                  </w:r>
                </w:p>
              </w:tc>
              <w:tc>
                <w:tcPr>
                  <w:tcW w:w="863" w:type="dxa"/>
                  <w:vAlign w:val="center"/>
                </w:tcPr>
                <w:p w14:paraId="26EF8E8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6CC3AF5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97" w:type="dxa"/>
                  <w:vAlign w:val="center"/>
                </w:tcPr>
                <w:p w14:paraId="4F3B5B2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依托</w:t>
                  </w:r>
                </w:p>
              </w:tc>
            </w:tr>
            <w:tr w14:paraId="7EE0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restart"/>
                  <w:vAlign w:val="center"/>
                </w:tcPr>
                <w:p w14:paraId="1BD7652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辅助单元</w:t>
                  </w:r>
                </w:p>
              </w:tc>
              <w:tc>
                <w:tcPr>
                  <w:tcW w:w="1495" w:type="dxa"/>
                  <w:gridSpan w:val="2"/>
                  <w:vMerge w:val="restart"/>
                  <w:vAlign w:val="center"/>
                </w:tcPr>
                <w:p w14:paraId="31504DE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装卸</w:t>
                  </w:r>
                </w:p>
              </w:tc>
              <w:tc>
                <w:tcPr>
                  <w:tcW w:w="2668" w:type="dxa"/>
                  <w:vAlign w:val="center"/>
                </w:tcPr>
                <w:p w14:paraId="70C879D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叉车</w:t>
                  </w:r>
                </w:p>
              </w:tc>
              <w:tc>
                <w:tcPr>
                  <w:tcW w:w="863" w:type="dxa"/>
                  <w:vAlign w:val="center"/>
                </w:tcPr>
                <w:p w14:paraId="55F81E4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5E2C479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3</w:t>
                  </w:r>
                </w:p>
              </w:tc>
              <w:tc>
                <w:tcPr>
                  <w:tcW w:w="1297" w:type="dxa"/>
                  <w:vAlign w:val="center"/>
                </w:tcPr>
                <w:p w14:paraId="2AAE618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新增2台</w:t>
                  </w:r>
                </w:p>
              </w:tc>
            </w:tr>
            <w:tr w14:paraId="3EE7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914" w:type="dxa"/>
                  <w:vMerge w:val="continue"/>
                  <w:vAlign w:val="center"/>
                </w:tcPr>
                <w:p w14:paraId="0879CC2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4398F82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668" w:type="dxa"/>
                  <w:vAlign w:val="center"/>
                </w:tcPr>
                <w:p w14:paraId="5E75257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抱车</w:t>
                  </w:r>
                </w:p>
              </w:tc>
              <w:tc>
                <w:tcPr>
                  <w:tcW w:w="863" w:type="dxa"/>
                  <w:vAlign w:val="center"/>
                </w:tcPr>
                <w:p w14:paraId="4F2C427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7B7388E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297" w:type="dxa"/>
                  <w:vAlign w:val="center"/>
                </w:tcPr>
                <w:p w14:paraId="6FFFAEF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依托</w:t>
                  </w:r>
                </w:p>
              </w:tc>
            </w:tr>
            <w:tr w14:paraId="28B3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914" w:type="dxa"/>
                  <w:vMerge w:val="continue"/>
                  <w:vAlign w:val="center"/>
                </w:tcPr>
                <w:p w14:paraId="107D097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restart"/>
                  <w:vAlign w:val="center"/>
                </w:tcPr>
                <w:p w14:paraId="442C6101">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压缩气体</w:t>
                  </w:r>
                </w:p>
              </w:tc>
              <w:tc>
                <w:tcPr>
                  <w:tcW w:w="2668" w:type="dxa"/>
                  <w:vAlign w:val="center"/>
                </w:tcPr>
                <w:p w14:paraId="74C975B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螺杆空压机</w:t>
                  </w:r>
                </w:p>
              </w:tc>
              <w:tc>
                <w:tcPr>
                  <w:tcW w:w="863" w:type="dxa"/>
                  <w:vAlign w:val="center"/>
                </w:tcPr>
                <w:p w14:paraId="619DEEC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876" w:type="dxa"/>
                  <w:vAlign w:val="center"/>
                </w:tcPr>
                <w:p w14:paraId="2F026DC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297" w:type="dxa"/>
                  <w:vAlign w:val="center"/>
                </w:tcPr>
                <w:p w14:paraId="300E1CC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新增</w:t>
                  </w:r>
                </w:p>
              </w:tc>
            </w:tr>
            <w:tr w14:paraId="6AA9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914" w:type="dxa"/>
                  <w:vMerge w:val="continue"/>
                  <w:vAlign w:val="center"/>
                </w:tcPr>
                <w:p w14:paraId="6076009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79418801">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668" w:type="dxa"/>
                  <w:vAlign w:val="center"/>
                </w:tcPr>
                <w:p w14:paraId="29040A5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2.5m³压缩气体罐</w:t>
                  </w:r>
                </w:p>
              </w:tc>
              <w:tc>
                <w:tcPr>
                  <w:tcW w:w="863" w:type="dxa"/>
                  <w:vAlign w:val="center"/>
                </w:tcPr>
                <w:p w14:paraId="67ABF22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876" w:type="dxa"/>
                  <w:vAlign w:val="center"/>
                </w:tcPr>
                <w:p w14:paraId="79DC692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297" w:type="dxa"/>
                  <w:vAlign w:val="center"/>
                </w:tcPr>
                <w:p w14:paraId="611601D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新增</w:t>
                  </w:r>
                </w:p>
              </w:tc>
            </w:tr>
            <w:tr w14:paraId="5A35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14" w:type="dxa"/>
                  <w:vMerge w:val="continue"/>
                  <w:vAlign w:val="center"/>
                </w:tcPr>
                <w:p w14:paraId="4079059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restart"/>
                  <w:vAlign w:val="center"/>
                </w:tcPr>
                <w:p w14:paraId="4B52529A">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供汽</w:t>
                  </w:r>
                </w:p>
              </w:tc>
              <w:tc>
                <w:tcPr>
                  <w:tcW w:w="2668" w:type="dxa"/>
                  <w:vAlign w:val="center"/>
                </w:tcPr>
                <w:p w14:paraId="278CB3A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4t/h生物质锅炉</w:t>
                  </w:r>
                </w:p>
              </w:tc>
              <w:tc>
                <w:tcPr>
                  <w:tcW w:w="863" w:type="dxa"/>
                  <w:vAlign w:val="center"/>
                </w:tcPr>
                <w:p w14:paraId="79A5CB7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c>
                <w:tcPr>
                  <w:tcW w:w="876" w:type="dxa"/>
                  <w:vAlign w:val="center"/>
                </w:tcPr>
                <w:p w14:paraId="6ACAB67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39C057A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新增</w:t>
                  </w:r>
                </w:p>
              </w:tc>
            </w:tr>
            <w:tr w14:paraId="201B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14" w:type="dxa"/>
                  <w:vMerge w:val="continue"/>
                  <w:vAlign w:val="center"/>
                </w:tcPr>
                <w:p w14:paraId="6892597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0B1E6967">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668" w:type="dxa"/>
                  <w:vAlign w:val="center"/>
                </w:tcPr>
                <w:p w14:paraId="3EA3354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供汽管道</w:t>
                  </w:r>
                </w:p>
              </w:tc>
              <w:tc>
                <w:tcPr>
                  <w:tcW w:w="863" w:type="dxa"/>
                  <w:vAlign w:val="center"/>
                </w:tcPr>
                <w:p w14:paraId="514C47C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c>
                <w:tcPr>
                  <w:tcW w:w="876" w:type="dxa"/>
                  <w:vAlign w:val="center"/>
                </w:tcPr>
                <w:p w14:paraId="43C2972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1B87270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w:t>
                  </w:r>
                </w:p>
              </w:tc>
            </w:tr>
            <w:tr w14:paraId="4E9B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914" w:type="dxa"/>
                  <w:vMerge w:val="continue"/>
                  <w:vAlign w:val="center"/>
                </w:tcPr>
                <w:p w14:paraId="6F76A15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5274E3B4">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668" w:type="dxa"/>
                  <w:vAlign w:val="center"/>
                </w:tcPr>
                <w:p w14:paraId="6E13E6A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冷凝水热缸回水系统</w:t>
                  </w:r>
                </w:p>
              </w:tc>
              <w:tc>
                <w:tcPr>
                  <w:tcW w:w="863" w:type="dxa"/>
                  <w:vAlign w:val="center"/>
                </w:tcPr>
                <w:p w14:paraId="273A81EC">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c>
                <w:tcPr>
                  <w:tcW w:w="876" w:type="dxa"/>
                  <w:vAlign w:val="center"/>
                </w:tcPr>
                <w:p w14:paraId="773C163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3529377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w:t>
                  </w:r>
                </w:p>
              </w:tc>
            </w:tr>
            <w:tr w14:paraId="652E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914" w:type="dxa"/>
                  <w:vMerge w:val="continue"/>
                  <w:vAlign w:val="center"/>
                </w:tcPr>
                <w:p w14:paraId="0DAF367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27489F49">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668" w:type="dxa"/>
                  <w:vAlign w:val="center"/>
                </w:tcPr>
                <w:p w14:paraId="65480E0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5m³的回水罐</w:t>
                  </w:r>
                </w:p>
              </w:tc>
              <w:tc>
                <w:tcPr>
                  <w:tcW w:w="863" w:type="dxa"/>
                  <w:vAlign w:val="center"/>
                </w:tcPr>
                <w:p w14:paraId="3599576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c>
                <w:tcPr>
                  <w:tcW w:w="876" w:type="dxa"/>
                  <w:vAlign w:val="center"/>
                </w:tcPr>
                <w:p w14:paraId="41F031B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0932D96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w:t>
                  </w:r>
                </w:p>
              </w:tc>
            </w:tr>
            <w:tr w14:paraId="61D2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914" w:type="dxa"/>
                  <w:vMerge w:val="continue"/>
                  <w:vAlign w:val="center"/>
                </w:tcPr>
                <w:p w14:paraId="774F236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restart"/>
                  <w:vAlign w:val="center"/>
                </w:tcPr>
                <w:p w14:paraId="5ACE5CA0">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软水制备</w:t>
                  </w:r>
                </w:p>
              </w:tc>
              <w:tc>
                <w:tcPr>
                  <w:tcW w:w="2668" w:type="dxa"/>
                  <w:vAlign w:val="center"/>
                </w:tcPr>
                <w:p w14:paraId="6C6A477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4t/h</w:t>
                  </w:r>
                </w:p>
              </w:tc>
              <w:tc>
                <w:tcPr>
                  <w:tcW w:w="863" w:type="dxa"/>
                  <w:vAlign w:val="center"/>
                </w:tcPr>
                <w:p w14:paraId="52ED8A5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c>
                <w:tcPr>
                  <w:tcW w:w="876" w:type="dxa"/>
                  <w:vAlign w:val="center"/>
                </w:tcPr>
                <w:p w14:paraId="1C41C72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44EE24E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lang w:val="en-US" w:eastAsia="zh-CN"/>
                    </w:rPr>
                    <w:t>新增</w:t>
                  </w:r>
                </w:p>
              </w:tc>
            </w:tr>
            <w:tr w14:paraId="0B43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914" w:type="dxa"/>
                  <w:vMerge w:val="continue"/>
                  <w:vAlign w:val="center"/>
                </w:tcPr>
                <w:p w14:paraId="3D8F102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Merge w:val="continue"/>
                  <w:vAlign w:val="center"/>
                </w:tcPr>
                <w:p w14:paraId="675BC6D8">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2668" w:type="dxa"/>
                  <w:vAlign w:val="center"/>
                </w:tcPr>
                <w:p w14:paraId="72688C5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5m³的软水罐</w:t>
                  </w:r>
                </w:p>
              </w:tc>
              <w:tc>
                <w:tcPr>
                  <w:tcW w:w="863" w:type="dxa"/>
                  <w:vAlign w:val="center"/>
                </w:tcPr>
                <w:p w14:paraId="4863AA4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p>
              </w:tc>
              <w:tc>
                <w:tcPr>
                  <w:tcW w:w="876" w:type="dxa"/>
                  <w:vAlign w:val="center"/>
                </w:tcPr>
                <w:p w14:paraId="541C0D1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09BCDADC">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w:t>
                  </w:r>
                </w:p>
              </w:tc>
            </w:tr>
            <w:tr w14:paraId="4879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restart"/>
                  <w:vAlign w:val="center"/>
                </w:tcPr>
                <w:p w14:paraId="49573DF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环保设施</w:t>
                  </w:r>
                </w:p>
              </w:tc>
              <w:tc>
                <w:tcPr>
                  <w:tcW w:w="500" w:type="dxa"/>
                  <w:vAlign w:val="center"/>
                </w:tcPr>
                <w:p w14:paraId="32F06D7E">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995" w:type="dxa"/>
                  <w:vAlign w:val="center"/>
                </w:tcPr>
                <w:p w14:paraId="4CA548E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有机废气</w:t>
                  </w:r>
                </w:p>
              </w:tc>
              <w:tc>
                <w:tcPr>
                  <w:tcW w:w="2668" w:type="dxa"/>
                  <w:vAlign w:val="center"/>
                </w:tcPr>
                <w:p w14:paraId="7BEB70E1">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集气罩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隔断间+“</w:t>
                  </w:r>
                  <w:r>
                    <w:rPr>
                      <w:rFonts w:hint="default" w:ascii="Times New Roman" w:hAnsi="Times New Roman" w:eastAsia="宋体" w:cs="Times New Roman"/>
                      <w:color w:val="auto"/>
                      <w:kern w:val="0"/>
                      <w:sz w:val="21"/>
                      <w:szCs w:val="21"/>
                      <w:lang w:eastAsia="zh-CN"/>
                    </w:rPr>
                    <w:t>两级活性炭</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5m排气筒</w:t>
                  </w:r>
                </w:p>
              </w:tc>
              <w:tc>
                <w:tcPr>
                  <w:tcW w:w="863" w:type="dxa"/>
                  <w:vAlign w:val="center"/>
                </w:tcPr>
                <w:p w14:paraId="12565E3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5EBD1A5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1668AB1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依托</w:t>
                  </w:r>
                </w:p>
              </w:tc>
            </w:tr>
            <w:tr w14:paraId="71B6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1FB1391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1495" w:type="dxa"/>
                  <w:gridSpan w:val="2"/>
                  <w:vAlign w:val="center"/>
                </w:tcPr>
                <w:p w14:paraId="6CE70A87">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2668" w:type="dxa"/>
                  <w:vAlign w:val="center"/>
                </w:tcPr>
                <w:p w14:paraId="768BD693">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减震垫、厂房隔声、风机安装消声器，等降噪措施</w:t>
                  </w:r>
                </w:p>
              </w:tc>
              <w:tc>
                <w:tcPr>
                  <w:tcW w:w="863" w:type="dxa"/>
                  <w:vAlign w:val="center"/>
                </w:tcPr>
                <w:p w14:paraId="6DB3B73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2614A29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2288B5E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4082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14" w:type="dxa"/>
                  <w:vMerge w:val="continue"/>
                  <w:vAlign w:val="center"/>
                </w:tcPr>
                <w:p w14:paraId="04DF527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restart"/>
                  <w:vAlign w:val="center"/>
                </w:tcPr>
                <w:p w14:paraId="066B32A4">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995" w:type="dxa"/>
                  <w:vAlign w:val="center"/>
                </w:tcPr>
                <w:p w14:paraId="598272C7">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化粪池</w:t>
                  </w:r>
                </w:p>
              </w:tc>
              <w:tc>
                <w:tcPr>
                  <w:tcW w:w="2668" w:type="dxa"/>
                  <w:vAlign w:val="center"/>
                </w:tcPr>
                <w:p w14:paraId="7C7A14C8">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m³化粪池</w:t>
                  </w:r>
                  <w:r>
                    <w:rPr>
                      <w:rFonts w:hint="default" w:ascii="Times New Roman" w:hAnsi="Times New Roman" w:eastAsia="宋体" w:cs="Times New Roman"/>
                      <w:bCs/>
                      <w:color w:val="auto"/>
                    </w:rPr>
                    <w:t>（TW001）</w:t>
                  </w:r>
                </w:p>
              </w:tc>
              <w:tc>
                <w:tcPr>
                  <w:tcW w:w="863" w:type="dxa"/>
                  <w:vAlign w:val="center"/>
                </w:tcPr>
                <w:p w14:paraId="727C2A5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7476910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2071958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w:t>
                  </w:r>
                </w:p>
              </w:tc>
            </w:tr>
            <w:tr w14:paraId="69A6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14" w:type="dxa"/>
                  <w:vMerge w:val="continue"/>
                  <w:vAlign w:val="center"/>
                </w:tcPr>
                <w:p w14:paraId="2FBB88D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58BC1FA2">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995" w:type="dxa"/>
                  <w:vAlign w:val="center"/>
                </w:tcPr>
                <w:p w14:paraId="3F83A981">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生产废水预处理</w:t>
                  </w:r>
                </w:p>
              </w:tc>
              <w:tc>
                <w:tcPr>
                  <w:tcW w:w="2668" w:type="dxa"/>
                  <w:vAlign w:val="center"/>
                </w:tcPr>
                <w:p w14:paraId="06ACE14F">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1.3m³收集池收集+</w:t>
                  </w:r>
                  <w:r>
                    <w:rPr>
                      <w:rFonts w:hint="default" w:ascii="Times New Roman" w:hAnsi="Times New Roman" w:eastAsia="宋体" w:cs="Times New Roman"/>
                      <w:color w:val="auto"/>
                      <w:lang w:val="en-US" w:eastAsia="zh-CN"/>
                    </w:rPr>
                    <w:t>2m³/d</w:t>
                  </w:r>
                  <w:r>
                    <w:rPr>
                      <w:rFonts w:hint="default" w:ascii="Times New Roman" w:hAnsi="Times New Roman" w:eastAsia="宋体" w:cs="Times New Roman"/>
                      <w:color w:val="auto"/>
                      <w:sz w:val="21"/>
                      <w:szCs w:val="21"/>
                      <w:lang w:val="en-US" w:eastAsia="zh-CN"/>
                    </w:rPr>
                    <w:t>清洗废水预处理设施</w:t>
                  </w:r>
                </w:p>
              </w:tc>
              <w:tc>
                <w:tcPr>
                  <w:tcW w:w="863" w:type="dxa"/>
                  <w:vAlign w:val="center"/>
                </w:tcPr>
                <w:p w14:paraId="4D64C3E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876" w:type="dxa"/>
                  <w:vAlign w:val="center"/>
                </w:tcPr>
                <w:p w14:paraId="621D0E7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073F566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w:t>
                  </w:r>
                </w:p>
              </w:tc>
            </w:tr>
            <w:tr w14:paraId="2A99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14" w:type="dxa"/>
                  <w:vMerge w:val="continue"/>
                  <w:vAlign w:val="center"/>
                </w:tcPr>
                <w:p w14:paraId="5C65AD8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6A5E38D4">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995" w:type="dxa"/>
                  <w:vAlign w:val="center"/>
                </w:tcPr>
                <w:p w14:paraId="087964DD">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污水处理</w:t>
                  </w:r>
                </w:p>
              </w:tc>
              <w:tc>
                <w:tcPr>
                  <w:tcW w:w="2668" w:type="dxa"/>
                  <w:vAlign w:val="center"/>
                </w:tcPr>
                <w:p w14:paraId="3CC18C6D">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40m³/d污水处理站</w:t>
                  </w:r>
                </w:p>
              </w:tc>
              <w:tc>
                <w:tcPr>
                  <w:tcW w:w="863" w:type="dxa"/>
                  <w:vAlign w:val="center"/>
                </w:tcPr>
                <w:p w14:paraId="38B0F5F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876" w:type="dxa"/>
                  <w:vAlign w:val="center"/>
                </w:tcPr>
                <w:p w14:paraId="7EE5CAD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297" w:type="dxa"/>
                  <w:vAlign w:val="center"/>
                </w:tcPr>
                <w:p w14:paraId="7DEA26F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w:t>
                  </w:r>
                </w:p>
              </w:tc>
            </w:tr>
            <w:tr w14:paraId="4A69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1976853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restart"/>
                  <w:vAlign w:val="center"/>
                </w:tcPr>
                <w:p w14:paraId="0193DA9E">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995" w:type="dxa"/>
                  <w:vAlign w:val="center"/>
                </w:tcPr>
                <w:p w14:paraId="2036A2C3">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668" w:type="dxa"/>
                  <w:vAlign w:val="center"/>
                </w:tcPr>
                <w:p w14:paraId="6B0ED1A1">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垃圾桶（TS002）</w:t>
                  </w:r>
                </w:p>
              </w:tc>
              <w:tc>
                <w:tcPr>
                  <w:tcW w:w="863" w:type="dxa"/>
                  <w:vAlign w:val="center"/>
                </w:tcPr>
                <w:p w14:paraId="328CFB1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若干</w:t>
                  </w:r>
                </w:p>
              </w:tc>
              <w:tc>
                <w:tcPr>
                  <w:tcW w:w="876" w:type="dxa"/>
                  <w:vAlign w:val="center"/>
                </w:tcPr>
                <w:p w14:paraId="0F8E084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若干</w:t>
                  </w:r>
                </w:p>
              </w:tc>
              <w:tc>
                <w:tcPr>
                  <w:tcW w:w="1297" w:type="dxa"/>
                  <w:vAlign w:val="center"/>
                </w:tcPr>
                <w:p w14:paraId="6588C13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依托</w:t>
                  </w:r>
                </w:p>
              </w:tc>
            </w:tr>
            <w:tr w14:paraId="7729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4C598C8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22701C50">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995" w:type="dxa"/>
                  <w:vAlign w:val="center"/>
                </w:tcPr>
                <w:p w14:paraId="41FAEEA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一般工业固废</w:t>
                  </w:r>
                </w:p>
              </w:tc>
              <w:tc>
                <w:tcPr>
                  <w:tcW w:w="2668" w:type="dxa"/>
                  <w:vAlign w:val="center"/>
                </w:tcPr>
                <w:p w14:paraId="52A30C82">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50㎡的一般固废暂存间（TS001）</w:t>
                  </w:r>
                </w:p>
              </w:tc>
              <w:tc>
                <w:tcPr>
                  <w:tcW w:w="863" w:type="dxa"/>
                  <w:vAlign w:val="center"/>
                </w:tcPr>
                <w:p w14:paraId="5423B0C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876" w:type="dxa"/>
                  <w:vAlign w:val="center"/>
                </w:tcPr>
                <w:p w14:paraId="7832B5F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1297" w:type="dxa"/>
                  <w:vAlign w:val="center"/>
                </w:tcPr>
                <w:p w14:paraId="78412B5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依托</w:t>
                  </w:r>
                </w:p>
              </w:tc>
            </w:tr>
            <w:tr w14:paraId="487D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0D06B83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55D5370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995" w:type="dxa"/>
                  <w:vAlign w:val="center"/>
                </w:tcPr>
                <w:p w14:paraId="6FAD9BE0">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tc>
              <w:tc>
                <w:tcPr>
                  <w:tcW w:w="2668" w:type="dxa"/>
                  <w:vAlign w:val="center"/>
                </w:tcPr>
                <w:p w14:paraId="7241DC61">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的危废暂存间（TS003）</w:t>
                  </w:r>
                </w:p>
              </w:tc>
              <w:tc>
                <w:tcPr>
                  <w:tcW w:w="863" w:type="dxa"/>
                  <w:vAlign w:val="center"/>
                </w:tcPr>
                <w:p w14:paraId="63B066C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876" w:type="dxa"/>
                  <w:vAlign w:val="center"/>
                </w:tcPr>
                <w:p w14:paraId="250F333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p>
              </w:tc>
              <w:tc>
                <w:tcPr>
                  <w:tcW w:w="1297" w:type="dxa"/>
                  <w:vAlign w:val="center"/>
                </w:tcPr>
                <w:p w14:paraId="0162DB2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依托</w:t>
                  </w:r>
                </w:p>
              </w:tc>
            </w:tr>
          </w:tbl>
          <w:p w14:paraId="296719AA">
            <w:pPr>
              <w:pStyle w:val="38"/>
              <w:ind w:firstLine="420" w:firstLineChars="20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搬迁后原有瓦楞纸板项目设备设施处置情况如下：</w:t>
            </w:r>
          </w:p>
          <w:p w14:paraId="6E079455">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表2-3-2  原有</w:t>
            </w:r>
            <w:r>
              <w:rPr>
                <w:rFonts w:hint="default" w:ascii="Times New Roman" w:hAnsi="Times New Roman" w:eastAsia="宋体" w:cs="Times New Roman"/>
                <w:b/>
                <w:bCs/>
                <w:color w:val="auto"/>
                <w:lang w:val="en-US" w:eastAsia="zh-CN"/>
              </w:rPr>
              <w:t>瓦楞纸板项目</w:t>
            </w:r>
            <w:r>
              <w:rPr>
                <w:rFonts w:hint="default" w:ascii="Times New Roman" w:hAnsi="Times New Roman" w:eastAsia="宋体" w:cs="Times New Roman"/>
                <w:b/>
                <w:bCs/>
                <w:color w:val="auto"/>
                <w:kern w:val="2"/>
                <w:sz w:val="21"/>
                <w:szCs w:val="21"/>
                <w:lang w:val="en-US" w:eastAsia="zh-CN" w:bidi="ar-SA"/>
              </w:rPr>
              <w:t>主要生产设备一览表</w:t>
            </w:r>
          </w:p>
          <w:tbl>
            <w:tblPr>
              <w:tblStyle w:val="26"/>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945"/>
              <w:gridCol w:w="2257"/>
              <w:gridCol w:w="1460"/>
              <w:gridCol w:w="1885"/>
            </w:tblGrid>
            <w:tr w14:paraId="0A6C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97" w:type="dxa"/>
                  <w:vAlign w:val="center"/>
                </w:tcPr>
                <w:p w14:paraId="1EDD0F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序号</w:t>
                  </w:r>
                </w:p>
              </w:tc>
              <w:tc>
                <w:tcPr>
                  <w:tcW w:w="1945" w:type="dxa"/>
                  <w:vAlign w:val="center"/>
                </w:tcPr>
                <w:p w14:paraId="3CFE6E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设备名称</w:t>
                  </w:r>
                </w:p>
              </w:tc>
              <w:tc>
                <w:tcPr>
                  <w:tcW w:w="2257" w:type="dxa"/>
                  <w:vAlign w:val="center"/>
                </w:tcPr>
                <w:p w14:paraId="372CD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规格型号</w:t>
                  </w:r>
                </w:p>
              </w:tc>
              <w:tc>
                <w:tcPr>
                  <w:tcW w:w="1460" w:type="dxa"/>
                  <w:vAlign w:val="center"/>
                </w:tcPr>
                <w:p w14:paraId="6DAA56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数量（台、套）</w:t>
                  </w:r>
                </w:p>
              </w:tc>
              <w:tc>
                <w:tcPr>
                  <w:tcW w:w="1885" w:type="dxa"/>
                  <w:vAlign w:val="center"/>
                </w:tcPr>
                <w:p w14:paraId="075C5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备注</w:t>
                  </w:r>
                </w:p>
              </w:tc>
            </w:tr>
            <w:tr w14:paraId="4BAE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7" w:type="dxa"/>
                  <w:vAlign w:val="center"/>
                </w:tcPr>
                <w:p w14:paraId="3D93A36D">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945" w:type="dxa"/>
                  <w:vAlign w:val="center"/>
                </w:tcPr>
                <w:p w14:paraId="6CE111B1">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液压无轴纸架</w:t>
                  </w:r>
                </w:p>
              </w:tc>
              <w:tc>
                <w:tcPr>
                  <w:tcW w:w="2257" w:type="dxa"/>
                  <w:vAlign w:val="center"/>
                </w:tcPr>
                <w:p w14:paraId="4A79728E">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YWZJ型</w:t>
                  </w:r>
                </w:p>
              </w:tc>
              <w:tc>
                <w:tcPr>
                  <w:tcW w:w="1460" w:type="dxa"/>
                  <w:vAlign w:val="center"/>
                </w:tcPr>
                <w:p w14:paraId="54EE920D">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1885" w:type="dxa"/>
                  <w:vMerge w:val="restart"/>
                  <w:vAlign w:val="center"/>
                </w:tcPr>
                <w:p w14:paraId="61B22740">
                  <w:pPr>
                    <w:pStyle w:val="32"/>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拆除，作为废弃资源外售</w:t>
                  </w:r>
                </w:p>
              </w:tc>
            </w:tr>
            <w:tr w14:paraId="5E49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7" w:type="dxa"/>
                  <w:vAlign w:val="center"/>
                </w:tcPr>
                <w:p w14:paraId="6C7AC3BB">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945" w:type="dxa"/>
                  <w:vAlign w:val="center"/>
                </w:tcPr>
                <w:p w14:paraId="7FE3B4BD">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单面瓦楞机</w:t>
                  </w:r>
                </w:p>
              </w:tc>
              <w:tc>
                <w:tcPr>
                  <w:tcW w:w="2257" w:type="dxa"/>
                  <w:vAlign w:val="center"/>
                </w:tcPr>
                <w:p w14:paraId="2603CAA7">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DW-B型</w:t>
                  </w:r>
                </w:p>
              </w:tc>
              <w:tc>
                <w:tcPr>
                  <w:tcW w:w="1460" w:type="dxa"/>
                  <w:vAlign w:val="center"/>
                </w:tcPr>
                <w:p w14:paraId="5F1280AB">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1885" w:type="dxa"/>
                  <w:vMerge w:val="continue"/>
                  <w:vAlign w:val="center"/>
                </w:tcPr>
                <w:p w14:paraId="7231A5B2">
                  <w:pPr>
                    <w:pStyle w:val="32"/>
                    <w:bidi w:val="0"/>
                    <w:ind w:firstLine="0" w:firstLineChars="0"/>
                    <w:jc w:val="center"/>
                    <w:rPr>
                      <w:rFonts w:hint="default" w:ascii="Times New Roman" w:hAnsi="Times New Roman" w:eastAsia="宋体" w:cs="Times New Roman"/>
                      <w:color w:val="auto"/>
                      <w:lang w:eastAsia="zh-CN"/>
                    </w:rPr>
                  </w:pPr>
                </w:p>
              </w:tc>
            </w:tr>
            <w:tr w14:paraId="73FF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7B614F69">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1945" w:type="dxa"/>
                  <w:vAlign w:val="center"/>
                </w:tcPr>
                <w:p w14:paraId="591FFE8F">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面纸预热器</w:t>
                  </w:r>
                </w:p>
              </w:tc>
              <w:tc>
                <w:tcPr>
                  <w:tcW w:w="2257" w:type="dxa"/>
                  <w:vAlign w:val="center"/>
                </w:tcPr>
                <w:p w14:paraId="7CB9C394">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XYR1000型</w:t>
                  </w:r>
                </w:p>
              </w:tc>
              <w:tc>
                <w:tcPr>
                  <w:tcW w:w="1460" w:type="dxa"/>
                  <w:vAlign w:val="center"/>
                </w:tcPr>
                <w:p w14:paraId="6F7D264A">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885" w:type="dxa"/>
                  <w:vMerge w:val="continue"/>
                  <w:vAlign w:val="center"/>
                </w:tcPr>
                <w:p w14:paraId="5413B2D0">
                  <w:pPr>
                    <w:pStyle w:val="32"/>
                    <w:bidi w:val="0"/>
                    <w:ind w:firstLine="0" w:firstLineChars="0"/>
                    <w:jc w:val="center"/>
                    <w:rPr>
                      <w:rFonts w:hint="default" w:ascii="Times New Roman" w:hAnsi="Times New Roman" w:eastAsia="宋体" w:cs="Times New Roman"/>
                      <w:color w:val="auto"/>
                      <w:lang w:eastAsia="zh-CN"/>
                    </w:rPr>
                  </w:pPr>
                </w:p>
              </w:tc>
            </w:tr>
            <w:tr w14:paraId="3E55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69868642">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945" w:type="dxa"/>
                  <w:vAlign w:val="center"/>
                </w:tcPr>
                <w:p w14:paraId="4767E9C3">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旋转式预热器</w:t>
                  </w:r>
                </w:p>
              </w:tc>
              <w:tc>
                <w:tcPr>
                  <w:tcW w:w="2257" w:type="dxa"/>
                  <w:vAlign w:val="center"/>
                </w:tcPr>
                <w:p w14:paraId="68389BEA">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XYT1000型</w:t>
                  </w:r>
                </w:p>
              </w:tc>
              <w:tc>
                <w:tcPr>
                  <w:tcW w:w="1460" w:type="dxa"/>
                  <w:vAlign w:val="center"/>
                </w:tcPr>
                <w:p w14:paraId="5925B75D">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133235E5">
                  <w:pPr>
                    <w:pStyle w:val="32"/>
                    <w:bidi w:val="0"/>
                    <w:ind w:firstLine="0" w:firstLineChars="0"/>
                    <w:jc w:val="center"/>
                    <w:rPr>
                      <w:rFonts w:hint="default" w:ascii="Times New Roman" w:hAnsi="Times New Roman" w:eastAsia="宋体" w:cs="Times New Roman"/>
                      <w:color w:val="auto"/>
                      <w:lang w:eastAsia="zh-CN"/>
                    </w:rPr>
                  </w:pPr>
                </w:p>
              </w:tc>
            </w:tr>
            <w:tr w14:paraId="0678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16013251">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1945" w:type="dxa"/>
                  <w:vAlign w:val="center"/>
                </w:tcPr>
                <w:p w14:paraId="5D396FBE">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输送天桥</w:t>
                  </w:r>
                </w:p>
              </w:tc>
              <w:tc>
                <w:tcPr>
                  <w:tcW w:w="2257" w:type="dxa"/>
                  <w:vAlign w:val="center"/>
                </w:tcPr>
                <w:p w14:paraId="070DEABF">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GQ-ⅢC 型</w:t>
                  </w:r>
                </w:p>
              </w:tc>
              <w:tc>
                <w:tcPr>
                  <w:tcW w:w="1460" w:type="dxa"/>
                  <w:vAlign w:val="center"/>
                </w:tcPr>
                <w:p w14:paraId="176E4387">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3B5A404B">
                  <w:pPr>
                    <w:pStyle w:val="32"/>
                    <w:bidi w:val="0"/>
                    <w:ind w:firstLine="0" w:firstLineChars="0"/>
                    <w:jc w:val="center"/>
                    <w:rPr>
                      <w:rFonts w:hint="default" w:ascii="Times New Roman" w:hAnsi="Times New Roman" w:eastAsia="宋体" w:cs="Times New Roman"/>
                      <w:color w:val="auto"/>
                      <w:lang w:eastAsia="zh-CN"/>
                    </w:rPr>
                  </w:pPr>
                </w:p>
              </w:tc>
            </w:tr>
            <w:tr w14:paraId="797A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43DDA019">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1945" w:type="dxa"/>
                  <w:vAlign w:val="center"/>
                </w:tcPr>
                <w:p w14:paraId="13D6D966">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三面上胶机</w:t>
                  </w:r>
                </w:p>
              </w:tc>
              <w:tc>
                <w:tcPr>
                  <w:tcW w:w="2257" w:type="dxa"/>
                  <w:vAlign w:val="center"/>
                </w:tcPr>
                <w:p w14:paraId="7A7C45A2">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SJ-DB型</w:t>
                  </w:r>
                </w:p>
              </w:tc>
              <w:tc>
                <w:tcPr>
                  <w:tcW w:w="1460" w:type="dxa"/>
                  <w:vAlign w:val="center"/>
                </w:tcPr>
                <w:p w14:paraId="721C17EF">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219C07B3">
                  <w:pPr>
                    <w:pStyle w:val="32"/>
                    <w:bidi w:val="0"/>
                    <w:ind w:firstLine="0" w:firstLineChars="0"/>
                    <w:jc w:val="center"/>
                    <w:rPr>
                      <w:rFonts w:hint="default" w:ascii="Times New Roman" w:hAnsi="Times New Roman" w:eastAsia="宋体" w:cs="Times New Roman"/>
                      <w:color w:val="auto"/>
                      <w:lang w:eastAsia="zh-CN"/>
                    </w:rPr>
                  </w:pPr>
                </w:p>
              </w:tc>
            </w:tr>
            <w:tr w14:paraId="47A7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7F754BB5">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1945" w:type="dxa"/>
                  <w:vAlign w:val="center"/>
                </w:tcPr>
                <w:p w14:paraId="163E6584">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四重预热机</w:t>
                  </w:r>
                </w:p>
              </w:tc>
              <w:tc>
                <w:tcPr>
                  <w:tcW w:w="2257" w:type="dxa"/>
                  <w:vAlign w:val="center"/>
                </w:tcPr>
                <w:p w14:paraId="26EB85A1">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预热轮直径1000mm</w:t>
                  </w:r>
                </w:p>
              </w:tc>
              <w:tc>
                <w:tcPr>
                  <w:tcW w:w="1460" w:type="dxa"/>
                  <w:vAlign w:val="center"/>
                </w:tcPr>
                <w:p w14:paraId="1CFB75CC">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355A30BE">
                  <w:pPr>
                    <w:pStyle w:val="32"/>
                    <w:bidi w:val="0"/>
                    <w:ind w:firstLine="0" w:firstLineChars="0"/>
                    <w:jc w:val="center"/>
                    <w:rPr>
                      <w:rFonts w:hint="default" w:ascii="Times New Roman" w:hAnsi="Times New Roman" w:eastAsia="宋体" w:cs="Times New Roman"/>
                      <w:color w:val="auto"/>
                      <w:lang w:eastAsia="zh-CN"/>
                    </w:rPr>
                  </w:pPr>
                </w:p>
              </w:tc>
            </w:tr>
            <w:tr w14:paraId="2175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06E29254">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1945" w:type="dxa"/>
                  <w:vAlign w:val="center"/>
                </w:tcPr>
                <w:p w14:paraId="69D2114D">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粘合烘干机</w:t>
                  </w:r>
                </w:p>
              </w:tc>
              <w:tc>
                <w:tcPr>
                  <w:tcW w:w="2257" w:type="dxa"/>
                  <w:vAlign w:val="center"/>
                </w:tcPr>
                <w:p w14:paraId="00E0E146">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ZH-C 型</w:t>
                  </w:r>
                </w:p>
              </w:tc>
              <w:tc>
                <w:tcPr>
                  <w:tcW w:w="1460" w:type="dxa"/>
                  <w:vAlign w:val="center"/>
                </w:tcPr>
                <w:p w14:paraId="1AD8FDC6">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323BF444">
                  <w:pPr>
                    <w:pStyle w:val="32"/>
                    <w:bidi w:val="0"/>
                    <w:ind w:firstLine="0" w:firstLineChars="0"/>
                    <w:jc w:val="center"/>
                    <w:rPr>
                      <w:rFonts w:hint="default" w:ascii="Times New Roman" w:hAnsi="Times New Roman" w:eastAsia="宋体" w:cs="Times New Roman"/>
                      <w:color w:val="auto"/>
                      <w:lang w:eastAsia="zh-CN"/>
                    </w:rPr>
                  </w:pPr>
                </w:p>
              </w:tc>
            </w:tr>
            <w:tr w14:paraId="24D7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18CB328C">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9</w:t>
                  </w:r>
                </w:p>
              </w:tc>
              <w:tc>
                <w:tcPr>
                  <w:tcW w:w="1945" w:type="dxa"/>
                  <w:vAlign w:val="center"/>
                </w:tcPr>
                <w:p w14:paraId="6623B39B">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棉织压机</w:t>
                  </w:r>
                </w:p>
              </w:tc>
              <w:tc>
                <w:tcPr>
                  <w:tcW w:w="2257" w:type="dxa"/>
                  <w:vAlign w:val="center"/>
                </w:tcPr>
                <w:p w14:paraId="5CA5AE2C">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460" w:type="dxa"/>
                  <w:vAlign w:val="center"/>
                </w:tcPr>
                <w:p w14:paraId="49E44BFA">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7DB90AFE">
                  <w:pPr>
                    <w:pStyle w:val="32"/>
                    <w:bidi w:val="0"/>
                    <w:ind w:firstLine="0" w:firstLineChars="0"/>
                    <w:jc w:val="center"/>
                    <w:rPr>
                      <w:rFonts w:hint="default" w:ascii="Times New Roman" w:hAnsi="Times New Roman" w:eastAsia="宋体" w:cs="Times New Roman"/>
                      <w:color w:val="auto"/>
                      <w:lang w:val="en-US" w:eastAsia="zh-CN"/>
                    </w:rPr>
                  </w:pPr>
                </w:p>
              </w:tc>
            </w:tr>
            <w:tr w14:paraId="0059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10FD2DC9">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10</w:t>
                  </w:r>
                </w:p>
              </w:tc>
              <w:tc>
                <w:tcPr>
                  <w:tcW w:w="1945" w:type="dxa"/>
                  <w:shd w:val="clear" w:color="auto" w:fill="auto"/>
                  <w:vAlign w:val="center"/>
                </w:tcPr>
                <w:p w14:paraId="37C83163">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电脑薄刀分压机</w:t>
                  </w:r>
                </w:p>
              </w:tc>
              <w:tc>
                <w:tcPr>
                  <w:tcW w:w="2257" w:type="dxa"/>
                  <w:shd w:val="clear" w:color="auto" w:fill="auto"/>
                  <w:vAlign w:val="center"/>
                </w:tcPr>
                <w:p w14:paraId="3C86C842">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ZFY 型</w:t>
                  </w:r>
                </w:p>
              </w:tc>
              <w:tc>
                <w:tcPr>
                  <w:tcW w:w="1460" w:type="dxa"/>
                  <w:shd w:val="clear" w:color="auto" w:fill="auto"/>
                  <w:vAlign w:val="center"/>
                </w:tcPr>
                <w:p w14:paraId="01A4C114">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14BFDF9F">
                  <w:pPr>
                    <w:pStyle w:val="32"/>
                    <w:bidi w:val="0"/>
                    <w:ind w:firstLine="0" w:firstLineChars="0"/>
                    <w:jc w:val="center"/>
                    <w:rPr>
                      <w:rFonts w:hint="default" w:ascii="Times New Roman" w:hAnsi="Times New Roman" w:eastAsia="宋体" w:cs="Times New Roman"/>
                      <w:color w:val="auto"/>
                      <w:lang w:val="en-US" w:eastAsia="zh-CN"/>
                    </w:rPr>
                  </w:pPr>
                </w:p>
              </w:tc>
            </w:tr>
            <w:tr w14:paraId="62C0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3C71ADD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11</w:t>
                  </w:r>
                </w:p>
              </w:tc>
              <w:tc>
                <w:tcPr>
                  <w:tcW w:w="1945" w:type="dxa"/>
                  <w:shd w:val="clear" w:color="auto" w:fill="auto"/>
                  <w:vAlign w:val="center"/>
                </w:tcPr>
                <w:p w14:paraId="03F3B03A">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横切机</w:t>
                  </w:r>
                </w:p>
              </w:tc>
              <w:tc>
                <w:tcPr>
                  <w:tcW w:w="2257" w:type="dxa"/>
                  <w:shd w:val="clear" w:color="auto" w:fill="auto"/>
                  <w:vAlign w:val="center"/>
                </w:tcPr>
                <w:p w14:paraId="43F2D4F9">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HQL 型</w:t>
                  </w:r>
                </w:p>
              </w:tc>
              <w:tc>
                <w:tcPr>
                  <w:tcW w:w="1460" w:type="dxa"/>
                  <w:shd w:val="clear" w:color="auto" w:fill="auto"/>
                  <w:vAlign w:val="center"/>
                </w:tcPr>
                <w:p w14:paraId="24D2B9EA">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649CC2B4">
                  <w:pPr>
                    <w:pStyle w:val="32"/>
                    <w:bidi w:val="0"/>
                    <w:ind w:firstLine="0" w:firstLineChars="0"/>
                    <w:jc w:val="center"/>
                    <w:rPr>
                      <w:rFonts w:hint="default" w:ascii="Times New Roman" w:hAnsi="Times New Roman" w:eastAsia="宋体" w:cs="Times New Roman"/>
                      <w:color w:val="auto"/>
                      <w:lang w:val="en-US" w:eastAsia="zh-CN"/>
                    </w:rPr>
                  </w:pPr>
                </w:p>
              </w:tc>
            </w:tr>
            <w:tr w14:paraId="735B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1312A70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12</w:t>
                  </w:r>
                </w:p>
              </w:tc>
              <w:tc>
                <w:tcPr>
                  <w:tcW w:w="1945" w:type="dxa"/>
                  <w:shd w:val="clear" w:color="auto" w:fill="auto"/>
                  <w:vAlign w:val="center"/>
                </w:tcPr>
                <w:p w14:paraId="42475212">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简易堆积机</w:t>
                  </w:r>
                </w:p>
              </w:tc>
              <w:tc>
                <w:tcPr>
                  <w:tcW w:w="2257" w:type="dxa"/>
                  <w:shd w:val="clear" w:color="auto" w:fill="auto"/>
                  <w:vAlign w:val="center"/>
                </w:tcPr>
                <w:p w14:paraId="6214DFB2">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JDJ-B 型</w:t>
                  </w:r>
                </w:p>
              </w:tc>
              <w:tc>
                <w:tcPr>
                  <w:tcW w:w="1460" w:type="dxa"/>
                  <w:shd w:val="clear" w:color="auto" w:fill="auto"/>
                  <w:vAlign w:val="center"/>
                </w:tcPr>
                <w:p w14:paraId="6654CC49">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791D19D0">
                  <w:pPr>
                    <w:pStyle w:val="32"/>
                    <w:bidi w:val="0"/>
                    <w:ind w:firstLine="0" w:firstLineChars="0"/>
                    <w:jc w:val="center"/>
                    <w:rPr>
                      <w:rFonts w:hint="default" w:ascii="Times New Roman" w:hAnsi="Times New Roman" w:eastAsia="宋体" w:cs="Times New Roman"/>
                      <w:color w:val="auto"/>
                      <w:lang w:val="en-US" w:eastAsia="zh-CN"/>
                    </w:rPr>
                  </w:pPr>
                </w:p>
              </w:tc>
            </w:tr>
            <w:tr w14:paraId="1038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3808BD76">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13</w:t>
                  </w:r>
                </w:p>
              </w:tc>
              <w:tc>
                <w:tcPr>
                  <w:tcW w:w="1945" w:type="dxa"/>
                  <w:shd w:val="clear" w:color="auto" w:fill="auto"/>
                  <w:vAlign w:val="center"/>
                </w:tcPr>
                <w:p w14:paraId="2B0BD1B5">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瓦线内蒸汽系统</w:t>
                  </w:r>
                </w:p>
              </w:tc>
              <w:tc>
                <w:tcPr>
                  <w:tcW w:w="2257" w:type="dxa"/>
                  <w:shd w:val="clear" w:color="auto" w:fill="auto"/>
                  <w:vAlign w:val="center"/>
                </w:tcPr>
                <w:p w14:paraId="34F57CD4">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460" w:type="dxa"/>
                  <w:shd w:val="clear" w:color="auto" w:fill="auto"/>
                  <w:vAlign w:val="center"/>
                </w:tcPr>
                <w:p w14:paraId="276C4E57">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56EC39FD">
                  <w:pPr>
                    <w:pStyle w:val="32"/>
                    <w:bidi w:val="0"/>
                    <w:ind w:firstLine="0" w:firstLineChars="0"/>
                    <w:jc w:val="center"/>
                    <w:rPr>
                      <w:rFonts w:hint="default" w:ascii="Times New Roman" w:hAnsi="Times New Roman" w:eastAsia="宋体" w:cs="Times New Roman"/>
                      <w:color w:val="auto"/>
                      <w:lang w:val="en-US" w:eastAsia="zh-CN"/>
                    </w:rPr>
                  </w:pPr>
                </w:p>
              </w:tc>
            </w:tr>
            <w:tr w14:paraId="6A66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4A2BC5F5">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14</w:t>
                  </w:r>
                </w:p>
              </w:tc>
              <w:tc>
                <w:tcPr>
                  <w:tcW w:w="1945" w:type="dxa"/>
                  <w:shd w:val="clear" w:color="auto" w:fill="auto"/>
                  <w:vAlign w:val="center"/>
                </w:tcPr>
                <w:p w14:paraId="28088D15">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空压机</w:t>
                  </w:r>
                </w:p>
              </w:tc>
              <w:tc>
                <w:tcPr>
                  <w:tcW w:w="2257" w:type="dxa"/>
                  <w:shd w:val="clear" w:color="auto" w:fill="auto"/>
                  <w:vAlign w:val="center"/>
                </w:tcPr>
                <w:p w14:paraId="76FECE55">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0.9m³/min</w:t>
                  </w:r>
                </w:p>
              </w:tc>
              <w:tc>
                <w:tcPr>
                  <w:tcW w:w="1460" w:type="dxa"/>
                  <w:shd w:val="clear" w:color="auto" w:fill="auto"/>
                  <w:vAlign w:val="center"/>
                </w:tcPr>
                <w:p w14:paraId="660252A9">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3</w:t>
                  </w:r>
                </w:p>
              </w:tc>
              <w:tc>
                <w:tcPr>
                  <w:tcW w:w="1885" w:type="dxa"/>
                  <w:vMerge w:val="continue"/>
                  <w:vAlign w:val="center"/>
                </w:tcPr>
                <w:p w14:paraId="417B400E">
                  <w:pPr>
                    <w:pStyle w:val="32"/>
                    <w:bidi w:val="0"/>
                    <w:ind w:firstLine="0" w:firstLineChars="0"/>
                    <w:jc w:val="center"/>
                    <w:rPr>
                      <w:rFonts w:hint="default" w:ascii="Times New Roman" w:hAnsi="Times New Roman" w:eastAsia="宋体" w:cs="Times New Roman"/>
                      <w:color w:val="auto"/>
                      <w:lang w:val="en-US" w:eastAsia="zh-CN"/>
                    </w:rPr>
                  </w:pPr>
                </w:p>
              </w:tc>
            </w:tr>
            <w:tr w14:paraId="68BC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shd w:val="clear" w:color="auto" w:fill="auto"/>
                  <w:vAlign w:val="center"/>
                </w:tcPr>
                <w:p w14:paraId="62D457E8">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15</w:t>
                  </w:r>
                </w:p>
              </w:tc>
              <w:tc>
                <w:tcPr>
                  <w:tcW w:w="1945" w:type="dxa"/>
                  <w:shd w:val="clear" w:color="auto" w:fill="auto"/>
                  <w:vAlign w:val="center"/>
                </w:tcPr>
                <w:p w14:paraId="1A8EE6D9">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制胶系统</w:t>
                  </w:r>
                </w:p>
              </w:tc>
              <w:tc>
                <w:tcPr>
                  <w:tcW w:w="2257" w:type="dxa"/>
                  <w:shd w:val="clear" w:color="auto" w:fill="auto"/>
                  <w:vAlign w:val="center"/>
                </w:tcPr>
                <w:p w14:paraId="5B891895">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460" w:type="dxa"/>
                  <w:shd w:val="clear" w:color="auto" w:fill="auto"/>
                  <w:vAlign w:val="center"/>
                </w:tcPr>
                <w:p w14:paraId="54AD105D">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3CA0159F">
                  <w:pPr>
                    <w:pStyle w:val="32"/>
                    <w:bidi w:val="0"/>
                    <w:ind w:firstLine="0" w:firstLineChars="0"/>
                    <w:jc w:val="center"/>
                    <w:rPr>
                      <w:rFonts w:hint="default" w:ascii="Times New Roman" w:hAnsi="Times New Roman" w:eastAsia="宋体" w:cs="Times New Roman"/>
                      <w:color w:val="auto"/>
                      <w:lang w:val="en-US" w:eastAsia="zh-CN"/>
                    </w:rPr>
                  </w:pPr>
                </w:p>
              </w:tc>
            </w:tr>
            <w:tr w14:paraId="08E7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4C21A921">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w:t>
                  </w:r>
                </w:p>
              </w:tc>
              <w:tc>
                <w:tcPr>
                  <w:tcW w:w="1945" w:type="dxa"/>
                  <w:shd w:val="clear" w:color="auto" w:fill="auto"/>
                  <w:vAlign w:val="center"/>
                </w:tcPr>
                <w:p w14:paraId="2E803B75">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6t/h蒸汽锅炉</w:t>
                  </w:r>
                </w:p>
              </w:tc>
              <w:tc>
                <w:tcPr>
                  <w:tcW w:w="2257" w:type="dxa"/>
                  <w:shd w:val="clear" w:color="auto" w:fill="auto"/>
                  <w:vAlign w:val="center"/>
                </w:tcPr>
                <w:p w14:paraId="0762AE41">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DZL6-1.25-ALL(WⅡ)</w:t>
                  </w:r>
                </w:p>
              </w:tc>
              <w:tc>
                <w:tcPr>
                  <w:tcW w:w="1460" w:type="dxa"/>
                  <w:shd w:val="clear" w:color="auto" w:fill="auto"/>
                  <w:vAlign w:val="center"/>
                </w:tcPr>
                <w:p w14:paraId="53EBA80B">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50E8D805">
                  <w:pPr>
                    <w:pStyle w:val="32"/>
                    <w:bidi w:val="0"/>
                    <w:ind w:firstLine="0" w:firstLineChars="0"/>
                    <w:jc w:val="center"/>
                    <w:rPr>
                      <w:rFonts w:hint="default" w:ascii="Times New Roman" w:hAnsi="Times New Roman" w:eastAsia="宋体" w:cs="Times New Roman"/>
                      <w:color w:val="auto"/>
                      <w:lang w:val="en-US" w:eastAsia="zh-CN"/>
                    </w:rPr>
                  </w:pPr>
                </w:p>
              </w:tc>
            </w:tr>
            <w:tr w14:paraId="16FD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7" w:type="dxa"/>
                  <w:vAlign w:val="center"/>
                </w:tcPr>
                <w:p w14:paraId="3700A3BB">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1945" w:type="dxa"/>
                  <w:shd w:val="clear" w:color="auto" w:fill="auto"/>
                  <w:vAlign w:val="center"/>
                </w:tcPr>
                <w:p w14:paraId="5E6ADC8C">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水膜除尘器</w:t>
                  </w:r>
                </w:p>
              </w:tc>
              <w:tc>
                <w:tcPr>
                  <w:tcW w:w="2257" w:type="dxa"/>
                  <w:shd w:val="clear" w:color="auto" w:fill="auto"/>
                  <w:vAlign w:val="center"/>
                </w:tcPr>
                <w:p w14:paraId="12DF38C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w:t>
                  </w:r>
                </w:p>
              </w:tc>
              <w:tc>
                <w:tcPr>
                  <w:tcW w:w="1460" w:type="dxa"/>
                  <w:shd w:val="clear" w:color="auto" w:fill="auto"/>
                  <w:vAlign w:val="center"/>
                </w:tcPr>
                <w:p w14:paraId="156625A7">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85" w:type="dxa"/>
                  <w:vMerge w:val="continue"/>
                  <w:vAlign w:val="center"/>
                </w:tcPr>
                <w:p w14:paraId="52220A2F">
                  <w:pPr>
                    <w:pStyle w:val="32"/>
                    <w:bidi w:val="0"/>
                    <w:ind w:firstLine="0" w:firstLineChars="0"/>
                    <w:jc w:val="center"/>
                    <w:rPr>
                      <w:rFonts w:hint="default" w:ascii="Times New Roman" w:hAnsi="Times New Roman" w:eastAsia="宋体" w:cs="Times New Roman"/>
                      <w:color w:val="auto"/>
                      <w:lang w:val="en-US" w:eastAsia="zh-CN"/>
                    </w:rPr>
                  </w:pPr>
                </w:p>
              </w:tc>
            </w:tr>
          </w:tbl>
          <w:p w14:paraId="245BD0F5">
            <w:pPr>
              <w:pStyle w:val="38"/>
              <w:ind w:firstLine="422"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2.5 主要原辅料及能源</w:t>
            </w:r>
          </w:p>
          <w:p w14:paraId="46296839">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项目原辅料、能源消耗情况</w:t>
            </w:r>
          </w:p>
          <w:p w14:paraId="716C1E4B">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本项目原辅料及能源消耗情况见下表。</w:t>
            </w:r>
          </w:p>
          <w:p w14:paraId="5BD31489">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表2-4-1  本项目原辅材料及能源消耗情况表</w:t>
            </w:r>
          </w:p>
          <w:tbl>
            <w:tblPr>
              <w:tblStyle w:val="26"/>
              <w:tblW w:w="8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400"/>
              <w:gridCol w:w="1213"/>
              <w:gridCol w:w="1166"/>
              <w:gridCol w:w="1271"/>
              <w:gridCol w:w="1168"/>
              <w:gridCol w:w="1489"/>
            </w:tblGrid>
            <w:tr w14:paraId="2387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86" w:type="dxa"/>
                  <w:vAlign w:val="center"/>
                </w:tcPr>
                <w:p w14:paraId="4BC7BE2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序号</w:t>
                  </w:r>
                </w:p>
              </w:tc>
              <w:tc>
                <w:tcPr>
                  <w:tcW w:w="1400" w:type="dxa"/>
                  <w:vAlign w:val="center"/>
                </w:tcPr>
                <w:p w14:paraId="48D7F8ED">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名称</w:t>
                  </w:r>
                </w:p>
              </w:tc>
              <w:tc>
                <w:tcPr>
                  <w:tcW w:w="1213" w:type="dxa"/>
                  <w:vAlign w:val="center"/>
                </w:tcPr>
                <w:p w14:paraId="20756C7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年消耗量</w:t>
                  </w:r>
                </w:p>
              </w:tc>
              <w:tc>
                <w:tcPr>
                  <w:tcW w:w="1166" w:type="dxa"/>
                  <w:vAlign w:val="center"/>
                </w:tcPr>
                <w:p w14:paraId="53D01A2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厂内最大储存量</w:t>
                  </w:r>
                </w:p>
              </w:tc>
              <w:tc>
                <w:tcPr>
                  <w:tcW w:w="1271" w:type="dxa"/>
                  <w:vAlign w:val="center"/>
                </w:tcPr>
                <w:p w14:paraId="7188381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储存位置</w:t>
                  </w:r>
                </w:p>
              </w:tc>
              <w:tc>
                <w:tcPr>
                  <w:tcW w:w="1168" w:type="dxa"/>
                  <w:vAlign w:val="center"/>
                </w:tcPr>
                <w:p w14:paraId="11DC8FB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包装方式</w:t>
                  </w:r>
                </w:p>
              </w:tc>
              <w:tc>
                <w:tcPr>
                  <w:tcW w:w="1489" w:type="dxa"/>
                  <w:vAlign w:val="center"/>
                </w:tcPr>
                <w:p w14:paraId="5583274A">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备注</w:t>
                  </w:r>
                </w:p>
              </w:tc>
            </w:tr>
            <w:tr w14:paraId="3FD9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193" w:type="dxa"/>
                  <w:gridSpan w:val="7"/>
                  <w:vAlign w:val="center"/>
                </w:tcPr>
                <w:p w14:paraId="1524CD01">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原辅料</w:t>
                  </w:r>
                </w:p>
              </w:tc>
            </w:tr>
            <w:tr w14:paraId="05CF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86" w:type="dxa"/>
                  <w:vAlign w:val="center"/>
                </w:tcPr>
                <w:p w14:paraId="1365049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00" w:type="dxa"/>
                  <w:vAlign w:val="center"/>
                </w:tcPr>
                <w:p w14:paraId="256D4CC7">
                  <w:pPr>
                    <w:pStyle w:val="21"/>
                    <w:keepNext w:val="0"/>
                    <w:keepLines w:val="0"/>
                    <w:pageBreakBefore w:val="0"/>
                    <w:kinsoku/>
                    <w:wordWrap/>
                    <w:overflowPunct/>
                    <w:topLinePunct w:val="0"/>
                    <w:autoSpaceDE/>
                    <w:autoSpaceDN/>
                    <w:bidi w:val="0"/>
                    <w:snapToGrid w:val="0"/>
                    <w:spacing w:before="95" w:beforeLines="30" w:beforeAutospacing="0" w:after="95" w:afterLines="3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rPr>
                    <w:t>原纸</w:t>
                  </w:r>
                </w:p>
              </w:tc>
              <w:tc>
                <w:tcPr>
                  <w:tcW w:w="1213" w:type="dxa"/>
                  <w:vAlign w:val="center"/>
                </w:tcPr>
                <w:p w14:paraId="6D272BC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7640t</w:t>
                  </w:r>
                </w:p>
              </w:tc>
              <w:tc>
                <w:tcPr>
                  <w:tcW w:w="1166" w:type="dxa"/>
                  <w:vAlign w:val="center"/>
                </w:tcPr>
                <w:p w14:paraId="12C882E9">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00t</w:t>
                  </w:r>
                </w:p>
              </w:tc>
              <w:tc>
                <w:tcPr>
                  <w:tcW w:w="1271" w:type="dxa"/>
                  <w:vAlign w:val="center"/>
                </w:tcPr>
                <w:p w14:paraId="3152EEE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原料</w:t>
                  </w:r>
                  <w:r>
                    <w:rPr>
                      <w:rFonts w:hint="default" w:ascii="Times New Roman" w:hAnsi="Times New Roman" w:eastAsia="宋体" w:cs="Times New Roman"/>
                      <w:color w:val="auto"/>
                      <w:szCs w:val="21"/>
                    </w:rPr>
                    <w:t>仓库</w:t>
                  </w:r>
                </w:p>
              </w:tc>
              <w:tc>
                <w:tcPr>
                  <w:tcW w:w="1168" w:type="dxa"/>
                  <w:vAlign w:val="center"/>
                </w:tcPr>
                <w:p w14:paraId="55A3C79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卷</w:t>
                  </w:r>
                </w:p>
              </w:tc>
              <w:tc>
                <w:tcPr>
                  <w:tcW w:w="1489" w:type="dxa"/>
                  <w:vAlign w:val="center"/>
                </w:tcPr>
                <w:p w14:paraId="072DDEFB">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外购成品纸</w:t>
                  </w:r>
                </w:p>
              </w:tc>
            </w:tr>
            <w:tr w14:paraId="6235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86" w:type="dxa"/>
                  <w:vAlign w:val="center"/>
                </w:tcPr>
                <w:p w14:paraId="7E3F9741">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400" w:type="dxa"/>
                  <w:vAlign w:val="center"/>
                </w:tcPr>
                <w:p w14:paraId="1588C5FB">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Cs w:val="21"/>
                      <w:lang w:val="en-US" w:eastAsia="zh-CN"/>
                    </w:rPr>
                    <w:t>淀粉</w:t>
                  </w:r>
                </w:p>
              </w:tc>
              <w:tc>
                <w:tcPr>
                  <w:tcW w:w="1213" w:type="dxa"/>
                  <w:vAlign w:val="center"/>
                </w:tcPr>
                <w:p w14:paraId="5106AF2C">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600t</w:t>
                  </w:r>
                </w:p>
              </w:tc>
              <w:tc>
                <w:tcPr>
                  <w:tcW w:w="1166" w:type="dxa"/>
                  <w:vAlign w:val="center"/>
                </w:tcPr>
                <w:p w14:paraId="1668EB42">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t</w:t>
                  </w:r>
                </w:p>
              </w:tc>
              <w:tc>
                <w:tcPr>
                  <w:tcW w:w="1271" w:type="dxa"/>
                  <w:vAlign w:val="center"/>
                </w:tcPr>
                <w:p w14:paraId="36BEF14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制胶间</w:t>
                  </w:r>
                </w:p>
              </w:tc>
              <w:tc>
                <w:tcPr>
                  <w:tcW w:w="1168" w:type="dxa"/>
                  <w:vAlign w:val="center"/>
                </w:tcPr>
                <w:p w14:paraId="5D432826">
                  <w:pPr>
                    <w:pStyle w:val="32"/>
                    <w:keepNext w:val="0"/>
                    <w:keepLines w:val="0"/>
                    <w:pageBreakBefore w:val="0"/>
                    <w:kinsoku/>
                    <w:wordWrap/>
                    <w:overflowPunct/>
                    <w:topLinePunct w:val="0"/>
                    <w:autoSpaceDE/>
                    <w:autoSpaceDN/>
                    <w:bidi w:val="0"/>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密闭</w:t>
                  </w:r>
                  <w:r>
                    <w:rPr>
                      <w:rFonts w:hint="default" w:ascii="Times New Roman" w:hAnsi="Times New Roman" w:eastAsia="宋体" w:cs="Times New Roman"/>
                      <w:color w:val="auto"/>
                      <w:lang w:val="en-US" w:eastAsia="zh-CN"/>
                    </w:rPr>
                    <w:t>袋</w:t>
                  </w:r>
                  <w:r>
                    <w:rPr>
                      <w:rFonts w:hint="default" w:ascii="Times New Roman" w:hAnsi="Times New Roman" w:eastAsia="宋体" w:cs="Times New Roman"/>
                      <w:color w:val="auto"/>
                    </w:rPr>
                    <w:t>装</w:t>
                  </w:r>
                </w:p>
              </w:tc>
              <w:tc>
                <w:tcPr>
                  <w:tcW w:w="1489" w:type="dxa"/>
                  <w:vAlign w:val="center"/>
                </w:tcPr>
                <w:p w14:paraId="4D15017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lang w:val="en-US" w:eastAsia="zh-CN"/>
                    </w:rPr>
                    <w:t>外购</w:t>
                  </w:r>
                </w:p>
              </w:tc>
            </w:tr>
            <w:tr w14:paraId="6264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86" w:type="dxa"/>
                  <w:vAlign w:val="center"/>
                </w:tcPr>
                <w:p w14:paraId="444F87E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400" w:type="dxa"/>
                  <w:vAlign w:val="center"/>
                </w:tcPr>
                <w:p w14:paraId="3A1D6D2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氢氧化钠</w:t>
                  </w:r>
                </w:p>
              </w:tc>
              <w:tc>
                <w:tcPr>
                  <w:tcW w:w="1213" w:type="dxa"/>
                  <w:vAlign w:val="center"/>
                </w:tcPr>
                <w:p w14:paraId="15F2436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t</w:t>
                  </w:r>
                </w:p>
              </w:tc>
              <w:tc>
                <w:tcPr>
                  <w:tcW w:w="1166" w:type="dxa"/>
                  <w:vAlign w:val="center"/>
                </w:tcPr>
                <w:p w14:paraId="0A1050B0">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0.5t</w:t>
                  </w:r>
                </w:p>
              </w:tc>
              <w:tc>
                <w:tcPr>
                  <w:tcW w:w="1271" w:type="dxa"/>
                  <w:vAlign w:val="center"/>
                </w:tcPr>
                <w:p w14:paraId="2EF41EF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制胶间</w:t>
                  </w:r>
                </w:p>
              </w:tc>
              <w:tc>
                <w:tcPr>
                  <w:tcW w:w="1168" w:type="dxa"/>
                  <w:vAlign w:val="center"/>
                </w:tcPr>
                <w:p w14:paraId="6655D2CF">
                  <w:pPr>
                    <w:pStyle w:val="32"/>
                    <w:keepNext w:val="0"/>
                    <w:keepLines w:val="0"/>
                    <w:pageBreakBefore w:val="0"/>
                    <w:kinsoku/>
                    <w:wordWrap/>
                    <w:overflowPunct/>
                    <w:topLinePunct w:val="0"/>
                    <w:autoSpaceDE/>
                    <w:autoSpaceDN/>
                    <w:bidi w:val="0"/>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密闭</w:t>
                  </w:r>
                  <w:r>
                    <w:rPr>
                      <w:rFonts w:hint="default" w:ascii="Times New Roman" w:hAnsi="Times New Roman" w:eastAsia="宋体" w:cs="Times New Roman"/>
                      <w:color w:val="auto"/>
                      <w:lang w:val="en-US" w:eastAsia="zh-CN"/>
                    </w:rPr>
                    <w:t>袋</w:t>
                  </w:r>
                  <w:r>
                    <w:rPr>
                      <w:rFonts w:hint="default" w:ascii="Times New Roman" w:hAnsi="Times New Roman" w:eastAsia="宋体" w:cs="Times New Roman"/>
                      <w:color w:val="auto"/>
                    </w:rPr>
                    <w:t>装</w:t>
                  </w:r>
                </w:p>
              </w:tc>
              <w:tc>
                <w:tcPr>
                  <w:tcW w:w="1489" w:type="dxa"/>
                  <w:vAlign w:val="center"/>
                </w:tcPr>
                <w:p w14:paraId="0585358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lang w:val="en-US" w:eastAsia="zh-CN"/>
                    </w:rPr>
                    <w:t>外购</w:t>
                  </w:r>
                </w:p>
              </w:tc>
            </w:tr>
            <w:tr w14:paraId="7873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193" w:type="dxa"/>
                  <w:gridSpan w:val="7"/>
                  <w:vAlign w:val="center"/>
                </w:tcPr>
                <w:p w14:paraId="2E5B1CF9">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能源</w:t>
                  </w:r>
                </w:p>
              </w:tc>
            </w:tr>
            <w:tr w14:paraId="229B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86" w:type="dxa"/>
                  <w:vAlign w:val="center"/>
                </w:tcPr>
                <w:p w14:paraId="784D1B1C">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00" w:type="dxa"/>
                  <w:vAlign w:val="center"/>
                </w:tcPr>
                <w:p w14:paraId="4116045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213" w:type="dxa"/>
                  <w:vAlign w:val="center"/>
                </w:tcPr>
                <w:p w14:paraId="04B28C7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80</w:t>
                  </w:r>
                  <w:r>
                    <w:rPr>
                      <w:rFonts w:hint="default" w:ascii="Times New Roman" w:hAnsi="Times New Roman" w:eastAsia="宋体" w:cs="Times New Roman"/>
                      <w:color w:val="auto"/>
                      <w:szCs w:val="21"/>
                    </w:rPr>
                    <w:t>0万kWh</w:t>
                  </w:r>
                </w:p>
              </w:tc>
              <w:tc>
                <w:tcPr>
                  <w:tcW w:w="1166" w:type="dxa"/>
                  <w:vAlign w:val="center"/>
                </w:tcPr>
                <w:p w14:paraId="50C2ECB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1" w:type="dxa"/>
                  <w:vAlign w:val="center"/>
                </w:tcPr>
                <w:p w14:paraId="6101347A">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68" w:type="dxa"/>
                  <w:vAlign w:val="center"/>
                </w:tcPr>
                <w:p w14:paraId="0647050A">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489" w:type="dxa"/>
                  <w:vAlign w:val="center"/>
                </w:tcPr>
                <w:p w14:paraId="6D990681">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电网供电</w:t>
                  </w:r>
                </w:p>
              </w:tc>
            </w:tr>
            <w:tr w14:paraId="1C12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86" w:type="dxa"/>
                  <w:vAlign w:val="center"/>
                </w:tcPr>
                <w:p w14:paraId="40B2AF82">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400" w:type="dxa"/>
                  <w:vAlign w:val="center"/>
                </w:tcPr>
                <w:p w14:paraId="2203F661">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自来水</w:t>
                  </w:r>
                </w:p>
              </w:tc>
              <w:tc>
                <w:tcPr>
                  <w:tcW w:w="1213" w:type="dxa"/>
                  <w:vAlign w:val="center"/>
                </w:tcPr>
                <w:p w14:paraId="0D0FAD2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282</w:t>
                  </w:r>
                </w:p>
              </w:tc>
              <w:tc>
                <w:tcPr>
                  <w:tcW w:w="1166" w:type="dxa"/>
                  <w:vAlign w:val="center"/>
                </w:tcPr>
                <w:p w14:paraId="2D72505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1" w:type="dxa"/>
                  <w:vAlign w:val="center"/>
                </w:tcPr>
                <w:p w14:paraId="1580E2AA">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68" w:type="dxa"/>
                  <w:vAlign w:val="center"/>
                </w:tcPr>
                <w:p w14:paraId="0C844B0F">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489" w:type="dxa"/>
                  <w:vAlign w:val="center"/>
                </w:tcPr>
                <w:p w14:paraId="4A4033D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自来</w:t>
                  </w:r>
                  <w:r>
                    <w:rPr>
                      <w:rFonts w:hint="default" w:ascii="Times New Roman" w:hAnsi="Times New Roman" w:eastAsia="宋体" w:cs="Times New Roman"/>
                      <w:color w:val="auto"/>
                      <w:szCs w:val="21"/>
                    </w:rPr>
                    <w:t>水网供水</w:t>
                  </w:r>
                </w:p>
              </w:tc>
            </w:tr>
            <w:tr w14:paraId="3AC5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86" w:type="dxa"/>
                  <w:vAlign w:val="center"/>
                </w:tcPr>
                <w:p w14:paraId="3CC8D43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400" w:type="dxa"/>
                  <w:vAlign w:val="center"/>
                </w:tcPr>
                <w:p w14:paraId="06BDAE4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成型生物质颗粒燃料</w:t>
                  </w:r>
                </w:p>
              </w:tc>
              <w:tc>
                <w:tcPr>
                  <w:tcW w:w="1213" w:type="dxa"/>
                  <w:vAlign w:val="center"/>
                </w:tcPr>
                <w:p w14:paraId="0AEEB8D5">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highlight w:val="none"/>
                      <w:lang w:val="en-US" w:eastAsia="zh-CN"/>
                    </w:rPr>
                    <w:t>1776</w:t>
                  </w:r>
                </w:p>
              </w:tc>
              <w:tc>
                <w:tcPr>
                  <w:tcW w:w="1166" w:type="dxa"/>
                  <w:vAlign w:val="center"/>
                </w:tcPr>
                <w:p w14:paraId="626F3AC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200t</w:t>
                  </w:r>
                </w:p>
              </w:tc>
              <w:tc>
                <w:tcPr>
                  <w:tcW w:w="1271" w:type="dxa"/>
                  <w:vAlign w:val="center"/>
                </w:tcPr>
                <w:p w14:paraId="333BC94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燃料堆场</w:t>
                  </w:r>
                </w:p>
              </w:tc>
              <w:tc>
                <w:tcPr>
                  <w:tcW w:w="1168" w:type="dxa"/>
                  <w:vAlign w:val="center"/>
                </w:tcPr>
                <w:p w14:paraId="44B25BA4">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袋装</w:t>
                  </w:r>
                </w:p>
              </w:tc>
              <w:tc>
                <w:tcPr>
                  <w:tcW w:w="1489" w:type="dxa"/>
                  <w:vAlign w:val="center"/>
                </w:tcPr>
                <w:p w14:paraId="11C7E015">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highlight w:val="none"/>
                      <w:lang w:val="en-US" w:eastAsia="zh-CN"/>
                    </w:rPr>
                    <w:t>外购</w:t>
                  </w:r>
                </w:p>
              </w:tc>
            </w:tr>
          </w:tbl>
          <w:p w14:paraId="43FD0DD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zh-CN"/>
              </w:rPr>
              <w:t>（</w:t>
            </w:r>
            <w:r>
              <w:rPr>
                <w:rFonts w:hint="default"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lang w:val="zh-CN"/>
              </w:rPr>
              <w:t>）</w:t>
            </w:r>
            <w:r>
              <w:rPr>
                <w:rFonts w:hint="default" w:ascii="Times New Roman" w:hAnsi="Times New Roman" w:eastAsia="宋体" w:cs="Times New Roman"/>
                <w:b w:val="0"/>
                <w:bCs/>
                <w:color w:val="auto"/>
                <w:sz w:val="21"/>
                <w:szCs w:val="21"/>
                <w:lang w:val="en-US" w:eastAsia="zh-CN"/>
              </w:rPr>
              <w:t>生物质颗粒成分分析</w:t>
            </w:r>
          </w:p>
          <w:p w14:paraId="0E3ED99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项目技改后将采用4t/h的生物质锅炉为瓦楞纸板生产线提供蒸汽，</w:t>
            </w:r>
            <w:r>
              <w:rPr>
                <w:rFonts w:hint="default" w:ascii="Times New Roman" w:hAnsi="Times New Roman" w:eastAsia="宋体" w:cs="Times New Roman"/>
                <w:color w:val="auto"/>
                <w:sz w:val="21"/>
                <w:szCs w:val="21"/>
              </w:rPr>
              <w:t>使用的燃料生物质颗粒由玉溪万德能源技术有限公司提供，根据其提供的固体生物质燃料检验报告（详见附件），</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燃料生物质颗粒其成分如下：</w:t>
            </w:r>
          </w:p>
          <w:p w14:paraId="422DA3C4">
            <w:pPr>
              <w:pStyle w:val="5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2-4-2</w:t>
            </w:r>
            <w:r>
              <w:rPr>
                <w:rFonts w:hint="default" w:ascii="Times New Roman" w:hAnsi="Times New Roman" w:eastAsia="宋体" w:cs="Times New Roman"/>
                <w:b/>
                <w:bCs/>
                <w:color w:val="auto"/>
                <w:sz w:val="21"/>
                <w:szCs w:val="21"/>
              </w:rPr>
              <w:t xml:space="preserve">  生物质颗粒检验报告成分表</w:t>
            </w:r>
          </w:p>
          <w:tbl>
            <w:tblPr>
              <w:tblStyle w:val="25"/>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845"/>
              <w:gridCol w:w="1749"/>
              <w:gridCol w:w="1915"/>
              <w:gridCol w:w="1732"/>
            </w:tblGrid>
            <w:tr w14:paraId="3CBE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0EC8517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845" w:type="dxa"/>
                  <w:noWrap w:val="0"/>
                  <w:vAlign w:val="top"/>
                </w:tcPr>
                <w:p w14:paraId="3BEE2C2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检查项目</w:t>
                  </w:r>
                </w:p>
              </w:tc>
              <w:tc>
                <w:tcPr>
                  <w:tcW w:w="1749" w:type="dxa"/>
                  <w:noWrap w:val="0"/>
                  <w:vAlign w:val="top"/>
                </w:tcPr>
                <w:p w14:paraId="59FB786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缩写</w:t>
                  </w:r>
                </w:p>
              </w:tc>
              <w:tc>
                <w:tcPr>
                  <w:tcW w:w="1915" w:type="dxa"/>
                  <w:noWrap w:val="0"/>
                  <w:vAlign w:val="top"/>
                </w:tcPr>
                <w:p w14:paraId="4AAF8C6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732" w:type="dxa"/>
                  <w:noWrap w:val="0"/>
                  <w:vAlign w:val="top"/>
                </w:tcPr>
                <w:p w14:paraId="3AD0EEE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检验结果</w:t>
                  </w:r>
                </w:p>
              </w:tc>
            </w:tr>
            <w:tr w14:paraId="7FE5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5E56531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845" w:type="dxa"/>
                  <w:noWrap w:val="0"/>
                  <w:vAlign w:val="top"/>
                </w:tcPr>
                <w:p w14:paraId="1FD41A88">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全水分</w:t>
                  </w:r>
                </w:p>
              </w:tc>
              <w:tc>
                <w:tcPr>
                  <w:tcW w:w="1749" w:type="dxa"/>
                  <w:noWrap w:val="0"/>
                  <w:vAlign w:val="top"/>
                </w:tcPr>
                <w:p w14:paraId="22D7BAE6">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Mt</w:t>
                  </w:r>
                </w:p>
              </w:tc>
              <w:tc>
                <w:tcPr>
                  <w:tcW w:w="1915" w:type="dxa"/>
                  <w:noWrap w:val="0"/>
                  <w:vAlign w:val="top"/>
                </w:tcPr>
                <w:p w14:paraId="61B7B0E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26622C3F">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r>
            <w:tr w14:paraId="10F8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4CF8B5E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845" w:type="dxa"/>
                  <w:noWrap w:val="0"/>
                  <w:vAlign w:val="top"/>
                </w:tcPr>
                <w:p w14:paraId="7EE81787">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分析水分</w:t>
                  </w:r>
                </w:p>
              </w:tc>
              <w:tc>
                <w:tcPr>
                  <w:tcW w:w="1749" w:type="dxa"/>
                  <w:noWrap w:val="0"/>
                  <w:vAlign w:val="top"/>
                </w:tcPr>
                <w:p w14:paraId="3590056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Mad</w:t>
                  </w:r>
                </w:p>
              </w:tc>
              <w:tc>
                <w:tcPr>
                  <w:tcW w:w="1915" w:type="dxa"/>
                  <w:noWrap w:val="0"/>
                  <w:vAlign w:val="top"/>
                </w:tcPr>
                <w:p w14:paraId="775E674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09E76D4C">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1.57</w:t>
                  </w:r>
                </w:p>
              </w:tc>
            </w:tr>
            <w:tr w14:paraId="52A1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42C704C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845" w:type="dxa"/>
                  <w:noWrap w:val="0"/>
                  <w:vAlign w:val="top"/>
                </w:tcPr>
                <w:p w14:paraId="26857038">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空干基灰分</w:t>
                  </w:r>
                </w:p>
              </w:tc>
              <w:tc>
                <w:tcPr>
                  <w:tcW w:w="1749" w:type="dxa"/>
                  <w:noWrap w:val="0"/>
                  <w:vAlign w:val="top"/>
                </w:tcPr>
                <w:p w14:paraId="2102152D">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Aad</w:t>
                  </w:r>
                </w:p>
              </w:tc>
              <w:tc>
                <w:tcPr>
                  <w:tcW w:w="1915" w:type="dxa"/>
                  <w:noWrap w:val="0"/>
                  <w:vAlign w:val="top"/>
                </w:tcPr>
                <w:p w14:paraId="4C424187">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27CABD1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r>
            <w:tr w14:paraId="02DA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254CC5D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1845" w:type="dxa"/>
                  <w:noWrap w:val="0"/>
                  <w:vAlign w:val="top"/>
                </w:tcPr>
                <w:p w14:paraId="22093EE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空干基挥发分</w:t>
                  </w:r>
                </w:p>
              </w:tc>
              <w:tc>
                <w:tcPr>
                  <w:tcW w:w="1749" w:type="dxa"/>
                  <w:noWrap w:val="0"/>
                  <w:vAlign w:val="top"/>
                </w:tcPr>
                <w:p w14:paraId="28CD7B9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Vad</w:t>
                  </w:r>
                </w:p>
              </w:tc>
              <w:tc>
                <w:tcPr>
                  <w:tcW w:w="1915" w:type="dxa"/>
                  <w:noWrap w:val="0"/>
                  <w:vAlign w:val="top"/>
                </w:tcPr>
                <w:p w14:paraId="0D589EAC">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15BFE077">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78.60</w:t>
                  </w:r>
                </w:p>
              </w:tc>
            </w:tr>
            <w:tr w14:paraId="0F52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63E3CABE">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845" w:type="dxa"/>
                  <w:noWrap w:val="0"/>
                  <w:vAlign w:val="top"/>
                </w:tcPr>
                <w:p w14:paraId="3E8D4D07">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空干基固定碳</w:t>
                  </w:r>
                </w:p>
              </w:tc>
              <w:tc>
                <w:tcPr>
                  <w:tcW w:w="1749" w:type="dxa"/>
                  <w:noWrap w:val="0"/>
                  <w:vAlign w:val="top"/>
                </w:tcPr>
                <w:p w14:paraId="425E316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FCad</w:t>
                  </w:r>
                </w:p>
              </w:tc>
              <w:tc>
                <w:tcPr>
                  <w:tcW w:w="1915" w:type="dxa"/>
                  <w:noWrap w:val="0"/>
                  <w:vAlign w:val="top"/>
                </w:tcPr>
                <w:p w14:paraId="55A735C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37C9127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17.35</w:t>
                  </w:r>
                </w:p>
              </w:tc>
            </w:tr>
            <w:tr w14:paraId="0177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4418E37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845" w:type="dxa"/>
                  <w:noWrap w:val="0"/>
                  <w:vAlign w:val="top"/>
                </w:tcPr>
                <w:p w14:paraId="2707E00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空干基全硫</w:t>
                  </w:r>
                </w:p>
              </w:tc>
              <w:tc>
                <w:tcPr>
                  <w:tcW w:w="1749" w:type="dxa"/>
                  <w:noWrap w:val="0"/>
                  <w:vAlign w:val="top"/>
                </w:tcPr>
                <w:p w14:paraId="7053C94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St，ad</w:t>
                  </w:r>
                </w:p>
              </w:tc>
              <w:tc>
                <w:tcPr>
                  <w:tcW w:w="1915" w:type="dxa"/>
                  <w:noWrap w:val="0"/>
                  <w:vAlign w:val="top"/>
                </w:tcPr>
                <w:p w14:paraId="0137956F">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3174168D">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14:paraId="2988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064AE1C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845" w:type="dxa"/>
                  <w:noWrap w:val="0"/>
                  <w:vAlign w:val="top"/>
                </w:tcPr>
                <w:p w14:paraId="04C371C9">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空干基高位发热量</w:t>
                  </w:r>
                </w:p>
              </w:tc>
              <w:tc>
                <w:tcPr>
                  <w:tcW w:w="1749" w:type="dxa"/>
                  <w:noWrap w:val="0"/>
                  <w:vAlign w:val="top"/>
                </w:tcPr>
                <w:p w14:paraId="416058C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Qgr，ad</w:t>
                  </w:r>
                </w:p>
              </w:tc>
              <w:tc>
                <w:tcPr>
                  <w:tcW w:w="1915" w:type="dxa"/>
                  <w:noWrap w:val="0"/>
                  <w:vAlign w:val="top"/>
                </w:tcPr>
                <w:p w14:paraId="61D85B97">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MJ/kg</w:t>
                  </w:r>
                </w:p>
              </w:tc>
              <w:tc>
                <w:tcPr>
                  <w:tcW w:w="1732" w:type="dxa"/>
                  <w:noWrap w:val="0"/>
                  <w:vAlign w:val="top"/>
                </w:tcPr>
                <w:p w14:paraId="3AA625C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19.46</w:t>
                  </w:r>
                </w:p>
              </w:tc>
            </w:tr>
            <w:tr w14:paraId="664C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16" w:type="dxa"/>
                  <w:noWrap w:val="0"/>
                  <w:vAlign w:val="top"/>
                </w:tcPr>
                <w:p w14:paraId="68E4765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845" w:type="dxa"/>
                  <w:noWrap w:val="0"/>
                  <w:vAlign w:val="top"/>
                </w:tcPr>
                <w:p w14:paraId="2A53BFFF">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收到基恒容低位发热量</w:t>
                  </w:r>
                </w:p>
              </w:tc>
              <w:tc>
                <w:tcPr>
                  <w:tcW w:w="1749" w:type="dxa"/>
                  <w:noWrap w:val="0"/>
                  <w:vAlign w:val="top"/>
                </w:tcPr>
                <w:p w14:paraId="07D2C7E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Qnet，v，ar</w:t>
                  </w:r>
                </w:p>
              </w:tc>
              <w:tc>
                <w:tcPr>
                  <w:tcW w:w="1915" w:type="dxa"/>
                  <w:noWrap w:val="0"/>
                  <w:vAlign w:val="top"/>
                </w:tcPr>
                <w:p w14:paraId="4C6E5DE6">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MJ/kg</w:t>
                  </w:r>
                </w:p>
              </w:tc>
              <w:tc>
                <w:tcPr>
                  <w:tcW w:w="1732" w:type="dxa"/>
                  <w:noWrap w:val="0"/>
                  <w:vAlign w:val="top"/>
                </w:tcPr>
                <w:p w14:paraId="20DEE0C9">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18.32</w:t>
                  </w:r>
                </w:p>
              </w:tc>
            </w:tr>
            <w:tr w14:paraId="7227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16" w:type="dxa"/>
                  <w:noWrap w:val="0"/>
                  <w:vAlign w:val="top"/>
                </w:tcPr>
                <w:p w14:paraId="57CECB1D">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1845" w:type="dxa"/>
                  <w:noWrap w:val="0"/>
                  <w:vAlign w:val="top"/>
                </w:tcPr>
                <w:p w14:paraId="0F16947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收到基恒压低位发热量</w:t>
                  </w:r>
                </w:p>
              </w:tc>
              <w:tc>
                <w:tcPr>
                  <w:tcW w:w="1749" w:type="dxa"/>
                  <w:noWrap w:val="0"/>
                  <w:vAlign w:val="top"/>
                </w:tcPr>
                <w:p w14:paraId="3DD9459C">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Qnet，v，ar</w:t>
                  </w:r>
                </w:p>
              </w:tc>
              <w:tc>
                <w:tcPr>
                  <w:tcW w:w="1915" w:type="dxa"/>
                  <w:noWrap w:val="0"/>
                  <w:vAlign w:val="top"/>
                </w:tcPr>
                <w:p w14:paraId="63E6C81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MJ/kg</w:t>
                  </w:r>
                </w:p>
              </w:tc>
              <w:tc>
                <w:tcPr>
                  <w:tcW w:w="1732" w:type="dxa"/>
                  <w:noWrap w:val="0"/>
                  <w:vAlign w:val="top"/>
                </w:tcPr>
                <w:p w14:paraId="09A0F20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18.25</w:t>
                  </w:r>
                </w:p>
              </w:tc>
            </w:tr>
            <w:tr w14:paraId="6630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5FED0CB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845" w:type="dxa"/>
                  <w:noWrap w:val="0"/>
                  <w:vAlign w:val="top"/>
                </w:tcPr>
                <w:p w14:paraId="0F20973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空干基碳</w:t>
                  </w:r>
                </w:p>
              </w:tc>
              <w:tc>
                <w:tcPr>
                  <w:tcW w:w="1749" w:type="dxa"/>
                  <w:noWrap w:val="0"/>
                  <w:vAlign w:val="top"/>
                </w:tcPr>
                <w:p w14:paraId="70D35A4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Cad</w:t>
                  </w:r>
                </w:p>
              </w:tc>
              <w:tc>
                <w:tcPr>
                  <w:tcW w:w="1915" w:type="dxa"/>
                  <w:noWrap w:val="0"/>
                  <w:vAlign w:val="top"/>
                </w:tcPr>
                <w:p w14:paraId="67C5392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4AB8AE4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46.30</w:t>
                  </w:r>
                </w:p>
              </w:tc>
            </w:tr>
            <w:tr w14:paraId="7A20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16" w:type="dxa"/>
                  <w:noWrap w:val="0"/>
                  <w:vAlign w:val="top"/>
                </w:tcPr>
                <w:p w14:paraId="2195279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845" w:type="dxa"/>
                  <w:noWrap w:val="0"/>
                  <w:vAlign w:val="top"/>
                </w:tcPr>
                <w:p w14:paraId="46B54F7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空干基氢</w:t>
                  </w:r>
                </w:p>
              </w:tc>
              <w:tc>
                <w:tcPr>
                  <w:tcW w:w="1749" w:type="dxa"/>
                  <w:noWrap w:val="0"/>
                  <w:vAlign w:val="top"/>
                </w:tcPr>
                <w:p w14:paraId="0FC188E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Had</w:t>
                  </w:r>
                </w:p>
              </w:tc>
              <w:tc>
                <w:tcPr>
                  <w:tcW w:w="1915" w:type="dxa"/>
                  <w:noWrap w:val="0"/>
                  <w:vAlign w:val="top"/>
                </w:tcPr>
                <w:p w14:paraId="09DAB38E">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7922DF3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5.12</w:t>
                  </w:r>
                </w:p>
              </w:tc>
            </w:tr>
            <w:tr w14:paraId="0657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16" w:type="dxa"/>
                  <w:noWrap w:val="0"/>
                  <w:vAlign w:val="top"/>
                </w:tcPr>
                <w:p w14:paraId="2A8CA69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845" w:type="dxa"/>
                  <w:noWrap w:val="0"/>
                  <w:vAlign w:val="top"/>
                </w:tcPr>
                <w:p w14:paraId="27D22CE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空干基氮</w:t>
                  </w:r>
                </w:p>
              </w:tc>
              <w:tc>
                <w:tcPr>
                  <w:tcW w:w="1749" w:type="dxa"/>
                  <w:noWrap w:val="0"/>
                  <w:vAlign w:val="top"/>
                </w:tcPr>
                <w:p w14:paraId="4F14822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Nad</w:t>
                  </w:r>
                </w:p>
              </w:tc>
              <w:tc>
                <w:tcPr>
                  <w:tcW w:w="1915" w:type="dxa"/>
                  <w:noWrap w:val="0"/>
                  <w:vAlign w:val="top"/>
                </w:tcPr>
                <w:p w14:paraId="5A227F26">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32" w:type="dxa"/>
                  <w:noWrap w:val="0"/>
                  <w:vAlign w:val="top"/>
                </w:tcPr>
                <w:p w14:paraId="565EB3E8">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w:t>
                  </w:r>
                </w:p>
              </w:tc>
            </w:tr>
          </w:tbl>
          <w:p w14:paraId="6C839CAE">
            <w:pPr>
              <w:pStyle w:val="2"/>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扩建的锅炉</w:t>
            </w:r>
            <w:r>
              <w:rPr>
                <w:rFonts w:hint="default" w:ascii="Times New Roman" w:hAnsi="Times New Roman" w:eastAsia="宋体" w:cs="Times New Roman"/>
                <w:color w:val="auto"/>
                <w:sz w:val="21"/>
                <w:szCs w:val="21"/>
              </w:rPr>
              <w:t>以成型生物质颗粒作为燃料，年运行300天，每天运行</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小时，1小时蒸汽最大供应量为</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t。根据《环境统计手册》，生物质燃料用量计算方法如下：</w:t>
            </w:r>
          </w:p>
          <w:p w14:paraId="1BD13B57">
            <w:pPr>
              <w:spacing w:line="360" w:lineRule="auto"/>
              <w:jc w:val="center"/>
              <w:rPr>
                <w:rFonts w:hint="default" w:ascii="Times New Roman" w:hAnsi="Times New Roman" w:eastAsia="宋体" w:cs="Times New Roman"/>
                <w:color w:val="auto"/>
                <w:position w:val="-30"/>
                <w:sz w:val="21"/>
                <w:szCs w:val="21"/>
              </w:rPr>
            </w:pPr>
          </w:p>
          <w:p w14:paraId="46669041">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position w:val="-30"/>
                <w:sz w:val="21"/>
                <w:szCs w:val="21"/>
              </w:rPr>
              <w:drawing>
                <wp:inline distT="0" distB="0" distL="114300" distR="114300">
                  <wp:extent cx="2421255" cy="457835"/>
                  <wp:effectExtent l="0" t="0" r="0" b="18415"/>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11"/>
                          <a:stretch>
                            <a:fillRect/>
                          </a:stretch>
                        </pic:blipFill>
                        <pic:spPr>
                          <a:xfrm>
                            <a:off x="0" y="0"/>
                            <a:ext cx="2421255" cy="457835"/>
                          </a:xfrm>
                          <a:prstGeom prst="rect">
                            <a:avLst/>
                          </a:prstGeom>
                          <a:noFill/>
                          <a:ln>
                            <a:noFill/>
                          </a:ln>
                        </pic:spPr>
                      </pic:pic>
                    </a:graphicData>
                  </a:graphic>
                </wp:inline>
              </w:drawing>
            </w:r>
          </w:p>
          <w:p w14:paraId="4349C517">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lang w:eastAsia="zh-CN"/>
              </w:rPr>
              <w:t>生物质锅炉燃料</w:t>
            </w:r>
            <w:r>
              <w:rPr>
                <w:rFonts w:hint="default" w:ascii="Times New Roman" w:hAnsi="Times New Roman" w:eastAsia="宋体" w:cs="Times New Roman"/>
                <w:color w:val="auto"/>
                <w:sz w:val="21"/>
                <w:szCs w:val="21"/>
              </w:rPr>
              <w:t>耗量（单位kg/h）；</w:t>
            </w:r>
          </w:p>
          <w:p w14:paraId="1E24DA22">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D——锅炉产气量（单位kg/h）最大量为</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00kg/h；</w:t>
            </w:r>
          </w:p>
          <w:p w14:paraId="045B8257">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w:t>
            </w:r>
            <w:r>
              <w:rPr>
                <w:rFonts w:hint="default" w:ascii="Times New Roman" w:hAnsi="Times New Roman" w:eastAsia="宋体" w:cs="Times New Roman"/>
                <w:color w:val="auto"/>
                <w:sz w:val="21"/>
                <w:szCs w:val="21"/>
                <w:vertAlign w:val="subscript"/>
              </w:rPr>
              <w:t>L</w:t>
            </w:r>
            <w:r>
              <w:rPr>
                <w:rFonts w:hint="default" w:ascii="Times New Roman" w:hAnsi="Times New Roman" w:eastAsia="宋体" w:cs="Times New Roman"/>
                <w:color w:val="auto"/>
                <w:sz w:val="21"/>
                <w:szCs w:val="21"/>
              </w:rPr>
              <w:t>——燃料的低位发热值（单位KJ/kg），根据表</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，项目生物质颗粒低位发热值为18250KJ/kg；</w:t>
            </w:r>
          </w:p>
          <w:p w14:paraId="2D8EC66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η——锅炉的热效率，项目锅炉热效率按8</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%计；</w:t>
            </w:r>
          </w:p>
          <w:p w14:paraId="30ED3C9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i〞——锅炉在绝对工作压力下的饱和蒸汽热焓值（单位KJ/kg）,项目锅炉额定蒸汽压力为0.7MPa，经查询蒸汽热焓值为2785.14KJ/kg；</w:t>
            </w:r>
          </w:p>
          <w:p w14:paraId="2080C14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position w:val="-4"/>
                <w:sz w:val="21"/>
                <w:szCs w:val="21"/>
              </w:rPr>
            </w:pPr>
            <w:r>
              <w:rPr>
                <w:rFonts w:hint="default" w:ascii="Times New Roman" w:hAnsi="Times New Roman" w:eastAsia="宋体" w:cs="Times New Roman"/>
                <w:color w:val="auto"/>
                <w:position w:val="-4"/>
                <w:sz w:val="21"/>
                <w:szCs w:val="21"/>
              </w:rPr>
              <w:t>i＇——锅炉给水热焓值（单位KJ/kg），一般来说锅炉给水温度为20℃，给水热焓值为83.71KJ/kg。</w:t>
            </w:r>
          </w:p>
          <w:p w14:paraId="6DA83C0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经计算，项目生物质燃料年消耗量为</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val="en-US" w:eastAsia="zh-CN"/>
              </w:rPr>
              <w:t>740kg</w:t>
            </w:r>
            <w:r>
              <w:rPr>
                <w:rFonts w:hint="default" w:ascii="Times New Roman" w:hAnsi="Times New Roman" w:eastAsia="宋体" w:cs="Times New Roman"/>
                <w:color w:val="auto"/>
                <w:sz w:val="21"/>
                <w:szCs w:val="21"/>
              </w:rPr>
              <w:t>/h）。</w:t>
            </w:r>
          </w:p>
          <w:p w14:paraId="6DFB365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本项目物料平衡如下：</w:t>
            </w:r>
          </w:p>
          <w:p w14:paraId="3C1483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表2-5  项目物料平衡单位：t/a</w:t>
            </w:r>
          </w:p>
          <w:tbl>
            <w:tblPr>
              <w:tblStyle w:val="26"/>
              <w:tblW w:w="8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2015"/>
              <w:gridCol w:w="2014"/>
              <w:gridCol w:w="2016"/>
            </w:tblGrid>
            <w:tr w14:paraId="01C7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029" w:type="dxa"/>
                  <w:gridSpan w:val="2"/>
                  <w:vAlign w:val="center"/>
                </w:tcPr>
                <w:p w14:paraId="69209EC4">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投入</w:t>
                  </w:r>
                </w:p>
              </w:tc>
              <w:tc>
                <w:tcPr>
                  <w:tcW w:w="4030" w:type="dxa"/>
                  <w:gridSpan w:val="2"/>
                  <w:vAlign w:val="center"/>
                </w:tcPr>
                <w:p w14:paraId="2EC09A7C">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产出</w:t>
                  </w:r>
                </w:p>
              </w:tc>
            </w:tr>
            <w:tr w14:paraId="2E76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14" w:type="dxa"/>
                  <w:vAlign w:val="center"/>
                </w:tcPr>
                <w:p w14:paraId="1DEC4BBE">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原纸</w:t>
                  </w:r>
                </w:p>
              </w:tc>
              <w:tc>
                <w:tcPr>
                  <w:tcW w:w="2015" w:type="dxa"/>
                  <w:vAlign w:val="center"/>
                </w:tcPr>
                <w:p w14:paraId="3CC03199">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7640</w:t>
                  </w:r>
                </w:p>
              </w:tc>
              <w:tc>
                <w:tcPr>
                  <w:tcW w:w="2014" w:type="dxa"/>
                  <w:vAlign w:val="center"/>
                </w:tcPr>
                <w:p w14:paraId="00BFC5C0">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瓦楞纸板</w:t>
                  </w:r>
                </w:p>
              </w:tc>
              <w:tc>
                <w:tcPr>
                  <w:tcW w:w="2016" w:type="dxa"/>
                  <w:vAlign w:val="center"/>
                </w:tcPr>
                <w:p w14:paraId="761C137A">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8000</w:t>
                  </w:r>
                </w:p>
              </w:tc>
            </w:tr>
            <w:tr w14:paraId="4AB3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14" w:type="dxa"/>
                  <w:vAlign w:val="center"/>
                </w:tcPr>
                <w:p w14:paraId="34472DC0">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color w:val="auto"/>
                      <w:szCs w:val="21"/>
                      <w:lang w:val="en-US" w:eastAsia="zh-CN"/>
                    </w:rPr>
                    <w:t>淀粉</w:t>
                  </w:r>
                </w:p>
              </w:tc>
              <w:tc>
                <w:tcPr>
                  <w:tcW w:w="2015" w:type="dxa"/>
                  <w:vAlign w:val="center"/>
                </w:tcPr>
                <w:p w14:paraId="0EC86BC9">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600</w:t>
                  </w:r>
                </w:p>
              </w:tc>
              <w:tc>
                <w:tcPr>
                  <w:tcW w:w="2014" w:type="dxa"/>
                  <w:vAlign w:val="center"/>
                </w:tcPr>
                <w:p w14:paraId="359134B2">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color w:val="auto"/>
                    </w:rPr>
                    <w:t>边角料和不合格产品</w:t>
                  </w:r>
                </w:p>
              </w:tc>
              <w:tc>
                <w:tcPr>
                  <w:tcW w:w="2016" w:type="dxa"/>
                  <w:vAlign w:val="center"/>
                </w:tcPr>
                <w:p w14:paraId="631BA797">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240</w:t>
                  </w:r>
                </w:p>
              </w:tc>
            </w:tr>
            <w:tr w14:paraId="7953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14" w:type="dxa"/>
                  <w:vAlign w:val="center"/>
                </w:tcPr>
                <w:p w14:paraId="50DDBCE5">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氢氧化钠</w:t>
                  </w:r>
                </w:p>
              </w:tc>
              <w:tc>
                <w:tcPr>
                  <w:tcW w:w="2015" w:type="dxa"/>
                  <w:vAlign w:val="center"/>
                </w:tcPr>
                <w:p w14:paraId="11E57A25">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w:t>
                  </w:r>
                </w:p>
              </w:tc>
              <w:tc>
                <w:tcPr>
                  <w:tcW w:w="2014" w:type="dxa"/>
                  <w:vAlign w:val="center"/>
                </w:tcPr>
                <w:p w14:paraId="7526ED20">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color w:val="auto"/>
                    </w:rPr>
                    <w:t>废胶渣</w:t>
                  </w:r>
                </w:p>
              </w:tc>
              <w:tc>
                <w:tcPr>
                  <w:tcW w:w="2016" w:type="dxa"/>
                  <w:vAlign w:val="center"/>
                </w:tcPr>
                <w:p w14:paraId="5FB13688">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w:t>
                  </w:r>
                </w:p>
              </w:tc>
            </w:tr>
            <w:tr w14:paraId="0514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14" w:type="dxa"/>
                  <w:vAlign w:val="center"/>
                </w:tcPr>
                <w:p w14:paraId="2FBBAEFE">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水</w:t>
                  </w:r>
                </w:p>
              </w:tc>
              <w:tc>
                <w:tcPr>
                  <w:tcW w:w="2015" w:type="dxa"/>
                  <w:vAlign w:val="center"/>
                </w:tcPr>
                <w:p w14:paraId="029FE9E4">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312</w:t>
                  </w:r>
                </w:p>
              </w:tc>
              <w:tc>
                <w:tcPr>
                  <w:tcW w:w="2014" w:type="dxa"/>
                  <w:vAlign w:val="center"/>
                </w:tcPr>
                <w:p w14:paraId="75CD1CCB">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b w:val="0"/>
                      <w:bCs/>
                      <w:color w:val="auto"/>
                      <w:sz w:val="21"/>
                      <w:szCs w:val="21"/>
                      <w:vertAlign w:val="baseline"/>
                      <w:lang w:val="en-US" w:eastAsia="zh-CN"/>
                    </w:rPr>
                    <w:t>废包装材料</w:t>
                  </w:r>
                </w:p>
              </w:tc>
              <w:tc>
                <w:tcPr>
                  <w:tcW w:w="2016" w:type="dxa"/>
                  <w:vAlign w:val="center"/>
                </w:tcPr>
                <w:p w14:paraId="51A5918D">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w:t>
                  </w:r>
                </w:p>
              </w:tc>
            </w:tr>
            <w:tr w14:paraId="2E2A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014" w:type="dxa"/>
                  <w:vAlign w:val="center"/>
                </w:tcPr>
                <w:p w14:paraId="1D66480B">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color w:val="auto"/>
                    </w:rPr>
                    <w:t>废胶渣</w:t>
                  </w:r>
                </w:p>
              </w:tc>
              <w:tc>
                <w:tcPr>
                  <w:tcW w:w="2015" w:type="dxa"/>
                  <w:vAlign w:val="center"/>
                </w:tcPr>
                <w:p w14:paraId="53316DFB">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w:t>
                  </w:r>
                </w:p>
              </w:tc>
              <w:tc>
                <w:tcPr>
                  <w:tcW w:w="2014" w:type="dxa"/>
                  <w:vAlign w:val="center"/>
                </w:tcPr>
                <w:p w14:paraId="412EACBD">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水分损失</w:t>
                  </w:r>
                </w:p>
              </w:tc>
              <w:tc>
                <w:tcPr>
                  <w:tcW w:w="2016" w:type="dxa"/>
                  <w:vAlign w:val="center"/>
                </w:tcPr>
                <w:p w14:paraId="6BA3D892">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312</w:t>
                  </w:r>
                </w:p>
              </w:tc>
            </w:tr>
            <w:tr w14:paraId="15A6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014" w:type="dxa"/>
                  <w:vAlign w:val="center"/>
                </w:tcPr>
                <w:p w14:paraId="221D1A22">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合计</w:t>
                  </w:r>
                </w:p>
              </w:tc>
              <w:tc>
                <w:tcPr>
                  <w:tcW w:w="2015" w:type="dxa"/>
                  <w:vAlign w:val="center"/>
                </w:tcPr>
                <w:p w14:paraId="1736CBA7">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8568</w:t>
                  </w:r>
                </w:p>
              </w:tc>
              <w:tc>
                <w:tcPr>
                  <w:tcW w:w="2014" w:type="dxa"/>
                  <w:vAlign w:val="center"/>
                </w:tcPr>
                <w:p w14:paraId="1D7BB505">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合计</w:t>
                  </w:r>
                </w:p>
              </w:tc>
              <w:tc>
                <w:tcPr>
                  <w:tcW w:w="2016" w:type="dxa"/>
                  <w:vAlign w:val="center"/>
                </w:tcPr>
                <w:p w14:paraId="006ACB93">
                  <w:pPr>
                    <w:keepNext w:val="0"/>
                    <w:keepLines w:val="0"/>
                    <w:pageBreakBefore w:val="0"/>
                    <w:widowControl w:val="0"/>
                    <w:suppressLineNumbers w:val="0"/>
                    <w:kinsoku/>
                    <w:wordWrap/>
                    <w:overflowPunct/>
                    <w:topLinePunct w:val="0"/>
                    <w:autoSpaceDE/>
                    <w:autoSpaceDN/>
                    <w:bidi w:val="0"/>
                    <w:adjustRightInd w:val="0"/>
                    <w:snapToGrid w:val="0"/>
                    <w:spacing w:before="126" w:beforeLines="40" w:beforeAutospacing="0" w:after="126" w:afterLines="4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8568</w:t>
                  </w:r>
                </w:p>
              </w:tc>
            </w:tr>
          </w:tbl>
          <w:p w14:paraId="16AB9417">
            <w:pPr>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2.6 公用工程</w:t>
            </w:r>
          </w:p>
          <w:p w14:paraId="4F5CE389">
            <w:pPr>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2.6.1 供电</w:t>
            </w:r>
          </w:p>
          <w:p w14:paraId="3991ECEA">
            <w:pPr>
              <w:autoSpaceDE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新建一间40㎡的配电室，位于4A车间东南角，本次瓦楞纸板生产线从新建配电室接线，其余设备从</w:t>
            </w:r>
            <w:r>
              <w:rPr>
                <w:rFonts w:hint="default" w:ascii="Times New Roman" w:hAnsi="Times New Roman" w:eastAsia="宋体" w:cs="Times New Roman"/>
                <w:color w:val="auto"/>
                <w:sz w:val="21"/>
                <w:szCs w:val="21"/>
                <w:lang w:val="en-US" w:eastAsia="zh-CN"/>
              </w:rPr>
              <w:t>云南新兴仁恒包装材料有限公司</w:t>
            </w:r>
            <w:r>
              <w:rPr>
                <w:rFonts w:hint="default" w:ascii="Times New Roman" w:hAnsi="Times New Roman" w:eastAsia="宋体" w:cs="Times New Roman"/>
                <w:color w:val="auto"/>
                <w:szCs w:val="21"/>
              </w:rPr>
              <w:t>配电室</w:t>
            </w:r>
            <w:r>
              <w:rPr>
                <w:rFonts w:hint="default" w:ascii="Times New Roman" w:hAnsi="Times New Roman" w:eastAsia="宋体" w:cs="Times New Roman"/>
                <w:color w:val="auto"/>
                <w:szCs w:val="21"/>
                <w:lang w:val="en-US" w:eastAsia="zh-CN"/>
              </w:rPr>
              <w:t>接线，</w:t>
            </w:r>
            <w:r>
              <w:rPr>
                <w:rFonts w:hint="default" w:ascii="Times New Roman" w:hAnsi="Times New Roman" w:eastAsia="宋体" w:cs="Times New Roman"/>
                <w:color w:val="auto"/>
                <w:szCs w:val="21"/>
              </w:rPr>
              <w:t>可满足企业需求。</w:t>
            </w:r>
          </w:p>
          <w:p w14:paraId="2E3AA74C">
            <w:pPr>
              <w:autoSpaceDE w:val="0"/>
              <w:snapToGrid w:val="0"/>
              <w:spacing w:line="360" w:lineRule="auto"/>
              <w:jc w:val="left"/>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2.6.2 给水</w:t>
            </w:r>
          </w:p>
          <w:p w14:paraId="1B30E3BB">
            <w:pPr>
              <w:pStyle w:val="11"/>
              <w:widowControl w:val="0"/>
              <w:spacing w:before="0" w:after="0"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w:t>
            </w:r>
            <w:r>
              <w:rPr>
                <w:rFonts w:hint="default" w:ascii="Times New Roman" w:hAnsi="Times New Roman" w:eastAsia="宋体" w:cs="Times New Roman"/>
                <w:color w:val="auto"/>
                <w:sz w:val="21"/>
                <w:szCs w:val="21"/>
                <w:lang w:val="en-US" w:eastAsia="zh-CN"/>
              </w:rPr>
              <w:t>市政</w:t>
            </w:r>
            <w:r>
              <w:rPr>
                <w:rFonts w:hint="default" w:ascii="Times New Roman" w:hAnsi="Times New Roman" w:eastAsia="宋体" w:cs="Times New Roman"/>
                <w:color w:val="auto"/>
                <w:sz w:val="21"/>
                <w:szCs w:val="21"/>
              </w:rPr>
              <w:t>管网供水。</w:t>
            </w:r>
          </w:p>
          <w:p w14:paraId="3D9D3D99">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2.6.3 排水</w:t>
            </w:r>
          </w:p>
          <w:p w14:paraId="5450E70E">
            <w:pPr>
              <w:adjustRightInd w:val="0"/>
              <w:snapToGrid w:val="0"/>
              <w:spacing w:line="360" w:lineRule="auto"/>
              <w:ind w:firstLine="420" w:firstLineChars="200"/>
              <w:jc w:val="left"/>
              <w:rPr>
                <w:rFonts w:hint="default" w:ascii="Times New Roman" w:hAnsi="Times New Roman" w:eastAsia="宋体" w:cs="Times New Roman"/>
                <w:bCs/>
                <w:color w:val="auto"/>
                <w:szCs w:val="21"/>
                <w:lang w:eastAsia="zh-CN"/>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lang w:val="en-US" w:eastAsia="zh-CN"/>
              </w:rPr>
              <w:t>生产废水为制胶、糊胶设备清洗废水锅炉软水制备产生的废水、锅炉排污水、车间清洁废水；制胶、糊胶设备清洗废水暂存于清洗桶内，</w:t>
            </w:r>
            <w:r>
              <w:rPr>
                <w:rFonts w:hint="default" w:ascii="Times New Roman" w:hAnsi="Times New Roman" w:eastAsia="宋体" w:cs="Times New Roman"/>
                <w:color w:val="auto"/>
                <w:sz w:val="21"/>
                <w:szCs w:val="21"/>
                <w:lang w:val="en-US" w:eastAsia="zh-CN"/>
              </w:rPr>
              <w:t>回用于制胶；</w:t>
            </w:r>
            <w:r>
              <w:rPr>
                <w:rFonts w:hint="default" w:ascii="Times New Roman" w:hAnsi="Times New Roman" w:eastAsia="宋体" w:cs="Times New Roman"/>
                <w:color w:val="auto"/>
                <w:lang w:val="en-US" w:eastAsia="zh-CN"/>
              </w:rPr>
              <w:t>锅炉软水制备产生的废水、锅炉排污水进入</w:t>
            </w: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1"/>
                <w:lang w:val="en-US" w:eastAsia="zh-CN"/>
              </w:rPr>
              <w:t>本项目不新增劳动定员，不新增生活污水，生活污水依托云南新兴仁恒包装材料有限公司40m³/d的生活污水处理设施处理达标后回用于绿化及厂区洒水降尘</w:t>
            </w:r>
            <w:r>
              <w:rPr>
                <w:rFonts w:hint="default" w:ascii="Times New Roman" w:hAnsi="Times New Roman" w:eastAsia="宋体" w:cs="Times New Roman"/>
                <w:color w:val="auto"/>
                <w:sz w:val="21"/>
                <w:szCs w:val="21"/>
                <w:lang w:eastAsia="zh-CN"/>
              </w:rPr>
              <w:t>。</w:t>
            </w:r>
          </w:p>
          <w:p w14:paraId="3EBCE113">
            <w:pPr>
              <w:adjustRightInd w:val="0"/>
              <w:snapToGrid w:val="0"/>
              <w:spacing w:line="360" w:lineRule="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2.7 水平衡分析</w:t>
            </w:r>
          </w:p>
          <w:p w14:paraId="6F13595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本项目产生生活污水和生产废水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生产废水为车间清洁废水、印刷机和印刷版清洁废液</w:t>
            </w:r>
            <w:r>
              <w:rPr>
                <w:rFonts w:hint="default" w:ascii="Times New Roman" w:hAnsi="Times New Roman" w:eastAsia="宋体" w:cs="Times New Roman"/>
                <w:color w:val="auto"/>
              </w:rPr>
              <w:t>。</w:t>
            </w:r>
          </w:p>
          <w:p w14:paraId="5457245D">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①生活污水</w:t>
            </w:r>
          </w:p>
          <w:p w14:paraId="2E1AE1D2">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项目全厂</w:t>
            </w:r>
            <w:r>
              <w:rPr>
                <w:rFonts w:hint="default" w:ascii="Times New Roman" w:hAnsi="Times New Roman" w:eastAsia="宋体" w:cs="Times New Roman"/>
                <w:color w:val="auto"/>
                <w:lang w:val="en-US" w:eastAsia="zh-CN"/>
              </w:rPr>
              <w:t>目前</w:t>
            </w:r>
            <w:r>
              <w:rPr>
                <w:rFonts w:hint="default" w:ascii="Times New Roman" w:hAnsi="Times New Roman" w:eastAsia="宋体" w:cs="Times New Roman"/>
                <w:color w:val="auto"/>
              </w:rPr>
              <w:t>共</w:t>
            </w:r>
            <w:r>
              <w:rPr>
                <w:rFonts w:hint="default" w:ascii="Times New Roman" w:hAnsi="Times New Roman" w:eastAsia="宋体" w:cs="Times New Roman"/>
                <w:color w:val="auto"/>
                <w:lang w:val="en-US" w:eastAsia="zh-CN"/>
              </w:rPr>
              <w:t>20</w:t>
            </w:r>
            <w:r>
              <w:rPr>
                <w:rFonts w:hint="default" w:ascii="Times New Roman" w:hAnsi="Times New Roman" w:eastAsia="宋体" w:cs="Times New Roman"/>
                <w:color w:val="auto"/>
              </w:rPr>
              <w:t>人，</w:t>
            </w:r>
            <w:r>
              <w:rPr>
                <w:rFonts w:hint="default" w:ascii="Times New Roman" w:hAnsi="Times New Roman" w:eastAsia="宋体" w:cs="Times New Roman"/>
                <w:color w:val="auto"/>
                <w:lang w:val="en-US" w:eastAsia="zh-CN"/>
              </w:rPr>
              <w:t>无需新增劳动定员</w:t>
            </w:r>
            <w:r>
              <w:rPr>
                <w:rFonts w:hint="default" w:ascii="Times New Roman" w:hAnsi="Times New Roman" w:eastAsia="宋体" w:cs="Times New Roman"/>
                <w:color w:val="auto"/>
              </w:rPr>
              <w:t>。</w:t>
            </w:r>
          </w:p>
          <w:p w14:paraId="58560D8E">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②生产用水</w:t>
            </w:r>
          </w:p>
          <w:p w14:paraId="3D418D66">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A、制胶、糊胶设备清洗废水</w:t>
            </w:r>
          </w:p>
          <w:p w14:paraId="2BFE4272">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项目制胶、糊胶设备需要进行清洗，每次清洗产生污水0.2m³/d，60m³/a。产生的清洗废水收集至1m³的方桶内，供制胶使用。</w:t>
            </w:r>
          </w:p>
          <w:p w14:paraId="794290B0">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B锅炉软水制备产生的废水</w:t>
            </w:r>
          </w:p>
          <w:p w14:paraId="61E35267">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项目锅炉为瓦楞纸板生产线供热，供热方式为间接供热，蒸汽冷凝就回到回水罐返回至锅炉，根据企业提供的资料，每天需要补充软水2m³，项目使用离子交换软水制备系统，制备率为80%，</w:t>
            </w:r>
            <w:r>
              <w:rPr>
                <w:rFonts w:hint="default" w:ascii="Times New Roman" w:hAnsi="Times New Roman" w:eastAsia="宋体" w:cs="Times New Roman"/>
                <w:color w:val="auto"/>
                <w:lang w:val="en-US" w:eastAsia="zh-CN"/>
              </w:rPr>
              <w:t>则每天使用自来水2.5m³，软水制备废水生产量为0.5m³/d，150m³/a，</w:t>
            </w: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r>
              <w:rPr>
                <w:rFonts w:hint="default" w:ascii="Times New Roman" w:hAnsi="Times New Roman" w:eastAsia="宋体" w:cs="Times New Roman"/>
                <w:color w:val="auto"/>
                <w:lang w:val="en-US" w:eastAsia="zh-CN"/>
              </w:rPr>
              <w:t>。</w:t>
            </w:r>
          </w:p>
          <w:p w14:paraId="5187E822">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C、锅炉排污水</w:t>
            </w:r>
          </w:p>
          <w:p w14:paraId="64C4509D">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根据设备商提供的数据，每周锅炉需要进行一次排污水，排出量为100-120L/次，全年合计生产43周，最大产生量为5.16m³/a，0.0172m³/d。排污水来自于锅炉排污水</w:t>
            </w: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p>
          <w:p w14:paraId="53F6868D">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D、制胶用水</w:t>
            </w:r>
          </w:p>
          <w:p w14:paraId="567FF948">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本项目预计年使用800t自制淀粉胶，采用1%氢氧化钠、60%的淀粉、39%的水配比，则年使用水312t，1.04t/d。</w:t>
            </w:r>
          </w:p>
          <w:p w14:paraId="5AC900C2">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制胶、糊胶设备清洗废水产生量为0.2m³/d，60m³/a，这部分可回收后用于制胶，企业还需要使用新鲜水0.84m³/d，252m³/a</w:t>
            </w:r>
            <w:r>
              <w:rPr>
                <w:rFonts w:hint="default" w:ascii="Times New Roman" w:hAnsi="Times New Roman" w:eastAsia="宋体" w:cs="Times New Roman"/>
                <w:color w:val="auto"/>
              </w:rPr>
              <w:t>。</w:t>
            </w:r>
          </w:p>
          <w:p w14:paraId="6967CE75">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E、车间清洁废水</w:t>
            </w:r>
          </w:p>
          <w:p w14:paraId="2E632618">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生产车间新增清洁面积为合计需要打扫的面积为</w:t>
            </w:r>
            <w:r>
              <w:rPr>
                <w:rFonts w:hint="default" w:ascii="Times New Roman" w:hAnsi="Times New Roman" w:eastAsia="宋体" w:cs="Times New Roman"/>
                <w:color w:val="auto"/>
                <w:szCs w:val="21"/>
                <w:lang w:val="en-US" w:eastAsia="zh-CN"/>
              </w:rPr>
              <w:t>5583.7</w:t>
            </w:r>
            <w:r>
              <w:rPr>
                <w:rFonts w:hint="default" w:ascii="Times New Roman" w:hAnsi="Times New Roman" w:eastAsia="宋体" w:cs="Times New Roman"/>
                <w:color w:val="auto"/>
                <w:lang w:val="en-US" w:eastAsia="zh-CN"/>
              </w:rPr>
              <w:t>㎡，需要每周进行一次清洗（按50次/a计算），根据</w:t>
            </w:r>
            <w:r>
              <w:rPr>
                <w:rFonts w:hint="default" w:ascii="Times New Roman" w:hAnsi="Times New Roman" w:eastAsia="宋体" w:cs="Times New Roman"/>
                <w:color w:val="auto"/>
              </w:rPr>
              <w:t>《云南省地方标准用水定额》（GB53/T 168-2019)，</w:t>
            </w:r>
            <w:r>
              <w:rPr>
                <w:rFonts w:hint="default" w:ascii="Times New Roman" w:hAnsi="Times New Roman" w:eastAsia="宋体" w:cs="Times New Roman"/>
                <w:color w:val="auto"/>
                <w:lang w:val="en-US" w:eastAsia="zh-CN"/>
              </w:rPr>
              <w:t>用水定额按照1L/㎡·次，合计用水量为279m³/a，合计0.93m³/d，产污系数按0.8计算，则废水产生量为0.75m³/d，223.2m³/a。这部分废水成分主要为SS，不含有其它有毒有害物质，</w:t>
            </w: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r>
              <w:rPr>
                <w:rFonts w:hint="default" w:ascii="Times New Roman" w:hAnsi="Times New Roman" w:eastAsia="宋体" w:cs="Times New Roman"/>
                <w:color w:val="auto"/>
              </w:rPr>
              <w:t>。</w:t>
            </w:r>
          </w:p>
          <w:p w14:paraId="363FAA9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135880" cy="202755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135880" cy="2027555"/>
                          </a:xfrm>
                          <a:prstGeom prst="rect">
                            <a:avLst/>
                          </a:prstGeom>
                          <a:noFill/>
                          <a:ln>
                            <a:noFill/>
                          </a:ln>
                        </pic:spPr>
                      </pic:pic>
                    </a:graphicData>
                  </a:graphic>
                </wp:inline>
              </w:drawing>
            </w:r>
          </w:p>
          <w:p w14:paraId="47C6BEF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附图2.7-1   本项目水平衡图</w:t>
            </w:r>
          </w:p>
          <w:p w14:paraId="16A2235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132070" cy="2797175"/>
                  <wp:effectExtent l="0" t="0" r="1143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132070" cy="2797175"/>
                          </a:xfrm>
                          <a:prstGeom prst="rect">
                            <a:avLst/>
                          </a:prstGeom>
                          <a:noFill/>
                          <a:ln>
                            <a:noFill/>
                          </a:ln>
                        </pic:spPr>
                      </pic:pic>
                    </a:graphicData>
                  </a:graphic>
                </wp:inline>
              </w:drawing>
            </w:r>
          </w:p>
          <w:p w14:paraId="765503D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lang w:val="en-US" w:eastAsia="zh-CN"/>
              </w:rPr>
              <w:t>附图2.7-2   改建后全厂水平衡图</w:t>
            </w:r>
          </w:p>
          <w:p w14:paraId="2792C132">
            <w:pPr>
              <w:pStyle w:val="3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2.8蒸汽平衡</w:t>
            </w:r>
          </w:p>
          <w:p w14:paraId="02B8765B">
            <w:pPr>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rPr>
              <w:t>本项目物料平衡</w:t>
            </w:r>
            <w:r>
              <w:rPr>
                <w:rFonts w:hint="default" w:ascii="Times New Roman" w:hAnsi="Times New Roman" w:eastAsia="宋体" w:cs="Times New Roman"/>
                <w:color w:val="auto"/>
                <w:sz w:val="21"/>
                <w:szCs w:val="21"/>
                <w:lang w:eastAsia="zh-CN"/>
              </w:rPr>
              <w:t>见下表：</w:t>
            </w:r>
          </w:p>
          <w:p w14:paraId="0BD3432C">
            <w:pPr>
              <w:pStyle w:val="34"/>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表2-8-1本项目物料平衡一览表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647"/>
              <w:gridCol w:w="2445"/>
              <w:gridCol w:w="1987"/>
            </w:tblGrid>
            <w:tr w14:paraId="0A4F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pct"/>
                  <w:gridSpan w:val="2"/>
                  <w:vAlign w:val="center"/>
                </w:tcPr>
                <w:p w14:paraId="52A1D236">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额定蒸汽产生</w:t>
                  </w:r>
                  <w:r>
                    <w:rPr>
                      <w:rFonts w:hint="default" w:ascii="Times New Roman" w:hAnsi="Times New Roman" w:eastAsia="宋体" w:cs="Times New Roman"/>
                      <w:color w:val="auto"/>
                      <w:sz w:val="21"/>
                      <w:szCs w:val="21"/>
                    </w:rPr>
                    <w:t>情况</w:t>
                  </w:r>
                </w:p>
              </w:tc>
              <w:tc>
                <w:tcPr>
                  <w:tcW w:w="2742" w:type="pct"/>
                  <w:gridSpan w:val="2"/>
                  <w:vAlign w:val="center"/>
                </w:tcPr>
                <w:p w14:paraId="6FE38DE8">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蒸汽使用</w:t>
                  </w:r>
                  <w:r>
                    <w:rPr>
                      <w:rFonts w:hint="default" w:ascii="Times New Roman" w:hAnsi="Times New Roman" w:eastAsia="宋体" w:cs="Times New Roman"/>
                      <w:color w:val="auto"/>
                      <w:sz w:val="21"/>
                      <w:szCs w:val="21"/>
                    </w:rPr>
                    <w:t>情况</w:t>
                  </w:r>
                </w:p>
              </w:tc>
            </w:tr>
            <w:tr w14:paraId="6C63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49D91BE0">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019" w:type="pct"/>
                  <w:vAlign w:val="center"/>
                </w:tcPr>
                <w:p w14:paraId="3F06A371">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产生量</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513" w:type="pct"/>
                  <w:vAlign w:val="center"/>
                </w:tcPr>
                <w:p w14:paraId="176C1CE0">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229" w:type="pct"/>
                  <w:vAlign w:val="center"/>
                </w:tcPr>
                <w:p w14:paraId="7C1E395A">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使用</w:t>
                  </w:r>
                  <w:r>
                    <w:rPr>
                      <w:rFonts w:hint="default" w:ascii="Times New Roman" w:hAnsi="Times New Roman" w:eastAsia="宋体" w:cs="Times New Roman"/>
                      <w:color w:val="auto"/>
                      <w:sz w:val="21"/>
                      <w:szCs w:val="21"/>
                    </w:rPr>
                    <w:t>量（t/a）</w:t>
                  </w:r>
                </w:p>
              </w:tc>
            </w:tr>
            <w:tr w14:paraId="0829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60447166">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饱和蒸汽</w:t>
                  </w:r>
                </w:p>
              </w:tc>
              <w:tc>
                <w:tcPr>
                  <w:tcW w:w="1019" w:type="pct"/>
                  <w:vAlign w:val="center"/>
                </w:tcPr>
                <w:p w14:paraId="4DE5EAF4">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9600</w:t>
                  </w:r>
                </w:p>
              </w:tc>
              <w:tc>
                <w:tcPr>
                  <w:tcW w:w="1513" w:type="pct"/>
                  <w:vAlign w:val="center"/>
                </w:tcPr>
                <w:p w14:paraId="0B7D9340">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瓦楞纸板预热、加热干燥工段</w:t>
                  </w:r>
                </w:p>
              </w:tc>
              <w:tc>
                <w:tcPr>
                  <w:tcW w:w="1229" w:type="pct"/>
                  <w:vAlign w:val="center"/>
                </w:tcPr>
                <w:p w14:paraId="299E0FA7">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9000</w:t>
                  </w:r>
                </w:p>
              </w:tc>
            </w:tr>
            <w:tr w14:paraId="30A1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68711BEA">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19" w:type="pct"/>
                  <w:vAlign w:val="center"/>
                </w:tcPr>
                <w:p w14:paraId="32FD5120">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513" w:type="pct"/>
                  <w:vAlign w:val="center"/>
                </w:tcPr>
                <w:p w14:paraId="24E0B428">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损耗量</w:t>
                  </w:r>
                </w:p>
              </w:tc>
              <w:tc>
                <w:tcPr>
                  <w:tcW w:w="1229" w:type="pct"/>
                  <w:vAlign w:val="center"/>
                </w:tcPr>
                <w:p w14:paraId="0A0B6774">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600</w:t>
                  </w:r>
                </w:p>
              </w:tc>
            </w:tr>
            <w:tr w14:paraId="033B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3B52ED30">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19" w:type="pct"/>
                  <w:vAlign w:val="center"/>
                </w:tcPr>
                <w:p w14:paraId="3859CB92">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9600</w:t>
                  </w:r>
                </w:p>
              </w:tc>
              <w:tc>
                <w:tcPr>
                  <w:tcW w:w="1513" w:type="pct"/>
                  <w:vAlign w:val="center"/>
                </w:tcPr>
                <w:p w14:paraId="12DFB26F">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229" w:type="pct"/>
                  <w:vAlign w:val="center"/>
                </w:tcPr>
                <w:p w14:paraId="3488E85A">
                  <w:pPr>
                    <w:pStyle w:val="84"/>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9600</w:t>
                  </w:r>
                </w:p>
              </w:tc>
            </w:tr>
          </w:tbl>
          <w:p w14:paraId="15FBC1B0">
            <w:pPr>
              <w:keepNext w:val="0"/>
              <w:keepLines w:val="0"/>
              <w:pageBreakBefore w:val="0"/>
              <w:widowControl w:val="0"/>
              <w:kinsoku/>
              <w:wordWrap/>
              <w:overflowPunct/>
              <w:topLinePunct w:val="0"/>
              <w:autoSpaceDE/>
              <w:autoSpaceDN/>
              <w:bidi w:val="0"/>
              <w:adjustRightInd/>
              <w:snapToGrid w:val="0"/>
              <w:spacing w:before="157" w:beforeLines="5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rPr>
              <w:drawing>
                <wp:inline distT="0" distB="0" distL="114300" distR="114300">
                  <wp:extent cx="5137785" cy="1548130"/>
                  <wp:effectExtent l="0" t="0" r="5715"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5137785" cy="1548130"/>
                          </a:xfrm>
                          <a:prstGeom prst="rect">
                            <a:avLst/>
                          </a:prstGeom>
                          <a:noFill/>
                          <a:ln>
                            <a:noFill/>
                          </a:ln>
                        </pic:spPr>
                      </pic:pic>
                    </a:graphicData>
                  </a:graphic>
                </wp:inline>
              </w:drawing>
            </w:r>
          </w:p>
          <w:p w14:paraId="7EADDB81">
            <w:pPr>
              <w:keepNext w:val="0"/>
              <w:keepLines w:val="0"/>
              <w:pageBreakBefore w:val="0"/>
              <w:kinsoku/>
              <w:wordWrap/>
              <w:overflowPunct/>
              <w:topLinePunct w:val="0"/>
              <w:autoSpaceDE/>
              <w:autoSpaceDN/>
              <w:bidi w:val="0"/>
              <w:adjustRightInd/>
              <w:snapToGrid w:val="0"/>
              <w:ind w:left="0" w:leftChars="0"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sz w:val="21"/>
                <w:szCs w:val="21"/>
                <w:lang w:val="en-US" w:eastAsia="zh-CN"/>
              </w:rPr>
              <w:t>图2-8-2项目蒸汽平衡图  t/a</w:t>
            </w:r>
          </w:p>
          <w:p w14:paraId="3632BFB7">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 xml:space="preserve"> 劳动定员及工作制度</w:t>
            </w:r>
          </w:p>
          <w:p w14:paraId="53F1ADD0">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bCs/>
                <w:color w:val="auto"/>
              </w:rPr>
              <w:t>根据建设单位提供的资料，</w:t>
            </w:r>
            <w:r>
              <w:rPr>
                <w:rFonts w:hint="default" w:ascii="Times New Roman" w:hAnsi="Times New Roman" w:eastAsia="宋体" w:cs="Times New Roman"/>
                <w:color w:val="auto"/>
              </w:rPr>
              <w:t>项目</w:t>
            </w:r>
            <w:r>
              <w:rPr>
                <w:rFonts w:hint="default" w:ascii="Times New Roman" w:hAnsi="Times New Roman" w:eastAsia="宋体" w:cs="Times New Roman"/>
                <w:bCs/>
                <w:color w:val="auto"/>
                <w:lang w:val="en-US" w:eastAsia="zh-CN"/>
              </w:rPr>
              <w:t>劳动</w:t>
            </w:r>
            <w:r>
              <w:rPr>
                <w:rFonts w:hint="default" w:ascii="Times New Roman" w:hAnsi="Times New Roman" w:eastAsia="宋体" w:cs="Times New Roman"/>
                <w:bCs/>
                <w:color w:val="auto"/>
              </w:rPr>
              <w:t>定员为</w:t>
            </w:r>
            <w:r>
              <w:rPr>
                <w:rFonts w:hint="default" w:ascii="Times New Roman" w:hAnsi="Times New Roman" w:eastAsia="宋体" w:cs="Times New Roman"/>
                <w:bCs/>
                <w:color w:val="auto"/>
                <w:lang w:val="en-US" w:eastAsia="zh-CN"/>
              </w:rPr>
              <w:t>20</w:t>
            </w:r>
            <w:r>
              <w:rPr>
                <w:rFonts w:hint="default" w:ascii="Times New Roman" w:hAnsi="Times New Roman" w:eastAsia="宋体" w:cs="Times New Roman"/>
                <w:bCs/>
                <w:color w:val="auto"/>
              </w:rPr>
              <w:t>人，</w:t>
            </w:r>
            <w:r>
              <w:rPr>
                <w:rFonts w:hint="default" w:ascii="Times New Roman" w:hAnsi="Times New Roman" w:eastAsia="宋体" w:cs="Times New Roman"/>
                <w:bCs/>
                <w:color w:val="auto"/>
                <w:lang w:val="en-US" w:eastAsia="zh-CN"/>
              </w:rPr>
              <w:t>现有工人20人，不新增劳动定员，</w:t>
            </w:r>
            <w:r>
              <w:rPr>
                <w:rFonts w:hint="default" w:ascii="Times New Roman" w:hAnsi="Times New Roman" w:eastAsia="宋体" w:cs="Times New Roman"/>
                <w:color w:val="auto"/>
              </w:rPr>
              <w:t>年生产300天，每天1班，每班8小时</w:t>
            </w:r>
            <w:r>
              <w:rPr>
                <w:rFonts w:hint="default" w:ascii="Times New Roman" w:hAnsi="Times New Roman" w:eastAsia="宋体" w:cs="Times New Roman"/>
                <w:bCs/>
                <w:color w:val="auto"/>
              </w:rPr>
              <w:t>。</w:t>
            </w:r>
            <w:r>
              <w:rPr>
                <w:rFonts w:hint="default" w:ascii="Times New Roman" w:hAnsi="Times New Roman" w:eastAsia="宋体" w:cs="Times New Roman"/>
                <w:color w:val="auto"/>
              </w:rPr>
              <w:t>本项目夜间不生产。</w:t>
            </w:r>
          </w:p>
          <w:p w14:paraId="79A5F8B3">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 xml:space="preserve"> 项目位置与周边环境</w:t>
            </w:r>
          </w:p>
          <w:p w14:paraId="6F42D9B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项目租赁</w:t>
            </w:r>
            <w:r>
              <w:rPr>
                <w:rFonts w:hint="default" w:ascii="Times New Roman" w:hAnsi="Times New Roman" w:eastAsia="宋体" w:cs="Times New Roman"/>
                <w:color w:val="auto"/>
                <w:sz w:val="21"/>
                <w:szCs w:val="21"/>
                <w:lang w:val="en-US" w:eastAsia="zh-CN"/>
              </w:rPr>
              <w:t>云南新兴仁恒包装材料有限公司内的闲置</w:t>
            </w:r>
            <w:r>
              <w:rPr>
                <w:rFonts w:hint="default" w:ascii="Times New Roman" w:hAnsi="Times New Roman" w:eastAsia="宋体" w:cs="Times New Roman"/>
                <w:color w:val="auto"/>
                <w:sz w:val="21"/>
                <w:szCs w:val="21"/>
              </w:rPr>
              <w:t>厂房进行建设，</w:t>
            </w:r>
            <w:r>
              <w:rPr>
                <w:rFonts w:hint="default" w:ascii="Times New Roman" w:hAnsi="Times New Roman" w:eastAsia="宋体" w:cs="Times New Roman"/>
                <w:color w:val="auto"/>
                <w:sz w:val="21"/>
                <w:szCs w:val="21"/>
                <w:lang w:val="en-US" w:eastAsia="zh-CN"/>
              </w:rPr>
              <w:t>根据2026年1月26日玉溪市红塔区人民政府春和街道办事处出具的选址意见，同意项目建设；</w:t>
            </w:r>
            <w:r>
              <w:rPr>
                <w:rFonts w:hint="default" w:ascii="Times New Roman" w:hAnsi="Times New Roman" w:eastAsia="宋体" w:cs="Times New Roman"/>
                <w:color w:val="auto"/>
                <w:sz w:val="21"/>
                <w:szCs w:val="21"/>
              </w:rPr>
              <w:t>项目所在地属于工业用地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根据2026年1月26日红塔区自然资源局产的查询结果项目位于红塔区城镇开发边界范围内，项目</w:t>
            </w:r>
            <w:r>
              <w:rPr>
                <w:rFonts w:hint="default" w:ascii="Times New Roman" w:hAnsi="Times New Roman" w:eastAsia="宋体" w:cs="Times New Roman"/>
                <w:color w:val="auto"/>
                <w:sz w:val="21"/>
                <w:szCs w:val="21"/>
              </w:rPr>
              <w:t>不在生态保护红线范围内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不占用永久基本农田、</w:t>
            </w:r>
            <w:r>
              <w:rPr>
                <w:rFonts w:hint="default" w:ascii="Times New Roman" w:hAnsi="Times New Roman" w:eastAsia="宋体" w:cs="Times New Roman"/>
                <w:color w:val="auto"/>
                <w:sz w:val="21"/>
                <w:szCs w:val="21"/>
              </w:rPr>
              <w:t>符合“三线一单”相关要求，本项目租赁现有</w:t>
            </w:r>
            <w:r>
              <w:rPr>
                <w:rFonts w:hint="default" w:ascii="Times New Roman" w:hAnsi="Times New Roman" w:eastAsia="宋体" w:cs="Times New Roman"/>
                <w:color w:val="auto"/>
                <w:sz w:val="21"/>
                <w:szCs w:val="21"/>
                <w:lang w:eastAsia="zh-CN"/>
              </w:rPr>
              <w:t>标准厂房</w:t>
            </w:r>
            <w:r>
              <w:rPr>
                <w:rFonts w:hint="default" w:ascii="Times New Roman" w:hAnsi="Times New Roman" w:eastAsia="宋体" w:cs="Times New Roman"/>
                <w:color w:val="auto"/>
                <w:sz w:val="21"/>
                <w:szCs w:val="21"/>
              </w:rPr>
              <w:t>进行建设，不新增土地，不进行动土作业。项目选址范围及周边无自然保护区、风景名胜区、森林公园、饮用水水源保区等环境敏感区，本项目区域内无国家地方保护的珍稀濒危动植物，500m范围内有</w:t>
            </w:r>
            <w:r>
              <w:rPr>
                <w:rFonts w:hint="default" w:ascii="Times New Roman" w:hAnsi="Times New Roman" w:eastAsia="宋体" w:cs="Times New Roman"/>
                <w:color w:val="auto"/>
                <w:sz w:val="21"/>
                <w:szCs w:val="21"/>
                <w:lang w:val="en-US" w:eastAsia="zh-CN"/>
              </w:rPr>
              <w:t>刘家山坡</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太极名城、腾家边、顾家屯、代家边、上郝、殷山咀7</w:t>
            </w:r>
            <w:r>
              <w:rPr>
                <w:rFonts w:hint="default" w:ascii="Times New Roman" w:hAnsi="Times New Roman" w:eastAsia="宋体" w:cs="Times New Roman"/>
                <w:color w:val="auto"/>
                <w:sz w:val="21"/>
                <w:szCs w:val="21"/>
              </w:rPr>
              <w:t>个保护目标，</w:t>
            </w:r>
            <w:r>
              <w:rPr>
                <w:rFonts w:hint="default" w:ascii="Times New Roman" w:hAnsi="Times New Roman" w:eastAsia="宋体" w:cs="Times New Roman"/>
                <w:color w:val="auto"/>
                <w:sz w:val="21"/>
                <w:szCs w:val="21"/>
                <w:lang w:val="en-US" w:eastAsia="zh-CN"/>
              </w:rPr>
              <w:t>50m范围内无声环境保护目标，</w:t>
            </w:r>
            <w:r>
              <w:rPr>
                <w:rFonts w:hint="default" w:ascii="Times New Roman" w:hAnsi="Times New Roman" w:eastAsia="宋体" w:cs="Times New Roman"/>
                <w:color w:val="auto"/>
                <w:sz w:val="21"/>
                <w:szCs w:val="21"/>
              </w:rPr>
              <w:t>项目环保设施完善后对周边保护目标影响不大</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项目周边企业有</w:t>
            </w:r>
            <w:r>
              <w:rPr>
                <w:rFonts w:hint="default" w:ascii="Times New Roman" w:hAnsi="Times New Roman" w:eastAsia="宋体" w:cs="Times New Roman"/>
                <w:color w:val="auto"/>
                <w:sz w:val="21"/>
                <w:szCs w:val="21"/>
                <w:lang w:val="en-US" w:eastAsia="zh-CN"/>
              </w:rPr>
              <w:t>混凝土企业</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南侧紧邻</w:t>
            </w:r>
            <w:r>
              <w:rPr>
                <w:rFonts w:hint="default" w:ascii="Times New Roman" w:hAnsi="Times New Roman" w:eastAsia="宋体" w:cs="Times New Roman"/>
                <w:color w:val="auto"/>
                <w:sz w:val="21"/>
                <w:szCs w:val="21"/>
              </w:rPr>
              <w:t>的</w:t>
            </w:r>
            <w:r>
              <w:rPr>
                <w:rFonts w:hint="default" w:ascii="Times New Roman" w:hAnsi="Times New Roman" w:eastAsia="宋体" w:cs="Times New Roman"/>
                <w:color w:val="auto"/>
                <w:sz w:val="21"/>
                <w:szCs w:val="21"/>
                <w:lang w:val="en-US" w:eastAsia="zh-CN"/>
              </w:rPr>
              <w:t>富强混凝土有限公司</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汽车修理厂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南侧60m处宏旺汽修、东南69m处同邦汽车修理厂、东南测紧邻玉溪汇成汽车销售有限公司、东南262m处的利民汽修、东南318m处的法士特维修</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木制品加工企业</w:t>
            </w:r>
            <w:r>
              <w:rPr>
                <w:rFonts w:hint="default" w:ascii="Times New Roman" w:hAnsi="Times New Roman" w:eastAsia="宋体" w:cs="Times New Roman"/>
                <w:color w:val="auto"/>
                <w:sz w:val="21"/>
                <w:szCs w:val="21"/>
              </w:rPr>
              <w:t>类（</w:t>
            </w:r>
            <w:r>
              <w:rPr>
                <w:rFonts w:hint="default" w:ascii="Times New Roman" w:hAnsi="Times New Roman" w:eastAsia="宋体" w:cs="Times New Roman"/>
                <w:color w:val="auto"/>
                <w:sz w:val="21"/>
                <w:szCs w:val="21"/>
                <w:lang w:val="en-US" w:eastAsia="zh-CN"/>
              </w:rPr>
              <w:t>东北</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rPr>
              <w:t>m处的</w:t>
            </w:r>
            <w:r>
              <w:rPr>
                <w:rFonts w:hint="default" w:ascii="Times New Roman" w:hAnsi="Times New Roman" w:eastAsia="宋体" w:cs="Times New Roman"/>
                <w:color w:val="auto"/>
                <w:sz w:val="21"/>
                <w:szCs w:val="21"/>
                <w:lang w:val="en-US" w:eastAsia="zh-CN"/>
              </w:rPr>
              <w:t>太极木制品</w:t>
            </w:r>
            <w:r>
              <w:rPr>
                <w:rFonts w:hint="default" w:ascii="Times New Roman" w:hAnsi="Times New Roman" w:eastAsia="宋体" w:cs="Times New Roman"/>
                <w:color w:val="auto"/>
                <w:sz w:val="21"/>
                <w:szCs w:val="21"/>
              </w:rPr>
              <w:t>有限公司）等，项目附近</w:t>
            </w:r>
            <w:r>
              <w:rPr>
                <w:rFonts w:hint="default" w:ascii="Times New Roman" w:hAnsi="Times New Roman" w:eastAsia="宋体" w:cs="Times New Roman"/>
                <w:color w:val="auto"/>
                <w:sz w:val="21"/>
                <w:szCs w:val="21"/>
                <w:lang w:val="en-US" w:eastAsia="zh-CN"/>
              </w:rPr>
              <w:t>汽修</w:t>
            </w:r>
            <w:r>
              <w:rPr>
                <w:rFonts w:hint="default" w:ascii="Times New Roman" w:hAnsi="Times New Roman" w:eastAsia="宋体" w:cs="Times New Roman"/>
                <w:color w:val="auto"/>
                <w:sz w:val="21"/>
                <w:szCs w:val="21"/>
              </w:rPr>
              <w:t>企业较多，均位于本项目上风向，距离本项目较远，项目落实本次环评提出的各项环保措施后，对周围环境影响较，与周围企业相容，项目选址合理</w:t>
            </w:r>
            <w:r>
              <w:rPr>
                <w:rFonts w:hint="default" w:ascii="Times New Roman" w:hAnsi="Times New Roman" w:eastAsia="宋体" w:cs="Times New Roman"/>
                <w:color w:val="auto"/>
              </w:rPr>
              <w:t>。</w:t>
            </w:r>
          </w:p>
          <w:p w14:paraId="72A66671">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项目平面布置</w:t>
            </w:r>
          </w:p>
          <w:p w14:paraId="74B4E2B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新增（租赁</w:t>
            </w:r>
            <w:r>
              <w:rPr>
                <w:rFonts w:hint="default" w:ascii="Times New Roman" w:hAnsi="Times New Roman" w:eastAsia="宋体" w:cs="Times New Roman"/>
                <w:color w:val="auto"/>
                <w:sz w:val="21"/>
                <w:szCs w:val="21"/>
                <w:lang w:val="en-US" w:eastAsia="zh-CN"/>
              </w:rPr>
              <w:t>云南新兴仁恒包装材料有限公司）4A车间3447.6㎡、回转车间1962.3㎡、工具间153.8㎡、工具间北侧停车区20㎡的使用，其中4A车间（辅助车间1060㎡）用于堆存原纸、设置40㎡配电室和20㎡办公室；4A车间主体部分2327.6㎡用于1条瓦楞纸板生产线的建设；同时将粘（钉）箱工序搬至回转车间东侧，设置一个270㎡的粘（钉）箱区；回转车间西侧设置80㎡制胶区和24㎡的空压机房；在工具间基础上建设4t/h生物质锅炉房；工具间北侧停车区改建10㎡生物质燃料堆场和10㎡炉渣堆场</w:t>
            </w:r>
            <w:r>
              <w:rPr>
                <w:rFonts w:hint="default" w:ascii="Times New Roman" w:hAnsi="Times New Roman" w:eastAsia="宋体" w:cs="Times New Roman"/>
                <w:color w:val="auto"/>
                <w:sz w:val="21"/>
                <w:szCs w:val="21"/>
              </w:rPr>
              <w:t>。其余基础设施依托租赁厂房现有设施。项目平面布置合理，详见附图。</w:t>
            </w:r>
          </w:p>
          <w:p w14:paraId="5A6AE624">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项目环保投资</w:t>
            </w:r>
          </w:p>
          <w:p w14:paraId="520BD48F">
            <w:pPr>
              <w:adjustRightInd w:val="0"/>
              <w:snapToGrid w:val="0"/>
              <w:spacing w:line="360" w:lineRule="auto"/>
              <w:ind w:firstLine="420" w:firstLineChars="200"/>
              <w:jc w:val="lef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项目总投资为</w:t>
            </w:r>
            <w:r>
              <w:rPr>
                <w:rFonts w:hint="default"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00</w:t>
            </w:r>
            <w:r>
              <w:rPr>
                <w:rFonts w:hint="default" w:ascii="Times New Roman" w:hAnsi="Times New Roman" w:eastAsia="宋体" w:cs="Times New Roman"/>
                <w:bCs/>
                <w:color w:val="auto"/>
                <w:szCs w:val="21"/>
              </w:rPr>
              <w:t>万元，环保投资估算</w:t>
            </w:r>
            <w:r>
              <w:rPr>
                <w:rFonts w:hint="default" w:ascii="Times New Roman" w:hAnsi="Times New Roman" w:eastAsia="宋体" w:cs="Times New Roman"/>
                <w:bCs/>
                <w:color w:val="auto"/>
                <w:szCs w:val="21"/>
                <w:lang w:val="en-US" w:eastAsia="zh-CN"/>
              </w:rPr>
              <w:t>45</w:t>
            </w:r>
            <w:r>
              <w:rPr>
                <w:rFonts w:hint="default" w:ascii="Times New Roman" w:hAnsi="Times New Roman" w:eastAsia="宋体" w:cs="Times New Roman"/>
                <w:bCs/>
                <w:color w:val="auto"/>
                <w:szCs w:val="21"/>
              </w:rPr>
              <w:t>万元，占总投资的</w:t>
            </w:r>
            <w:r>
              <w:rPr>
                <w:rFonts w:hint="default" w:ascii="Times New Roman" w:hAnsi="Times New Roman" w:eastAsia="宋体" w:cs="Times New Roman"/>
                <w:bCs/>
                <w:color w:val="auto"/>
                <w:szCs w:val="21"/>
                <w:lang w:val="en-US" w:eastAsia="zh-CN"/>
              </w:rPr>
              <w:t>3.75</w:t>
            </w:r>
            <w:r>
              <w:rPr>
                <w:rFonts w:hint="default" w:ascii="Times New Roman" w:hAnsi="Times New Roman" w:eastAsia="宋体" w:cs="Times New Roman"/>
                <w:bCs/>
                <w:color w:val="auto"/>
                <w:szCs w:val="21"/>
              </w:rPr>
              <w:t>%，具体环保投资情况见下表。</w:t>
            </w:r>
          </w:p>
          <w:p w14:paraId="2AE657DA">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表2-7  项目环保投资估算表</w:t>
            </w:r>
          </w:p>
          <w:tbl>
            <w:tblPr>
              <w:tblStyle w:val="26"/>
              <w:tblW w:w="8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44"/>
              <w:gridCol w:w="1163"/>
              <w:gridCol w:w="2464"/>
              <w:gridCol w:w="814"/>
              <w:gridCol w:w="1061"/>
              <w:gridCol w:w="1237"/>
            </w:tblGrid>
            <w:tr w14:paraId="6413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379" w:type="dxa"/>
                  <w:gridSpan w:val="2"/>
                  <w:vAlign w:val="center"/>
                </w:tcPr>
                <w:p w14:paraId="61C5213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1163" w:type="dxa"/>
                  <w:vAlign w:val="center"/>
                </w:tcPr>
                <w:p w14:paraId="6298C8D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污染物名称</w:t>
                  </w:r>
                </w:p>
              </w:tc>
              <w:tc>
                <w:tcPr>
                  <w:tcW w:w="2464" w:type="dxa"/>
                  <w:vAlign w:val="center"/>
                </w:tcPr>
                <w:p w14:paraId="1A5EF73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环保设施</w:t>
                  </w:r>
                </w:p>
              </w:tc>
              <w:tc>
                <w:tcPr>
                  <w:tcW w:w="814" w:type="dxa"/>
                  <w:vAlign w:val="center"/>
                </w:tcPr>
                <w:p w14:paraId="483DE70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c>
                <w:tcPr>
                  <w:tcW w:w="1061" w:type="dxa"/>
                  <w:vAlign w:val="center"/>
                </w:tcPr>
                <w:p w14:paraId="09D48AF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投资金额（万元）</w:t>
                  </w:r>
                </w:p>
              </w:tc>
              <w:tc>
                <w:tcPr>
                  <w:tcW w:w="1237" w:type="dxa"/>
                  <w:vAlign w:val="center"/>
                </w:tcPr>
                <w:p w14:paraId="39E367D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14:paraId="4120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restart"/>
                  <w:vAlign w:val="center"/>
                </w:tcPr>
                <w:p w14:paraId="5A7963E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w:t>
                  </w:r>
                </w:p>
              </w:tc>
              <w:tc>
                <w:tcPr>
                  <w:tcW w:w="944" w:type="dxa"/>
                  <w:vAlign w:val="center"/>
                </w:tcPr>
                <w:p w14:paraId="7DFADED9">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18"/>
                    </w:rPr>
                    <w:t>废气</w:t>
                  </w:r>
                </w:p>
              </w:tc>
              <w:tc>
                <w:tcPr>
                  <w:tcW w:w="1163" w:type="dxa"/>
                  <w:vAlign w:val="center"/>
                </w:tcPr>
                <w:p w14:paraId="1C4418AE">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18"/>
                    </w:rPr>
                    <w:t>扬尘</w:t>
                  </w:r>
                </w:p>
              </w:tc>
              <w:tc>
                <w:tcPr>
                  <w:tcW w:w="2464" w:type="dxa"/>
                  <w:vAlign w:val="center"/>
                </w:tcPr>
                <w:p w14:paraId="7B7389C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洒水降尘</w:t>
                  </w:r>
                </w:p>
              </w:tc>
              <w:tc>
                <w:tcPr>
                  <w:tcW w:w="814" w:type="dxa"/>
                  <w:vAlign w:val="center"/>
                </w:tcPr>
                <w:p w14:paraId="1A79647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61" w:type="dxa"/>
                  <w:vAlign w:val="center"/>
                </w:tcPr>
                <w:p w14:paraId="3E102D0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default" w:ascii="Times New Roman" w:hAnsi="Times New Roman" w:eastAsia="宋体" w:cs="Times New Roman"/>
                      <w:color w:val="auto"/>
                      <w:lang w:val="en-US" w:eastAsia="zh-CN"/>
                    </w:rPr>
                    <w:t>2</w:t>
                  </w:r>
                </w:p>
              </w:tc>
              <w:tc>
                <w:tcPr>
                  <w:tcW w:w="1237" w:type="dxa"/>
                  <w:vAlign w:val="center"/>
                </w:tcPr>
                <w:p w14:paraId="0D9C52C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524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35" w:type="dxa"/>
                  <w:vMerge w:val="continue"/>
                  <w:vAlign w:val="center"/>
                </w:tcPr>
                <w:p w14:paraId="25A8CC8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Align w:val="center"/>
                </w:tcPr>
                <w:p w14:paraId="57BA2D08">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18"/>
                    </w:rPr>
                    <w:t>固体废弃物</w:t>
                  </w:r>
                </w:p>
              </w:tc>
              <w:tc>
                <w:tcPr>
                  <w:tcW w:w="1163" w:type="dxa"/>
                  <w:vAlign w:val="center"/>
                </w:tcPr>
                <w:p w14:paraId="1C5E604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生活垃圾、建筑垃圾</w:t>
                  </w:r>
                </w:p>
              </w:tc>
              <w:tc>
                <w:tcPr>
                  <w:tcW w:w="2464" w:type="dxa"/>
                  <w:vAlign w:val="center"/>
                </w:tcPr>
                <w:p w14:paraId="6BA04B7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bCs/>
                      <w:color w:val="auto"/>
                    </w:rPr>
                    <w:t>生活垃圾、设施设备包装材料清运</w:t>
                  </w:r>
                </w:p>
              </w:tc>
              <w:tc>
                <w:tcPr>
                  <w:tcW w:w="814" w:type="dxa"/>
                  <w:vAlign w:val="center"/>
                </w:tcPr>
                <w:p w14:paraId="7F7D40D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61" w:type="dxa"/>
                  <w:vAlign w:val="center"/>
                </w:tcPr>
                <w:p w14:paraId="032C918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w:t>
                  </w:r>
                </w:p>
              </w:tc>
              <w:tc>
                <w:tcPr>
                  <w:tcW w:w="1237" w:type="dxa"/>
                  <w:vAlign w:val="center"/>
                </w:tcPr>
                <w:p w14:paraId="5FD7CEC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145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restart"/>
                  <w:vAlign w:val="center"/>
                </w:tcPr>
                <w:p w14:paraId="094CDD8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运营期</w:t>
                  </w:r>
                </w:p>
              </w:tc>
              <w:tc>
                <w:tcPr>
                  <w:tcW w:w="944" w:type="dxa"/>
                  <w:vAlign w:val="center"/>
                </w:tcPr>
                <w:p w14:paraId="64DAF02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163" w:type="dxa"/>
                  <w:vAlign w:val="center"/>
                </w:tcPr>
                <w:p w14:paraId="3E3D361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4t/h锅炉</w:t>
                  </w:r>
                </w:p>
              </w:tc>
              <w:tc>
                <w:tcPr>
                  <w:tcW w:w="2464" w:type="dxa"/>
                  <w:vAlign w:val="center"/>
                </w:tcPr>
                <w:p w14:paraId="4D518D6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多管除尘+布袋除尘器（TA002）治理后，通过35m高的排气筒（DA002）</w:t>
                  </w:r>
                </w:p>
              </w:tc>
              <w:tc>
                <w:tcPr>
                  <w:tcW w:w="814" w:type="dxa"/>
                  <w:vAlign w:val="center"/>
                </w:tcPr>
                <w:p w14:paraId="4CA9F82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1套</w:t>
                  </w:r>
                </w:p>
              </w:tc>
              <w:tc>
                <w:tcPr>
                  <w:tcW w:w="1061" w:type="dxa"/>
                  <w:vAlign w:val="center"/>
                </w:tcPr>
                <w:p w14:paraId="2FA23DF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5.0</w:t>
                  </w:r>
                </w:p>
              </w:tc>
              <w:tc>
                <w:tcPr>
                  <w:tcW w:w="1237" w:type="dxa"/>
                  <w:vAlign w:val="center"/>
                </w:tcPr>
                <w:p w14:paraId="7E31383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13A7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continue"/>
                  <w:vAlign w:val="center"/>
                </w:tcPr>
                <w:p w14:paraId="2CC9888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Align w:val="center"/>
                </w:tcPr>
                <w:p w14:paraId="4A86FFD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163" w:type="dxa"/>
                  <w:vAlign w:val="center"/>
                </w:tcPr>
                <w:p w14:paraId="3811339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2464" w:type="dxa"/>
                  <w:vAlign w:val="center"/>
                </w:tcPr>
                <w:p w14:paraId="06F618C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减震垫、厂房隔声、风机安装消声器，空压机安装隔声罩等降噪措施</w:t>
                  </w:r>
                </w:p>
              </w:tc>
              <w:tc>
                <w:tcPr>
                  <w:tcW w:w="814" w:type="dxa"/>
                  <w:vAlign w:val="center"/>
                </w:tcPr>
                <w:p w14:paraId="2A22599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若干</w:t>
                  </w:r>
                </w:p>
              </w:tc>
              <w:tc>
                <w:tcPr>
                  <w:tcW w:w="1061" w:type="dxa"/>
                  <w:vAlign w:val="center"/>
                </w:tcPr>
                <w:p w14:paraId="02D4165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5</w:t>
                  </w:r>
                </w:p>
              </w:tc>
              <w:tc>
                <w:tcPr>
                  <w:tcW w:w="1237" w:type="dxa"/>
                  <w:vAlign w:val="center"/>
                </w:tcPr>
                <w:p w14:paraId="1D6A576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0D4A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35" w:type="dxa"/>
                  <w:vMerge w:val="continue"/>
                  <w:vAlign w:val="center"/>
                </w:tcPr>
                <w:p w14:paraId="0C64E04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Merge w:val="restart"/>
                  <w:vAlign w:val="center"/>
                </w:tcPr>
                <w:p w14:paraId="14FD4A4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1163" w:type="dxa"/>
                  <w:vAlign w:val="center"/>
                </w:tcPr>
                <w:p w14:paraId="5417660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化粪池</w:t>
                  </w:r>
                </w:p>
              </w:tc>
              <w:tc>
                <w:tcPr>
                  <w:tcW w:w="2464" w:type="dxa"/>
                  <w:vAlign w:val="center"/>
                </w:tcPr>
                <w:p w14:paraId="20B0F08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m³化粪池</w:t>
                  </w:r>
                  <w:r>
                    <w:rPr>
                      <w:rFonts w:hint="default" w:ascii="Times New Roman" w:hAnsi="Times New Roman" w:eastAsia="宋体" w:cs="Times New Roman"/>
                      <w:bCs/>
                      <w:color w:val="auto"/>
                    </w:rPr>
                    <w:t>（TW001）</w:t>
                  </w:r>
                </w:p>
              </w:tc>
              <w:tc>
                <w:tcPr>
                  <w:tcW w:w="814" w:type="dxa"/>
                  <w:vAlign w:val="center"/>
                </w:tcPr>
                <w:p w14:paraId="3F0865C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1个</w:t>
                  </w:r>
                </w:p>
              </w:tc>
              <w:tc>
                <w:tcPr>
                  <w:tcW w:w="1061" w:type="dxa"/>
                  <w:vAlign w:val="center"/>
                </w:tcPr>
                <w:p w14:paraId="40354B0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c>
                <w:tcPr>
                  <w:tcW w:w="1237" w:type="dxa"/>
                  <w:vAlign w:val="center"/>
                </w:tcPr>
                <w:p w14:paraId="578B125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依托现有</w:t>
                  </w:r>
                </w:p>
              </w:tc>
            </w:tr>
            <w:tr w14:paraId="52F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435" w:type="dxa"/>
                  <w:vMerge w:val="continue"/>
                  <w:vAlign w:val="center"/>
                </w:tcPr>
                <w:p w14:paraId="7617A57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Merge w:val="continue"/>
                  <w:vAlign w:val="center"/>
                </w:tcPr>
                <w:p w14:paraId="7542EE7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1163" w:type="dxa"/>
                  <w:vAlign w:val="center"/>
                </w:tcPr>
                <w:p w14:paraId="4C5775A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生产废水预处理</w:t>
                  </w:r>
                </w:p>
              </w:tc>
              <w:tc>
                <w:tcPr>
                  <w:tcW w:w="2464" w:type="dxa"/>
                  <w:vAlign w:val="center"/>
                </w:tcPr>
                <w:p w14:paraId="25686C7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1.3m³收集池收集+</w:t>
                  </w:r>
                  <w:r>
                    <w:rPr>
                      <w:rFonts w:hint="default" w:ascii="Times New Roman" w:hAnsi="Times New Roman" w:eastAsia="宋体" w:cs="Times New Roman"/>
                      <w:color w:val="auto"/>
                      <w:lang w:val="en-US" w:eastAsia="zh-CN"/>
                    </w:rPr>
                    <w:t>2m³/d</w:t>
                  </w:r>
                  <w:r>
                    <w:rPr>
                      <w:rFonts w:hint="default" w:ascii="Times New Roman" w:hAnsi="Times New Roman" w:eastAsia="宋体" w:cs="Times New Roman"/>
                      <w:color w:val="auto"/>
                      <w:sz w:val="21"/>
                      <w:szCs w:val="21"/>
                      <w:lang w:val="en-US" w:eastAsia="zh-CN"/>
                    </w:rPr>
                    <w:t>清洗废水预处理设施（活性炭吸附+过滤）</w:t>
                  </w:r>
                </w:p>
              </w:tc>
              <w:tc>
                <w:tcPr>
                  <w:tcW w:w="814" w:type="dxa"/>
                  <w:vAlign w:val="center"/>
                </w:tcPr>
                <w:p w14:paraId="6B8D515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1套</w:t>
                  </w:r>
                </w:p>
              </w:tc>
              <w:tc>
                <w:tcPr>
                  <w:tcW w:w="1061" w:type="dxa"/>
                  <w:vAlign w:val="center"/>
                </w:tcPr>
                <w:p w14:paraId="436E7CD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237" w:type="dxa"/>
                  <w:vAlign w:val="center"/>
                </w:tcPr>
                <w:p w14:paraId="3D104E8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依托现有</w:t>
                  </w:r>
                </w:p>
              </w:tc>
            </w:tr>
            <w:tr w14:paraId="4C3D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35" w:type="dxa"/>
                  <w:vMerge w:val="continue"/>
                  <w:vAlign w:val="center"/>
                </w:tcPr>
                <w:p w14:paraId="6030EB0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Merge w:val="continue"/>
                  <w:vAlign w:val="center"/>
                </w:tcPr>
                <w:p w14:paraId="23088D1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1163" w:type="dxa"/>
                  <w:vAlign w:val="center"/>
                </w:tcPr>
                <w:p w14:paraId="7B9DC31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污水处理</w:t>
                  </w:r>
                </w:p>
              </w:tc>
              <w:tc>
                <w:tcPr>
                  <w:tcW w:w="2464" w:type="dxa"/>
                  <w:vAlign w:val="center"/>
                </w:tcPr>
                <w:p w14:paraId="55E5857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40m³/d污水处理站（为A/O工艺）</w:t>
                  </w:r>
                </w:p>
              </w:tc>
              <w:tc>
                <w:tcPr>
                  <w:tcW w:w="814" w:type="dxa"/>
                  <w:vAlign w:val="center"/>
                </w:tcPr>
                <w:p w14:paraId="5FE0848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1座</w:t>
                  </w:r>
                </w:p>
              </w:tc>
              <w:tc>
                <w:tcPr>
                  <w:tcW w:w="1061" w:type="dxa"/>
                  <w:vAlign w:val="center"/>
                </w:tcPr>
                <w:p w14:paraId="5FDFB36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237" w:type="dxa"/>
                  <w:vAlign w:val="center"/>
                </w:tcPr>
                <w:p w14:paraId="1F8A98BC">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依托现有</w:t>
                  </w:r>
                </w:p>
              </w:tc>
            </w:tr>
            <w:tr w14:paraId="5CBB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continue"/>
                  <w:vAlign w:val="center"/>
                </w:tcPr>
                <w:p w14:paraId="4D3F162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Merge w:val="restart"/>
                  <w:vAlign w:val="center"/>
                </w:tcPr>
                <w:p w14:paraId="7718A71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163" w:type="dxa"/>
                  <w:vAlign w:val="center"/>
                </w:tcPr>
                <w:p w14:paraId="07CF473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464" w:type="dxa"/>
                  <w:vAlign w:val="center"/>
                </w:tcPr>
                <w:p w14:paraId="35EC00C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垃圾桶（TS002）</w:t>
                  </w:r>
                </w:p>
              </w:tc>
              <w:tc>
                <w:tcPr>
                  <w:tcW w:w="814" w:type="dxa"/>
                  <w:vAlign w:val="center"/>
                </w:tcPr>
                <w:p w14:paraId="39E7303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61" w:type="dxa"/>
                  <w:vAlign w:val="center"/>
                </w:tcPr>
                <w:p w14:paraId="7532220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c>
                <w:tcPr>
                  <w:tcW w:w="1237" w:type="dxa"/>
                  <w:vAlign w:val="center"/>
                </w:tcPr>
                <w:p w14:paraId="1F500AD0">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依托现有</w:t>
                  </w:r>
                </w:p>
              </w:tc>
            </w:tr>
            <w:tr w14:paraId="5759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continue"/>
                  <w:vAlign w:val="center"/>
                </w:tcPr>
                <w:p w14:paraId="1FD3B3F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Merge w:val="continue"/>
                  <w:vAlign w:val="center"/>
                </w:tcPr>
                <w:p w14:paraId="17AD0C8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1163" w:type="dxa"/>
                  <w:vAlign w:val="center"/>
                </w:tcPr>
                <w:p w14:paraId="64C6C7D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一般工业固废</w:t>
                  </w:r>
                </w:p>
              </w:tc>
              <w:tc>
                <w:tcPr>
                  <w:tcW w:w="2464" w:type="dxa"/>
                  <w:vAlign w:val="center"/>
                </w:tcPr>
                <w:p w14:paraId="38EEA9A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50㎡的一般固废暂存间（TS001）</w:t>
                  </w:r>
                </w:p>
              </w:tc>
              <w:tc>
                <w:tcPr>
                  <w:tcW w:w="814" w:type="dxa"/>
                  <w:vAlign w:val="center"/>
                </w:tcPr>
                <w:p w14:paraId="36EE436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1个</w:t>
                  </w:r>
                </w:p>
              </w:tc>
              <w:tc>
                <w:tcPr>
                  <w:tcW w:w="1061" w:type="dxa"/>
                  <w:vAlign w:val="center"/>
                </w:tcPr>
                <w:p w14:paraId="6D9BBB6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c>
                <w:tcPr>
                  <w:tcW w:w="1237" w:type="dxa"/>
                  <w:vAlign w:val="center"/>
                </w:tcPr>
                <w:p w14:paraId="0A72209D">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依托现有</w:t>
                  </w:r>
                </w:p>
              </w:tc>
            </w:tr>
            <w:tr w14:paraId="2CA2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continue"/>
                  <w:vAlign w:val="center"/>
                </w:tcPr>
                <w:p w14:paraId="2D7121A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944" w:type="dxa"/>
                  <w:vMerge w:val="continue"/>
                  <w:vAlign w:val="center"/>
                </w:tcPr>
                <w:p w14:paraId="682469A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1163" w:type="dxa"/>
                  <w:vAlign w:val="center"/>
                </w:tcPr>
                <w:p w14:paraId="57F69DD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tc>
              <w:tc>
                <w:tcPr>
                  <w:tcW w:w="2464" w:type="dxa"/>
                  <w:vAlign w:val="center"/>
                </w:tcPr>
                <w:p w14:paraId="2B11F6F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的危废暂存间（TS003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已采用10cm混凝土+2mm环氧树脂防渗</w:t>
                  </w:r>
                  <w:r>
                    <w:rPr>
                      <w:rFonts w:hint="default" w:ascii="Times New Roman" w:hAnsi="Times New Roman" w:eastAsia="宋体" w:cs="Times New Roman"/>
                      <w:color w:val="auto"/>
                    </w:rPr>
                    <w:t>）</w:t>
                  </w:r>
                </w:p>
              </w:tc>
              <w:tc>
                <w:tcPr>
                  <w:tcW w:w="814" w:type="dxa"/>
                  <w:vAlign w:val="center"/>
                </w:tcPr>
                <w:p w14:paraId="6B3CC5A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61" w:type="dxa"/>
                  <w:vAlign w:val="center"/>
                </w:tcPr>
                <w:p w14:paraId="1577D35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c>
                <w:tcPr>
                  <w:tcW w:w="1237" w:type="dxa"/>
                  <w:vAlign w:val="center"/>
                </w:tcPr>
                <w:p w14:paraId="30F4711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依托现有</w:t>
                  </w:r>
                </w:p>
              </w:tc>
            </w:tr>
            <w:tr w14:paraId="22A0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435" w:type="dxa"/>
                  <w:vMerge w:val="continue"/>
                  <w:vAlign w:val="center"/>
                </w:tcPr>
                <w:p w14:paraId="1B67786D">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2107" w:type="dxa"/>
                  <w:gridSpan w:val="2"/>
                  <w:vAlign w:val="center"/>
                </w:tcPr>
                <w:p w14:paraId="7B64453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防渗工程</w:t>
                  </w:r>
                </w:p>
              </w:tc>
              <w:tc>
                <w:tcPr>
                  <w:tcW w:w="2464" w:type="dxa"/>
                  <w:vAlign w:val="center"/>
                </w:tcPr>
                <w:p w14:paraId="1210782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重点防渗区（制胶区、复合区）</w:t>
                  </w:r>
                </w:p>
              </w:tc>
              <w:tc>
                <w:tcPr>
                  <w:tcW w:w="814" w:type="dxa"/>
                  <w:vAlign w:val="center"/>
                </w:tcPr>
                <w:p w14:paraId="25568E4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061" w:type="dxa"/>
                  <w:vAlign w:val="center"/>
                </w:tcPr>
                <w:p w14:paraId="2478AAE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w:t>
                  </w:r>
                </w:p>
              </w:tc>
              <w:tc>
                <w:tcPr>
                  <w:tcW w:w="1237" w:type="dxa"/>
                  <w:vAlign w:val="center"/>
                </w:tcPr>
                <w:p w14:paraId="020242E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新建</w:t>
                  </w:r>
                </w:p>
              </w:tc>
            </w:tr>
            <w:tr w14:paraId="1189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820" w:type="dxa"/>
                  <w:gridSpan w:val="5"/>
                  <w:vAlign w:val="center"/>
                </w:tcPr>
                <w:p w14:paraId="79ED95D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1061" w:type="dxa"/>
                  <w:vAlign w:val="center"/>
                </w:tcPr>
                <w:p w14:paraId="2A9A4FF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45</w:t>
                  </w:r>
                </w:p>
              </w:tc>
              <w:tc>
                <w:tcPr>
                  <w:tcW w:w="1237" w:type="dxa"/>
                  <w:vAlign w:val="center"/>
                </w:tcPr>
                <w:p w14:paraId="7CF9ADA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14:paraId="64FE6631">
            <w:pPr>
              <w:adjustRightInd w:val="0"/>
              <w:snapToGrid w:val="0"/>
              <w:jc w:val="center"/>
              <w:rPr>
                <w:rFonts w:hint="default" w:ascii="Times New Roman" w:hAnsi="Times New Roman" w:eastAsia="宋体" w:cs="Times New Roman"/>
                <w:bCs/>
                <w:color w:val="auto"/>
                <w:szCs w:val="21"/>
              </w:rPr>
            </w:pPr>
          </w:p>
        </w:tc>
      </w:tr>
      <w:tr w14:paraId="1BECB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75" w:type="dxa"/>
            <w:vAlign w:val="center"/>
          </w:tcPr>
          <w:p w14:paraId="7A687E5A">
            <w:pPr>
              <w:pStyle w:val="21"/>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309" w:type="dxa"/>
          </w:tcPr>
          <w:p w14:paraId="15C443E0">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施工期工程分析</w:t>
            </w:r>
          </w:p>
          <w:p w14:paraId="256CA18C">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本项目施工期主要建设内容为</w:t>
            </w:r>
            <w:r>
              <w:rPr>
                <w:rFonts w:hint="default" w:ascii="Times New Roman" w:hAnsi="Times New Roman" w:eastAsia="宋体" w:cs="Times New Roman"/>
                <w:color w:val="auto"/>
                <w:lang w:val="en-US" w:eastAsia="zh-CN"/>
              </w:rPr>
              <w:t>原有瓦楞纸板生产线的拆除、废旧设备的外售；搬迁至新厂房分区防渗、装修和</w:t>
            </w:r>
            <w:r>
              <w:rPr>
                <w:rFonts w:hint="default" w:ascii="Times New Roman" w:hAnsi="Times New Roman" w:eastAsia="宋体" w:cs="Times New Roman"/>
                <w:color w:val="auto"/>
              </w:rPr>
              <w:t>设备安装。项目不需要进行大型土建工程。施工期对环境的影响具有</w:t>
            </w:r>
            <w:r>
              <w:rPr>
                <w:rFonts w:hint="default" w:ascii="Times New Roman" w:hAnsi="Times New Roman" w:eastAsia="宋体" w:cs="Times New Roman"/>
                <w:color w:val="auto"/>
                <w:lang w:val="en-US" w:eastAsia="zh-CN"/>
              </w:rPr>
              <w:t>暂</w:t>
            </w:r>
            <w:r>
              <w:rPr>
                <w:rFonts w:hint="default" w:ascii="Times New Roman" w:hAnsi="Times New Roman" w:eastAsia="宋体" w:cs="Times New Roman"/>
                <w:color w:val="auto"/>
              </w:rPr>
              <w:t>时性，工程结束后施工产生的扬尘、噪声等对环境影响即随之消失的特点。项目施工期工艺流程及产污节点如下图所示。</w:t>
            </w:r>
          </w:p>
          <w:p w14:paraId="537E420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施工期工艺流程及产污环节如下：</w:t>
            </w:r>
          </w:p>
          <w:p w14:paraId="2DB84CBB">
            <w:pPr>
              <w:pStyle w:val="31"/>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3980180" cy="1036320"/>
                  <wp:effectExtent l="0" t="0" r="1270"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3980180" cy="1036320"/>
                          </a:xfrm>
                          <a:prstGeom prst="rect">
                            <a:avLst/>
                          </a:prstGeom>
                          <a:noFill/>
                          <a:ln>
                            <a:noFill/>
                          </a:ln>
                        </pic:spPr>
                      </pic:pic>
                    </a:graphicData>
                  </a:graphic>
                </wp:inline>
              </w:drawing>
            </w:r>
          </w:p>
          <w:p w14:paraId="12646645">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图2-8  施工工艺流程图</w:t>
            </w:r>
          </w:p>
          <w:p w14:paraId="0216FA86">
            <w:pPr>
              <w:pStyle w:val="31"/>
              <w:ind w:firstLine="42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原有瓦楞纸板生产线的拆除、废旧设备的外售</w:t>
            </w:r>
          </w:p>
          <w:p w14:paraId="4DE631E0">
            <w:pPr>
              <w:pStyle w:val="31"/>
              <w:ind w:firstLine="42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原有瓦楞纸生产线位于红塔区李棋镇下赫村委会七组玉江大道以北、下新村以西，</w:t>
            </w:r>
          </w:p>
          <w:p w14:paraId="30B431B8">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厂房分区防渗、装修设置</w:t>
            </w:r>
          </w:p>
          <w:p w14:paraId="0BE432B8">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项目工程主要为</w:t>
            </w:r>
            <w:r>
              <w:rPr>
                <w:rFonts w:hint="default" w:ascii="Times New Roman" w:hAnsi="Times New Roman" w:eastAsia="宋体" w:cs="Times New Roman"/>
                <w:color w:val="auto"/>
                <w:lang w:val="en-US" w:eastAsia="zh-CN"/>
              </w:rPr>
              <w:t>制胶区和复合区的防渗</w:t>
            </w:r>
            <w:r>
              <w:rPr>
                <w:rFonts w:hint="default" w:ascii="Times New Roman" w:hAnsi="Times New Roman" w:eastAsia="宋体" w:cs="Times New Roman"/>
                <w:color w:val="auto"/>
              </w:rPr>
              <w:t>建设，</w:t>
            </w:r>
            <w:r>
              <w:rPr>
                <w:rFonts w:hint="default" w:ascii="Times New Roman" w:hAnsi="Times New Roman" w:eastAsia="宋体" w:cs="Times New Roman"/>
                <w:color w:val="auto"/>
                <w:lang w:val="en-US" w:eastAsia="zh-CN"/>
              </w:rPr>
              <w:t>厂房内部的装修</w:t>
            </w:r>
            <w:r>
              <w:rPr>
                <w:rFonts w:hint="default" w:ascii="Times New Roman" w:hAnsi="Times New Roman" w:eastAsia="宋体" w:cs="Times New Roman"/>
                <w:color w:val="auto"/>
              </w:rPr>
              <w:t>作业机械会产生噪声；另外，装修工程会产生极少量的装饰废材料，收集暂存后交由</w:t>
            </w:r>
            <w:r>
              <w:rPr>
                <w:rFonts w:hint="default" w:ascii="Times New Roman" w:hAnsi="Times New Roman" w:eastAsia="宋体" w:cs="Times New Roman"/>
                <w:color w:val="auto"/>
                <w:lang w:eastAsia="zh-CN"/>
              </w:rPr>
              <w:t>废旧废品回收商</w:t>
            </w:r>
            <w:r>
              <w:rPr>
                <w:rFonts w:hint="default" w:ascii="Times New Roman" w:hAnsi="Times New Roman" w:eastAsia="宋体" w:cs="Times New Roman"/>
                <w:color w:val="auto"/>
              </w:rPr>
              <w:t>回收再利用；施工人员均不在厂内食宿，仅产生洗手废水，污水量较小，通过现有化粪池处理。</w:t>
            </w:r>
          </w:p>
          <w:p w14:paraId="4C7A6C4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设备安装</w:t>
            </w:r>
          </w:p>
          <w:p w14:paraId="0F989273">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项目设备安装主要为印刷机安装，环保设备安装，主要污染物是施工机械产生的噪声、尾气和废包装材料等。废包装材料由厂家回收利用。</w:t>
            </w:r>
          </w:p>
          <w:p w14:paraId="6B36F129">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运营期工程分析</w:t>
            </w:r>
          </w:p>
          <w:p w14:paraId="7671D934">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（1）生产工艺及产污环节</w:t>
            </w:r>
          </w:p>
          <w:p w14:paraId="31C62DCA">
            <w:pPr>
              <w:spacing w:line="360" w:lineRule="auto"/>
              <w:ind w:firstLine="420" w:firstLineChars="200"/>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①原纸预处理</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将外购的原纸通过小车运至导轨上，进入预热缸，将原纸加热至50-70℃，</w:t>
            </w:r>
            <w:r>
              <w:rPr>
                <w:rFonts w:hint="default" w:ascii="Times New Roman" w:hAnsi="Times New Roman" w:eastAsia="宋体" w:cs="Times New Roman"/>
                <w:i w:val="0"/>
                <w:iCs w:val="0"/>
                <w:caps w:val="0"/>
                <w:color w:val="auto"/>
                <w:spacing w:val="0"/>
                <w:sz w:val="21"/>
                <w:szCs w:val="21"/>
                <w:shd w:val="clear" w:fill="FFFFFF"/>
              </w:rPr>
              <w:t>提升后续粘接性能，预热过程同步消除纸张静电</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加热缸采用锅炉蒸汽供热，冷凝水通过热缸回水系统收集后，</w:t>
            </w:r>
          </w:p>
          <w:p w14:paraId="7BCCC9B5">
            <w:pPr>
              <w:spacing w:line="360" w:lineRule="auto"/>
              <w:ind w:firstLine="420" w:firstLineChars="200"/>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产污环节：此工序将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噪声N</w:t>
            </w:r>
            <w:r>
              <w:rPr>
                <w:rFonts w:hint="default" w:ascii="Times New Roman" w:hAnsi="Times New Roman" w:eastAsia="宋体" w:cs="Times New Roman"/>
                <w:b w:val="0"/>
                <w:bCs/>
                <w:color w:val="auto"/>
                <w:szCs w:val="21"/>
                <w:lang w:val="en-US" w:eastAsia="zh-CN"/>
              </w:rPr>
              <w:t>1，设计锅炉废气G1、锅炉渣S1</w:t>
            </w:r>
            <w:r>
              <w:rPr>
                <w:rFonts w:hint="default" w:ascii="Times New Roman" w:hAnsi="Times New Roman" w:eastAsia="宋体" w:cs="Times New Roman"/>
                <w:b w:val="0"/>
                <w:bCs/>
                <w:color w:val="auto"/>
                <w:szCs w:val="21"/>
              </w:rPr>
              <w:t>。</w:t>
            </w:r>
          </w:p>
          <w:p w14:paraId="059BF465">
            <w:pPr>
              <w:spacing w:line="360" w:lineRule="auto"/>
              <w:ind w:firstLine="420" w:firstLineChars="200"/>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②</w:t>
            </w:r>
            <w:r>
              <w:rPr>
                <w:rStyle w:val="28"/>
                <w:rFonts w:hint="default" w:ascii="Times New Roman" w:hAnsi="Times New Roman" w:eastAsia="宋体" w:cs="Times New Roman"/>
                <w:b w:val="0"/>
                <w:bCs/>
                <w:i w:val="0"/>
                <w:iCs w:val="0"/>
                <w:caps w:val="0"/>
                <w:color w:val="auto"/>
                <w:spacing w:val="0"/>
                <w:sz w:val="21"/>
                <w:szCs w:val="21"/>
                <w:shd w:val="clear" w:fill="FFFFFF"/>
              </w:rPr>
              <w:t>瓦楞成型</w:t>
            </w:r>
            <w:r>
              <w:rPr>
                <w:rFonts w:hint="default" w:ascii="Times New Roman" w:hAnsi="Times New Roman" w:eastAsia="宋体" w:cs="Times New Roman"/>
                <w:b w:val="0"/>
                <w:bCs/>
                <w:color w:val="auto"/>
                <w:szCs w:val="21"/>
                <w:lang w:val="en-US" w:eastAsia="zh-CN"/>
              </w:rPr>
              <w:t>：</w:t>
            </w:r>
            <w:r>
              <w:rPr>
                <w:rFonts w:hint="default" w:ascii="Times New Roman" w:hAnsi="Times New Roman" w:eastAsia="宋体" w:cs="Times New Roman"/>
                <w:i w:val="0"/>
                <w:iCs w:val="0"/>
                <w:caps w:val="0"/>
                <w:color w:val="auto"/>
                <w:spacing w:val="0"/>
                <w:sz w:val="21"/>
                <w:szCs w:val="21"/>
                <w:shd w:val="clear" w:fill="FFFFFF"/>
              </w:rPr>
              <w:t>瓦楞辊</w:t>
            </w:r>
            <w:r>
              <w:rPr>
                <w:rFonts w:hint="default" w:ascii="Times New Roman" w:hAnsi="Times New Roman" w:eastAsia="宋体" w:cs="Times New Roman"/>
                <w:i w:val="0"/>
                <w:iCs w:val="0"/>
                <w:caps w:val="0"/>
                <w:color w:val="auto"/>
                <w:spacing w:val="0"/>
                <w:sz w:val="21"/>
                <w:szCs w:val="21"/>
                <w:shd w:val="clear" w:fill="FFFFFF"/>
                <w:lang w:val="en-US" w:eastAsia="zh-CN"/>
              </w:rPr>
              <w:t>机组</w:t>
            </w:r>
            <w:r>
              <w:rPr>
                <w:rFonts w:hint="default" w:ascii="Times New Roman" w:hAnsi="Times New Roman" w:eastAsia="宋体" w:cs="Times New Roman"/>
                <w:i w:val="0"/>
                <w:iCs w:val="0"/>
                <w:caps w:val="0"/>
                <w:color w:val="auto"/>
                <w:spacing w:val="0"/>
                <w:sz w:val="21"/>
                <w:szCs w:val="21"/>
                <w:shd w:val="clear" w:fill="FFFFFF"/>
              </w:rPr>
              <w:t>上下咬合将原纸压成A/B/C等波形结构</w:t>
            </w:r>
            <w:r>
              <w:rPr>
                <w:rFonts w:hint="default" w:ascii="Times New Roman" w:hAnsi="Times New Roman" w:eastAsia="宋体" w:cs="Times New Roman"/>
                <w:b w:val="0"/>
                <w:bCs/>
                <w:color w:val="auto"/>
                <w:szCs w:val="21"/>
                <w:lang w:val="en-US" w:eastAsia="zh-CN"/>
              </w:rPr>
              <w:t>。</w:t>
            </w:r>
          </w:p>
          <w:p w14:paraId="4B73E2E9">
            <w:pPr>
              <w:spacing w:line="360" w:lineRule="auto"/>
              <w:ind w:firstLine="420" w:firstLineChars="200"/>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rPr>
              <w:t>产污环节：此工序将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w:t>
            </w:r>
            <w:r>
              <w:rPr>
                <w:rFonts w:hint="default" w:ascii="Times New Roman" w:hAnsi="Times New Roman" w:eastAsia="宋体" w:cs="Times New Roman"/>
                <w:b w:val="0"/>
                <w:bCs/>
                <w:color w:val="auto"/>
                <w:szCs w:val="21"/>
                <w:lang w:val="en-US" w:eastAsia="zh-CN"/>
              </w:rPr>
              <w:t>N2。</w:t>
            </w:r>
          </w:p>
          <w:p w14:paraId="287D3529">
            <w:pPr>
              <w:spacing w:line="360" w:lineRule="auto"/>
              <w:ind w:firstLine="420" w:firstLineChars="200"/>
              <w:rPr>
                <w:rFonts w:hint="default" w:ascii="Times New Roman" w:hAnsi="Times New Roman" w:eastAsia="宋体" w:cs="Times New Roman"/>
                <w:b w:val="0"/>
                <w:bCs/>
                <w:color w:val="auto"/>
                <w:szCs w:val="21"/>
                <w:lang w:eastAsia="zh-CN"/>
              </w:rPr>
            </w:pPr>
            <w:r>
              <w:rPr>
                <w:rFonts w:hint="default" w:ascii="Times New Roman" w:hAnsi="Times New Roman" w:eastAsia="宋体" w:cs="Times New Roman"/>
                <w:b w:val="0"/>
                <w:bCs/>
                <w:color w:val="auto"/>
                <w:szCs w:val="21"/>
                <w:lang w:val="en-US" w:eastAsia="zh-CN"/>
              </w:rPr>
              <w:t>③糊胶</w:t>
            </w:r>
            <w:r>
              <w:rPr>
                <w:rFonts w:hint="default" w:ascii="Times New Roman" w:hAnsi="Times New Roman" w:eastAsia="宋体" w:cs="Times New Roman"/>
                <w:b w:val="0"/>
                <w:bCs/>
                <w:color w:val="auto"/>
                <w:szCs w:val="21"/>
              </w:rPr>
              <w:t>：利用</w:t>
            </w:r>
            <w:r>
              <w:rPr>
                <w:rFonts w:hint="default" w:ascii="Times New Roman" w:hAnsi="Times New Roman" w:eastAsia="宋体" w:cs="Times New Roman"/>
                <w:b w:val="0"/>
                <w:bCs/>
                <w:color w:val="auto"/>
                <w:szCs w:val="21"/>
                <w:lang w:val="en-US" w:eastAsia="zh-CN"/>
              </w:rPr>
              <w:t>糊胶机</w:t>
            </w:r>
            <w:r>
              <w:rPr>
                <w:rFonts w:hint="default" w:ascii="Times New Roman" w:hAnsi="Times New Roman" w:eastAsia="宋体" w:cs="Times New Roman"/>
                <w:color w:val="auto"/>
                <w:szCs w:val="21"/>
                <w:lang w:val="en-US" w:eastAsia="zh-CN"/>
              </w:rPr>
              <w:t>（过胶机）</w:t>
            </w:r>
            <w:r>
              <w:rPr>
                <w:rFonts w:hint="default" w:ascii="Times New Roman" w:hAnsi="Times New Roman" w:eastAsia="宋体" w:cs="Times New Roman"/>
                <w:b w:val="0"/>
                <w:bCs/>
                <w:color w:val="auto"/>
                <w:szCs w:val="21"/>
                <w:lang w:val="en-US" w:eastAsia="zh-CN"/>
              </w:rPr>
              <w:t>将淀粉胶均匀涂抹在纸张表面</w:t>
            </w:r>
            <w:r>
              <w:rPr>
                <w:rFonts w:hint="default" w:ascii="Times New Roman" w:hAnsi="Times New Roman" w:eastAsia="宋体" w:cs="Times New Roman"/>
                <w:b w:val="0"/>
                <w:bCs/>
                <w:color w:val="auto"/>
                <w:szCs w:val="21"/>
              </w:rPr>
              <w:t>。</w:t>
            </w:r>
          </w:p>
          <w:p w14:paraId="5F7B9177">
            <w:pPr>
              <w:pStyle w:val="31"/>
              <w:ind w:firstLine="422"/>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lang w:val="en-US" w:eastAsia="zh-CN"/>
              </w:rPr>
              <w:t>产污环节：</w:t>
            </w:r>
            <w:r>
              <w:rPr>
                <w:rFonts w:hint="default" w:ascii="Times New Roman" w:hAnsi="Times New Roman" w:eastAsia="宋体" w:cs="Times New Roman"/>
                <w:b w:val="0"/>
                <w:bCs/>
                <w:color w:val="auto"/>
                <w:szCs w:val="21"/>
              </w:rPr>
              <w:t>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w:t>
            </w:r>
            <w:r>
              <w:rPr>
                <w:rFonts w:hint="default" w:ascii="Times New Roman" w:hAnsi="Times New Roman" w:eastAsia="宋体" w:cs="Times New Roman"/>
                <w:b w:val="0"/>
                <w:bCs/>
                <w:color w:val="auto"/>
                <w:lang w:val="en-US" w:eastAsia="zh-CN"/>
              </w:rPr>
              <w:t>N3、废胶渣S2</w:t>
            </w:r>
            <w:r>
              <w:rPr>
                <w:rFonts w:hint="default" w:ascii="Times New Roman" w:hAnsi="Times New Roman" w:eastAsia="宋体" w:cs="Times New Roman"/>
                <w:b w:val="0"/>
                <w:bCs/>
                <w:color w:val="auto"/>
              </w:rPr>
              <w:t>。</w:t>
            </w:r>
          </w:p>
          <w:p w14:paraId="5F1F5FD2">
            <w:pPr>
              <w:pStyle w:val="31"/>
              <w:ind w:firstLine="422"/>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④复合：在纠偏机的校正下，接纸机</w:t>
            </w:r>
            <w:r>
              <w:rPr>
                <w:rFonts w:hint="default" w:ascii="Times New Roman" w:hAnsi="Times New Roman" w:eastAsia="宋体" w:cs="Times New Roman"/>
                <w:color w:val="auto"/>
                <w:sz w:val="21"/>
                <w:szCs w:val="21"/>
                <w:lang w:val="en-US" w:eastAsia="zh-CN"/>
              </w:rPr>
              <w:t>（粘合机）</w:t>
            </w:r>
            <w:r>
              <w:rPr>
                <w:rFonts w:hint="default" w:ascii="Times New Roman" w:hAnsi="Times New Roman" w:eastAsia="宋体" w:cs="Times New Roman"/>
                <w:b w:val="0"/>
                <w:bCs/>
                <w:color w:val="auto"/>
                <w:lang w:val="en-US" w:eastAsia="zh-CN"/>
              </w:rPr>
              <w:t>将瓦楞纸和原纸复合成板</w:t>
            </w:r>
            <w:r>
              <w:rPr>
                <w:rFonts w:hint="default" w:ascii="Times New Roman" w:hAnsi="Times New Roman" w:eastAsia="宋体" w:cs="Times New Roman"/>
                <w:b w:val="0"/>
                <w:bCs/>
                <w:color w:val="auto"/>
                <w:szCs w:val="21"/>
              </w:rPr>
              <w:t>。</w:t>
            </w:r>
          </w:p>
          <w:p w14:paraId="2C7BEA3C">
            <w:pPr>
              <w:pStyle w:val="31"/>
              <w:ind w:firstLine="422"/>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lang w:val="en-US" w:eastAsia="zh-CN"/>
              </w:rPr>
              <w:t>产污环节：</w:t>
            </w:r>
            <w:r>
              <w:rPr>
                <w:rFonts w:hint="default" w:ascii="Times New Roman" w:hAnsi="Times New Roman" w:eastAsia="宋体" w:cs="Times New Roman"/>
                <w:b w:val="0"/>
                <w:bCs/>
                <w:color w:val="auto"/>
                <w:szCs w:val="21"/>
              </w:rPr>
              <w:t>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w:t>
            </w:r>
            <w:r>
              <w:rPr>
                <w:rFonts w:hint="default" w:ascii="Times New Roman" w:hAnsi="Times New Roman" w:eastAsia="宋体" w:cs="Times New Roman"/>
                <w:b w:val="0"/>
                <w:bCs/>
                <w:color w:val="auto"/>
                <w:lang w:val="en-US" w:eastAsia="zh-CN"/>
              </w:rPr>
              <w:t>N4</w:t>
            </w:r>
            <w:r>
              <w:rPr>
                <w:rFonts w:hint="default" w:ascii="Times New Roman" w:hAnsi="Times New Roman" w:eastAsia="宋体" w:cs="Times New Roman"/>
                <w:b w:val="0"/>
                <w:bCs/>
                <w:color w:val="auto"/>
              </w:rPr>
              <w:t>。</w:t>
            </w:r>
          </w:p>
          <w:p w14:paraId="3BEB3AD9">
            <w:pPr>
              <w:pStyle w:val="31"/>
              <w:ind w:firstLine="422"/>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⑤干燥：将完成复合的的瓦楞纸板进入加热板加热干燥。</w:t>
            </w:r>
          </w:p>
          <w:p w14:paraId="5E79E37A">
            <w:pPr>
              <w:pStyle w:val="31"/>
              <w:ind w:firstLine="422"/>
              <w:rPr>
                <w:rFonts w:hint="default" w:ascii="Times New Roman" w:hAnsi="Times New Roman" w:eastAsia="宋体" w:cs="Times New Roman"/>
                <w:b w:val="0"/>
                <w:bCs/>
                <w:color w:val="auto"/>
                <w:lang w:val="en-US"/>
              </w:rPr>
            </w:pPr>
            <w:r>
              <w:rPr>
                <w:rFonts w:hint="default" w:ascii="Times New Roman" w:hAnsi="Times New Roman" w:eastAsia="宋体" w:cs="Times New Roman"/>
                <w:b w:val="0"/>
                <w:bCs/>
                <w:color w:val="auto"/>
                <w:lang w:val="en-US" w:eastAsia="zh-CN"/>
              </w:rPr>
              <w:t>产污环节：</w:t>
            </w:r>
            <w:r>
              <w:rPr>
                <w:rFonts w:hint="default" w:ascii="Times New Roman" w:hAnsi="Times New Roman" w:eastAsia="宋体" w:cs="Times New Roman"/>
                <w:b w:val="0"/>
                <w:bCs/>
                <w:color w:val="auto"/>
                <w:szCs w:val="21"/>
              </w:rPr>
              <w:t>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w:t>
            </w:r>
            <w:r>
              <w:rPr>
                <w:rFonts w:hint="default" w:ascii="Times New Roman" w:hAnsi="Times New Roman" w:eastAsia="宋体" w:cs="Times New Roman"/>
                <w:b w:val="0"/>
                <w:bCs/>
                <w:color w:val="auto"/>
                <w:lang w:val="en-US" w:eastAsia="zh-CN"/>
              </w:rPr>
              <w:t>N5。</w:t>
            </w:r>
          </w:p>
          <w:p w14:paraId="70ABBCA4">
            <w:pPr>
              <w:pStyle w:val="31"/>
              <w:ind w:firstLine="422"/>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⑥分切：将完成烘干的瓦楞纸板进行分切。</w:t>
            </w:r>
          </w:p>
          <w:p w14:paraId="23376F51">
            <w:pPr>
              <w:pStyle w:val="31"/>
              <w:ind w:firstLine="422"/>
              <w:rPr>
                <w:rFonts w:hint="default" w:ascii="Times New Roman" w:hAnsi="Times New Roman" w:eastAsia="宋体" w:cs="Times New Roman"/>
                <w:b w:val="0"/>
                <w:bCs/>
                <w:color w:val="auto"/>
                <w:lang w:val="en-US"/>
              </w:rPr>
            </w:pPr>
            <w:r>
              <w:rPr>
                <w:rFonts w:hint="default" w:ascii="Times New Roman" w:hAnsi="Times New Roman" w:eastAsia="宋体" w:cs="Times New Roman"/>
                <w:b w:val="0"/>
                <w:bCs/>
                <w:color w:val="auto"/>
                <w:lang w:val="en-US" w:eastAsia="zh-CN"/>
              </w:rPr>
              <w:t>产污环节：</w:t>
            </w:r>
            <w:r>
              <w:rPr>
                <w:rFonts w:hint="default" w:ascii="Times New Roman" w:hAnsi="Times New Roman" w:eastAsia="宋体" w:cs="Times New Roman"/>
                <w:b w:val="0"/>
                <w:bCs/>
                <w:color w:val="auto"/>
                <w:szCs w:val="21"/>
              </w:rPr>
              <w:t>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w:t>
            </w:r>
            <w:r>
              <w:rPr>
                <w:rFonts w:hint="default" w:ascii="Times New Roman" w:hAnsi="Times New Roman" w:eastAsia="宋体" w:cs="Times New Roman"/>
                <w:b w:val="0"/>
                <w:bCs/>
                <w:color w:val="auto"/>
                <w:lang w:val="en-US" w:eastAsia="zh-CN"/>
              </w:rPr>
              <w:t>N6，边角料S3。</w:t>
            </w:r>
          </w:p>
          <w:p w14:paraId="1F463A45">
            <w:pPr>
              <w:pStyle w:val="31"/>
              <w:ind w:firstLine="42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lang w:val="en-US" w:eastAsia="zh-CN"/>
              </w:rPr>
              <w:t>⑦</w:t>
            </w:r>
            <w:r>
              <w:rPr>
                <w:rFonts w:hint="default" w:ascii="Times New Roman" w:hAnsi="Times New Roman" w:eastAsia="宋体" w:cs="Times New Roman"/>
                <w:color w:val="auto"/>
                <w:kern w:val="2"/>
                <w:sz w:val="21"/>
                <w:szCs w:val="21"/>
                <w:lang w:val="en-US" w:eastAsia="zh-CN" w:bidi="ar-SA"/>
              </w:rPr>
              <w:t>堆码：</w:t>
            </w:r>
            <w:r>
              <w:rPr>
                <w:rFonts w:hint="default" w:ascii="Times New Roman" w:hAnsi="Times New Roman" w:eastAsia="宋体" w:cs="Times New Roman"/>
                <w:color w:val="auto"/>
                <w:sz w:val="21"/>
                <w:szCs w:val="21"/>
                <w:lang w:val="en-US" w:eastAsia="zh-CN"/>
              </w:rPr>
              <w:t>堆码机将完成分切的纸板自动堆码，采用叉车运至印刷区印刷。</w:t>
            </w:r>
          </w:p>
          <w:p w14:paraId="1F5FADEF">
            <w:pPr>
              <w:pStyle w:val="31"/>
              <w:ind w:firstLine="422"/>
              <w:rPr>
                <w:rFonts w:hint="default" w:ascii="Times New Roman" w:hAnsi="Times New Roman" w:eastAsia="宋体" w:cs="Times New Roman"/>
                <w:b/>
                <w:bCs/>
                <w:color w:val="auto"/>
                <w:lang w:val="en-US"/>
              </w:rPr>
            </w:pPr>
            <w:r>
              <w:rPr>
                <w:rFonts w:hint="default" w:ascii="Times New Roman" w:hAnsi="Times New Roman" w:eastAsia="宋体" w:cs="Times New Roman"/>
                <w:b w:val="0"/>
                <w:bCs/>
                <w:color w:val="auto"/>
                <w:lang w:val="en-US" w:eastAsia="zh-CN"/>
              </w:rPr>
              <w:t>产污环节：</w:t>
            </w:r>
            <w:r>
              <w:rPr>
                <w:rFonts w:hint="default" w:ascii="Times New Roman" w:hAnsi="Times New Roman" w:eastAsia="宋体" w:cs="Times New Roman"/>
                <w:b w:val="0"/>
                <w:bCs/>
                <w:color w:val="auto"/>
                <w:szCs w:val="21"/>
              </w:rPr>
              <w:t>此工序将</w:t>
            </w:r>
            <w:r>
              <w:rPr>
                <w:rFonts w:hint="default" w:ascii="Times New Roman" w:hAnsi="Times New Roman" w:eastAsia="宋体" w:cs="Times New Roman"/>
                <w:b w:val="0"/>
                <w:bCs/>
                <w:color w:val="auto"/>
                <w:szCs w:val="21"/>
                <w:lang w:val="en-US" w:eastAsia="zh-CN"/>
              </w:rPr>
              <w:t>产生设备</w:t>
            </w:r>
            <w:r>
              <w:rPr>
                <w:rFonts w:hint="default" w:ascii="Times New Roman" w:hAnsi="Times New Roman" w:eastAsia="宋体" w:cs="Times New Roman"/>
                <w:b w:val="0"/>
                <w:bCs/>
                <w:color w:val="auto"/>
                <w:szCs w:val="21"/>
              </w:rPr>
              <w:t>噪声</w:t>
            </w:r>
            <w:r>
              <w:rPr>
                <w:rFonts w:hint="default" w:ascii="Times New Roman" w:hAnsi="Times New Roman" w:eastAsia="宋体" w:cs="Times New Roman"/>
                <w:b w:val="0"/>
                <w:bCs/>
                <w:color w:val="auto"/>
                <w:lang w:val="en-US" w:eastAsia="zh-CN"/>
              </w:rPr>
              <w:t>N7。</w:t>
            </w:r>
          </w:p>
          <w:p w14:paraId="6B0D9223">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（2）生产工艺流程和产污节点</w:t>
            </w:r>
          </w:p>
          <w:p w14:paraId="02AC3CB5">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生产工艺流程图如下图：</w:t>
            </w:r>
          </w:p>
          <w:p w14:paraId="24A1A620">
            <w:pPr>
              <w:pStyle w:val="31"/>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779010" cy="5019675"/>
                  <wp:effectExtent l="0" t="0" r="2540"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6"/>
                          <a:stretch>
                            <a:fillRect/>
                          </a:stretch>
                        </pic:blipFill>
                        <pic:spPr>
                          <a:xfrm>
                            <a:off x="0" y="0"/>
                            <a:ext cx="4779010" cy="5019675"/>
                          </a:xfrm>
                          <a:prstGeom prst="rect">
                            <a:avLst/>
                          </a:prstGeom>
                          <a:noFill/>
                          <a:ln>
                            <a:noFill/>
                          </a:ln>
                        </pic:spPr>
                      </pic:pic>
                    </a:graphicData>
                  </a:graphic>
                </wp:inline>
              </w:drawing>
            </w:r>
          </w:p>
          <w:p w14:paraId="686EE035">
            <w:pPr>
              <w:pStyle w:val="34"/>
              <w:ind w:firstLine="0" w:firstLineChars="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注：G:废气；S：固体废弃物；N：噪声。</w:t>
            </w:r>
          </w:p>
          <w:p w14:paraId="009C4625">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图2-12  生产工艺流程图</w:t>
            </w:r>
          </w:p>
          <w:p w14:paraId="063BBAB5">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瓦楞纸生产</w:t>
            </w:r>
            <w:r>
              <w:rPr>
                <w:rFonts w:hint="default" w:ascii="Times New Roman" w:hAnsi="Times New Roman" w:eastAsia="宋体" w:cs="Times New Roman"/>
                <w:color w:val="auto"/>
              </w:rPr>
              <w:t>产污环节见下表。</w:t>
            </w:r>
          </w:p>
          <w:p w14:paraId="3C766D40">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表2-13  纸箱生产线产污环节表</w:t>
            </w:r>
          </w:p>
          <w:tbl>
            <w:tblPr>
              <w:tblStyle w:val="26"/>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45"/>
              <w:gridCol w:w="1275"/>
              <w:gridCol w:w="2044"/>
              <w:gridCol w:w="3395"/>
            </w:tblGrid>
            <w:tr w14:paraId="043F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vAlign w:val="center"/>
                </w:tcPr>
                <w:p w14:paraId="7B7B84E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645" w:type="dxa"/>
                  <w:vAlign w:val="center"/>
                </w:tcPr>
                <w:p w14:paraId="6CBC529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编码</w:t>
                  </w:r>
                </w:p>
              </w:tc>
              <w:tc>
                <w:tcPr>
                  <w:tcW w:w="1275" w:type="dxa"/>
                  <w:vAlign w:val="center"/>
                </w:tcPr>
                <w:p w14:paraId="1E11DF8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2044" w:type="dxa"/>
                  <w:vAlign w:val="center"/>
                </w:tcPr>
                <w:p w14:paraId="518C096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主要组成</w:t>
                  </w:r>
                </w:p>
              </w:tc>
              <w:tc>
                <w:tcPr>
                  <w:tcW w:w="3395" w:type="dxa"/>
                  <w:vAlign w:val="center"/>
                </w:tcPr>
                <w:p w14:paraId="3DABE3F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治理措施</w:t>
                  </w:r>
                </w:p>
              </w:tc>
            </w:tr>
            <w:tr w14:paraId="2CDE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1D3709D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645" w:type="dxa"/>
                  <w:vAlign w:val="center"/>
                </w:tcPr>
                <w:p w14:paraId="29C3249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G1</w:t>
                  </w:r>
                </w:p>
              </w:tc>
              <w:tc>
                <w:tcPr>
                  <w:tcW w:w="1275" w:type="dxa"/>
                  <w:vAlign w:val="center"/>
                </w:tcPr>
                <w:p w14:paraId="2164A9F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4t/h生物质锅炉废气</w:t>
                  </w:r>
                </w:p>
              </w:tc>
              <w:tc>
                <w:tcPr>
                  <w:tcW w:w="2044" w:type="dxa"/>
                  <w:vAlign w:val="center"/>
                </w:tcPr>
                <w:p w14:paraId="0EB9F48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颗粒物、氮氧化物、二氧化硫、烟气黑度</w:t>
                  </w:r>
                </w:p>
              </w:tc>
              <w:tc>
                <w:tcPr>
                  <w:tcW w:w="3395" w:type="dxa"/>
                  <w:vAlign w:val="center"/>
                </w:tcPr>
                <w:p w14:paraId="1F53CDD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lang w:val="en-US" w:eastAsia="zh-CN"/>
                    </w:rPr>
                    <w:t>经1套“布袋除尘”系统（TA001）处理后由1根35m高排气筒（DA002）排放。</w:t>
                  </w:r>
                </w:p>
              </w:tc>
            </w:tr>
            <w:tr w14:paraId="0D83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restart"/>
                  <w:vAlign w:val="center"/>
                </w:tcPr>
                <w:p w14:paraId="534DCAD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w:t>
                  </w:r>
                </w:p>
              </w:tc>
              <w:tc>
                <w:tcPr>
                  <w:tcW w:w="645" w:type="dxa"/>
                  <w:vAlign w:val="center"/>
                </w:tcPr>
                <w:p w14:paraId="1E91799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W1</w:t>
                  </w:r>
                </w:p>
              </w:tc>
              <w:tc>
                <w:tcPr>
                  <w:tcW w:w="1275" w:type="dxa"/>
                  <w:vAlign w:val="center"/>
                </w:tcPr>
                <w:p w14:paraId="2F8D596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制胶、糊胶设备清洗废水</w:t>
                  </w:r>
                </w:p>
              </w:tc>
              <w:tc>
                <w:tcPr>
                  <w:tcW w:w="2044" w:type="dxa"/>
                  <w:vAlign w:val="center"/>
                </w:tcPr>
                <w:p w14:paraId="7796AF7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SS、钙离子、镁离子</w:t>
                  </w:r>
                </w:p>
              </w:tc>
              <w:tc>
                <w:tcPr>
                  <w:tcW w:w="3395" w:type="dxa"/>
                  <w:vAlign w:val="center"/>
                </w:tcPr>
                <w:p w14:paraId="2B322A6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val="en-US" w:eastAsia="zh-CN"/>
                    </w:rPr>
                    <w:t>收集后回用于制胶</w:t>
                  </w:r>
                </w:p>
              </w:tc>
            </w:tr>
            <w:tr w14:paraId="58FF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vAlign w:val="center"/>
                </w:tcPr>
                <w:p w14:paraId="4FFDC65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p>
              </w:tc>
              <w:tc>
                <w:tcPr>
                  <w:tcW w:w="645" w:type="dxa"/>
                  <w:vAlign w:val="center"/>
                </w:tcPr>
                <w:p w14:paraId="5C9A0E8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W2</w:t>
                  </w:r>
                </w:p>
              </w:tc>
              <w:tc>
                <w:tcPr>
                  <w:tcW w:w="1275" w:type="dxa"/>
                  <w:vAlign w:val="center"/>
                </w:tcPr>
                <w:p w14:paraId="32F4FE8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车间清洗废水</w:t>
                  </w:r>
                </w:p>
              </w:tc>
              <w:tc>
                <w:tcPr>
                  <w:tcW w:w="2044" w:type="dxa"/>
                  <w:vAlign w:val="center"/>
                </w:tcPr>
                <w:p w14:paraId="5CB47B5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SS</w:t>
                  </w:r>
                </w:p>
              </w:tc>
              <w:tc>
                <w:tcPr>
                  <w:tcW w:w="3395" w:type="dxa"/>
                  <w:vAlign w:val="center"/>
                </w:tcPr>
                <w:p w14:paraId="113D704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r>
                    <w:rPr>
                      <w:rFonts w:hint="default" w:ascii="Times New Roman" w:hAnsi="Times New Roman" w:eastAsia="宋体" w:cs="Times New Roman"/>
                      <w:color w:val="auto"/>
                      <w:kern w:val="0"/>
                      <w:lang w:val="en-US" w:eastAsia="zh-CN"/>
                    </w:rPr>
                    <w:t>。</w:t>
                  </w:r>
                </w:p>
              </w:tc>
            </w:tr>
            <w:tr w14:paraId="3071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vAlign w:val="center"/>
                </w:tcPr>
                <w:p w14:paraId="4AB0B45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p>
              </w:tc>
              <w:tc>
                <w:tcPr>
                  <w:tcW w:w="645" w:type="dxa"/>
                  <w:vAlign w:val="center"/>
                </w:tcPr>
                <w:p w14:paraId="7A3D1D5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W3</w:t>
                  </w:r>
                </w:p>
              </w:tc>
              <w:tc>
                <w:tcPr>
                  <w:tcW w:w="1275" w:type="dxa"/>
                  <w:vAlign w:val="center"/>
                </w:tcPr>
                <w:p w14:paraId="4BFC59C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生活污水</w:t>
                  </w:r>
                </w:p>
              </w:tc>
              <w:tc>
                <w:tcPr>
                  <w:tcW w:w="2044" w:type="dxa"/>
                  <w:vAlign w:val="center"/>
                </w:tcPr>
                <w:p w14:paraId="521E820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pH、COD、BOD</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lang w:val="en-US" w:eastAsia="zh-CN"/>
                    </w:rPr>
                    <w:t>、SS、和氨氮</w:t>
                  </w:r>
                </w:p>
              </w:tc>
              <w:tc>
                <w:tcPr>
                  <w:tcW w:w="3395" w:type="dxa"/>
                  <w:vAlign w:val="center"/>
                </w:tcPr>
                <w:p w14:paraId="10DAF26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本项目不新增生活污水</w:t>
                  </w:r>
                </w:p>
              </w:tc>
            </w:tr>
            <w:tr w14:paraId="4C2D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Align w:val="center"/>
                </w:tcPr>
                <w:p w14:paraId="332AD81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645" w:type="dxa"/>
                  <w:vAlign w:val="center"/>
                </w:tcPr>
                <w:p w14:paraId="04225AC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N1</w:t>
                  </w:r>
                  <w:r>
                    <w:rPr>
                      <w:rFonts w:hint="default" w:ascii="Times New Roman" w:hAnsi="Times New Roman" w:eastAsia="宋体" w:cs="Times New Roman"/>
                      <w:color w:val="auto"/>
                      <w:lang w:val="en-US" w:eastAsia="zh-CN"/>
                    </w:rPr>
                    <w:t>至N7</w:t>
                  </w:r>
                </w:p>
              </w:tc>
              <w:tc>
                <w:tcPr>
                  <w:tcW w:w="1275" w:type="dxa"/>
                  <w:vAlign w:val="center"/>
                </w:tcPr>
                <w:p w14:paraId="497FBC2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设备噪声</w:t>
                  </w:r>
                </w:p>
              </w:tc>
              <w:tc>
                <w:tcPr>
                  <w:tcW w:w="2044" w:type="dxa"/>
                  <w:vAlign w:val="center"/>
                </w:tcPr>
                <w:p w14:paraId="63CA801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连续</w:t>
                  </w:r>
                  <w:r>
                    <w:rPr>
                      <w:rFonts w:hint="default" w:ascii="Times New Roman" w:hAnsi="Times New Roman" w:eastAsia="宋体" w:cs="Times New Roman"/>
                      <w:color w:val="auto"/>
                    </w:rPr>
                    <w:t>等效A声级</w:t>
                  </w:r>
                </w:p>
              </w:tc>
              <w:tc>
                <w:tcPr>
                  <w:tcW w:w="3395" w:type="dxa"/>
                  <w:vAlign w:val="center"/>
                </w:tcPr>
                <w:p w14:paraId="6CD785A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安装减震垫</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厂房隔声</w:t>
                  </w:r>
                  <w:r>
                    <w:rPr>
                      <w:rFonts w:hint="default" w:ascii="Times New Roman" w:hAnsi="Times New Roman" w:eastAsia="宋体" w:cs="Times New Roman"/>
                      <w:color w:val="auto"/>
                    </w:rPr>
                    <w:t>等措施。</w:t>
                  </w:r>
                </w:p>
              </w:tc>
            </w:tr>
            <w:tr w14:paraId="4FC9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restart"/>
                  <w:vAlign w:val="center"/>
                </w:tcPr>
                <w:p w14:paraId="5FDDD8A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固体废弃物</w:t>
                  </w:r>
                </w:p>
              </w:tc>
              <w:tc>
                <w:tcPr>
                  <w:tcW w:w="645" w:type="dxa"/>
                  <w:vAlign w:val="center"/>
                </w:tcPr>
                <w:p w14:paraId="0AC21E2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S1</w:t>
                  </w:r>
                </w:p>
              </w:tc>
              <w:tc>
                <w:tcPr>
                  <w:tcW w:w="1275" w:type="dxa"/>
                  <w:vMerge w:val="restart"/>
                  <w:vAlign w:val="center"/>
                </w:tcPr>
                <w:p w14:paraId="793FF87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一般工业固废</w:t>
                  </w:r>
                </w:p>
              </w:tc>
              <w:tc>
                <w:tcPr>
                  <w:tcW w:w="2044" w:type="dxa"/>
                  <w:vAlign w:val="center"/>
                </w:tcPr>
                <w:p w14:paraId="583F3EE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炉渣</w:t>
                  </w:r>
                </w:p>
              </w:tc>
              <w:tc>
                <w:tcPr>
                  <w:tcW w:w="3395" w:type="dxa"/>
                  <w:vAlign w:val="center"/>
                </w:tcPr>
                <w:p w14:paraId="5844C32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集中收集后</w:t>
                  </w:r>
                  <w:r>
                    <w:rPr>
                      <w:rFonts w:hint="default" w:ascii="Times New Roman" w:hAnsi="Times New Roman" w:eastAsia="宋体" w:cs="Times New Roman"/>
                      <w:bCs/>
                      <w:color w:val="auto"/>
                      <w:lang w:val="en-US" w:eastAsia="zh-CN"/>
                    </w:rPr>
                    <w:t>给附近的农民用于农田施肥</w:t>
                  </w:r>
                  <w:r>
                    <w:rPr>
                      <w:rFonts w:hint="default" w:ascii="Times New Roman" w:hAnsi="Times New Roman" w:eastAsia="宋体" w:cs="Times New Roman"/>
                      <w:bCs/>
                      <w:color w:val="auto"/>
                    </w:rPr>
                    <w:t>。</w:t>
                  </w:r>
                </w:p>
              </w:tc>
            </w:tr>
            <w:tr w14:paraId="6CFC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34" w:type="dxa"/>
                  <w:vMerge w:val="continue"/>
                  <w:vAlign w:val="center"/>
                </w:tcPr>
                <w:p w14:paraId="7739EA2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645" w:type="dxa"/>
                  <w:vAlign w:val="center"/>
                </w:tcPr>
                <w:p w14:paraId="2421DDF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S</w:t>
                  </w:r>
                  <w:r>
                    <w:rPr>
                      <w:rFonts w:hint="default" w:ascii="Times New Roman" w:hAnsi="Times New Roman" w:eastAsia="宋体" w:cs="Times New Roman"/>
                      <w:color w:val="auto"/>
                      <w:lang w:val="en-US" w:eastAsia="zh-CN"/>
                    </w:rPr>
                    <w:t>2</w:t>
                  </w:r>
                </w:p>
              </w:tc>
              <w:tc>
                <w:tcPr>
                  <w:tcW w:w="1275" w:type="dxa"/>
                  <w:vMerge w:val="continue"/>
                  <w:vAlign w:val="center"/>
                </w:tcPr>
                <w:p w14:paraId="42621DB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2044" w:type="dxa"/>
                  <w:vAlign w:val="center"/>
                </w:tcPr>
                <w:p w14:paraId="16A88F4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废胶渣</w:t>
                  </w:r>
                </w:p>
              </w:tc>
              <w:tc>
                <w:tcPr>
                  <w:tcW w:w="3395" w:type="dxa"/>
                  <w:vAlign w:val="center"/>
                </w:tcPr>
                <w:p w14:paraId="64AB4B7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返回制胶生产线回收利用</w:t>
                  </w:r>
                </w:p>
              </w:tc>
            </w:tr>
            <w:tr w14:paraId="5522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vAlign w:val="center"/>
                </w:tcPr>
                <w:p w14:paraId="2FA0CD0B">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645" w:type="dxa"/>
                  <w:vAlign w:val="center"/>
                </w:tcPr>
                <w:p w14:paraId="766FDDE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S</w:t>
                  </w:r>
                  <w:r>
                    <w:rPr>
                      <w:rFonts w:hint="default" w:ascii="Times New Roman" w:hAnsi="Times New Roman" w:eastAsia="宋体" w:cs="Times New Roman"/>
                      <w:color w:val="auto"/>
                      <w:lang w:val="en-US" w:eastAsia="zh-CN"/>
                    </w:rPr>
                    <w:t>3</w:t>
                  </w:r>
                </w:p>
              </w:tc>
              <w:tc>
                <w:tcPr>
                  <w:tcW w:w="1275" w:type="dxa"/>
                  <w:vMerge w:val="continue"/>
                  <w:vAlign w:val="center"/>
                </w:tcPr>
                <w:p w14:paraId="7C50642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2044" w:type="dxa"/>
                  <w:vAlign w:val="center"/>
                </w:tcPr>
                <w:p w14:paraId="1D983E2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边角料</w:t>
                  </w:r>
                </w:p>
              </w:tc>
              <w:tc>
                <w:tcPr>
                  <w:tcW w:w="3395" w:type="dxa"/>
                  <w:vAlign w:val="center"/>
                </w:tcPr>
                <w:p w14:paraId="7E75AF4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外售给废品回收商</w:t>
                  </w:r>
                </w:p>
              </w:tc>
            </w:tr>
            <w:tr w14:paraId="4800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vAlign w:val="center"/>
                </w:tcPr>
                <w:p w14:paraId="57F769B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645" w:type="dxa"/>
                  <w:vAlign w:val="center"/>
                </w:tcPr>
                <w:p w14:paraId="5B43BBF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S</w:t>
                  </w:r>
                  <w:r>
                    <w:rPr>
                      <w:rFonts w:hint="default" w:ascii="Times New Roman" w:hAnsi="Times New Roman" w:eastAsia="宋体" w:cs="Times New Roman"/>
                      <w:color w:val="auto"/>
                      <w:lang w:val="en-US" w:eastAsia="zh-CN"/>
                    </w:rPr>
                    <w:t>4</w:t>
                  </w:r>
                </w:p>
              </w:tc>
              <w:tc>
                <w:tcPr>
                  <w:tcW w:w="1275" w:type="dxa"/>
                  <w:vMerge w:val="continue"/>
                  <w:vAlign w:val="center"/>
                </w:tcPr>
                <w:p w14:paraId="3724E70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p>
              </w:tc>
              <w:tc>
                <w:tcPr>
                  <w:tcW w:w="2044" w:type="dxa"/>
                  <w:vAlign w:val="center"/>
                </w:tcPr>
                <w:p w14:paraId="19B147E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除尘渣</w:t>
                  </w:r>
                </w:p>
              </w:tc>
              <w:tc>
                <w:tcPr>
                  <w:tcW w:w="3395" w:type="dxa"/>
                  <w:vAlign w:val="center"/>
                </w:tcPr>
                <w:p w14:paraId="0090E4F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集中收集后</w:t>
                  </w:r>
                  <w:r>
                    <w:rPr>
                      <w:rFonts w:hint="default" w:ascii="Times New Roman" w:hAnsi="Times New Roman" w:eastAsia="宋体" w:cs="Times New Roman"/>
                      <w:bCs/>
                      <w:color w:val="auto"/>
                      <w:lang w:val="en-US" w:eastAsia="zh-CN"/>
                    </w:rPr>
                    <w:t>给附近的农民用于农田施肥</w:t>
                  </w:r>
                  <w:r>
                    <w:rPr>
                      <w:rFonts w:hint="default" w:ascii="Times New Roman" w:hAnsi="Times New Roman" w:eastAsia="宋体" w:cs="Times New Roman"/>
                      <w:bCs/>
                      <w:color w:val="auto"/>
                    </w:rPr>
                    <w:t>。</w:t>
                  </w:r>
                </w:p>
              </w:tc>
            </w:tr>
          </w:tbl>
          <w:p w14:paraId="12E64ED3">
            <w:pPr>
              <w:pStyle w:val="31"/>
              <w:ind w:firstLine="0" w:firstLineChars="0"/>
              <w:rPr>
                <w:rFonts w:hint="default" w:ascii="Times New Roman" w:hAnsi="Times New Roman" w:eastAsia="宋体" w:cs="Times New Roman"/>
                <w:color w:val="auto"/>
              </w:rPr>
            </w:pPr>
          </w:p>
        </w:tc>
      </w:tr>
      <w:tr w14:paraId="7A156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75" w:type="dxa"/>
            <w:vAlign w:val="center"/>
          </w:tcPr>
          <w:p w14:paraId="62721AEC">
            <w:pPr>
              <w:pStyle w:val="21"/>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309" w:type="dxa"/>
          </w:tcPr>
          <w:p w14:paraId="4E7FC36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按照《建设项目环境影响报告表编制技术指南（污染影响类）（试行）》的相关解释，与项目有关的原有环境污染问题编制如下：</w:t>
            </w:r>
          </w:p>
          <w:p w14:paraId="1678F176">
            <w:pPr>
              <w:spacing w:line="360" w:lineRule="auto"/>
              <w:jc w:val="left"/>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2.1</w:t>
            </w:r>
            <w:r>
              <w:rPr>
                <w:rFonts w:hint="default" w:ascii="Times New Roman" w:hAnsi="Times New Roman" w:eastAsia="宋体" w:cs="Times New Roman"/>
                <w:b/>
                <w:bCs/>
                <w:color w:val="auto"/>
                <w:szCs w:val="21"/>
                <w:lang w:val="en-US" w:eastAsia="zh-CN"/>
              </w:rPr>
              <w:t>5</w:t>
            </w:r>
            <w:r>
              <w:rPr>
                <w:rFonts w:hint="default" w:ascii="Times New Roman" w:hAnsi="Times New Roman" w:eastAsia="宋体" w:cs="Times New Roman"/>
                <w:b/>
                <w:bCs/>
                <w:color w:val="auto"/>
                <w:szCs w:val="21"/>
              </w:rPr>
              <w:t xml:space="preserve"> 原有</w:t>
            </w:r>
            <w:r>
              <w:rPr>
                <w:rFonts w:hint="default" w:ascii="Times New Roman" w:hAnsi="Times New Roman" w:eastAsia="宋体" w:cs="Times New Roman"/>
                <w:b/>
                <w:bCs/>
                <w:color w:val="auto"/>
                <w:szCs w:val="21"/>
                <w:lang w:val="en-US" w:eastAsia="zh-CN"/>
              </w:rPr>
              <w:t>瓦楞纸板生产</w:t>
            </w:r>
            <w:r>
              <w:rPr>
                <w:rFonts w:hint="default" w:ascii="Times New Roman" w:hAnsi="Times New Roman" w:eastAsia="宋体" w:cs="Times New Roman"/>
                <w:b/>
                <w:bCs/>
                <w:color w:val="auto"/>
                <w:szCs w:val="21"/>
              </w:rPr>
              <w:t>项目环保手续履行情况</w:t>
            </w:r>
          </w:p>
          <w:p w14:paraId="38D3EC9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云南兴恒包装有限公司原名云南省玉溪市桦阳包装材料有限公司，原址</w:t>
            </w:r>
            <w:r>
              <w:rPr>
                <w:rFonts w:hint="default" w:ascii="Times New Roman" w:hAnsi="Times New Roman" w:eastAsia="宋体" w:cs="Times New Roman"/>
                <w:color w:val="auto"/>
              </w:rPr>
              <w:t>位于</w:t>
            </w:r>
            <w:r>
              <w:rPr>
                <w:rFonts w:hint="default" w:ascii="Times New Roman" w:hAnsi="Times New Roman" w:eastAsia="宋体" w:cs="Times New Roman"/>
                <w:color w:val="auto"/>
                <w:lang w:val="en-US" w:eastAsia="zh-CN"/>
              </w:rPr>
              <w:t>红塔区李棋镇下赫村委会七组玉江大道以北、下新村以西</w:t>
            </w:r>
            <w:r>
              <w:rPr>
                <w:rFonts w:hint="default" w:ascii="Times New Roman" w:hAnsi="Times New Roman" w:eastAsia="宋体" w:cs="Times New Roman"/>
                <w:color w:val="auto"/>
              </w:rPr>
              <w:t>，进行</w:t>
            </w:r>
            <w:r>
              <w:rPr>
                <w:rFonts w:hint="default" w:ascii="Times New Roman" w:hAnsi="Times New Roman" w:eastAsia="宋体" w:cs="Times New Roman"/>
                <w:color w:val="auto"/>
                <w:lang w:val="en-US" w:eastAsia="zh-CN"/>
              </w:rPr>
              <w:t>瓦楞纸板制品</w:t>
            </w:r>
            <w:r>
              <w:rPr>
                <w:rFonts w:hint="default" w:ascii="Times New Roman" w:hAnsi="Times New Roman" w:eastAsia="宋体" w:cs="Times New Roman"/>
                <w:color w:val="auto"/>
              </w:rPr>
              <w:t>生产活动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产能为七层瓦楞纸板纸箱1620万m³/年</w:t>
            </w:r>
            <w:r>
              <w:rPr>
                <w:rFonts w:hint="default" w:ascii="Times New Roman" w:hAnsi="Times New Roman" w:eastAsia="宋体" w:cs="Times New Roman"/>
                <w:color w:val="auto"/>
              </w:rPr>
              <w:t>。</w:t>
            </w:r>
          </w:p>
          <w:p w14:paraId="3527796D">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原有</w:t>
            </w:r>
            <w:r>
              <w:rPr>
                <w:rFonts w:hint="default" w:ascii="Times New Roman" w:hAnsi="Times New Roman" w:eastAsia="宋体" w:cs="Times New Roman"/>
                <w:b/>
                <w:bCs/>
                <w:color w:val="auto"/>
                <w:szCs w:val="21"/>
                <w:lang w:val="en-US" w:eastAsia="zh-CN"/>
              </w:rPr>
              <w:t>瓦楞纸板生产</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rPr>
              <w:t>履行的环保手续如下：</w:t>
            </w:r>
          </w:p>
          <w:p w14:paraId="466A2303">
            <w:pPr>
              <w:pStyle w:val="31"/>
              <w:ind w:firstLine="42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lang w:val="en-US" w:eastAsia="zh-CN"/>
              </w:rPr>
              <w:t>原有</w:t>
            </w:r>
            <w:r>
              <w:rPr>
                <w:rFonts w:hint="default" w:ascii="Times New Roman" w:hAnsi="Times New Roman" w:eastAsia="宋体" w:cs="Times New Roman"/>
                <w:b w:val="0"/>
                <w:bCs w:val="0"/>
                <w:color w:val="auto"/>
                <w:szCs w:val="21"/>
                <w:lang w:val="en-US" w:eastAsia="zh-CN"/>
              </w:rPr>
              <w:t>瓦楞纸板生产</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color w:val="auto"/>
              </w:rPr>
              <w:t>于20</w:t>
            </w:r>
            <w:r>
              <w:rPr>
                <w:rFonts w:hint="default" w:ascii="Times New Roman" w:hAnsi="Times New Roman" w:eastAsia="宋体" w:cs="Times New Roman"/>
                <w:color w:val="auto"/>
                <w:lang w:val="en-US" w:eastAsia="zh-CN"/>
              </w:rPr>
              <w:t>04</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月委托</w:t>
            </w:r>
            <w:r>
              <w:rPr>
                <w:rFonts w:hint="default" w:ascii="Times New Roman" w:hAnsi="Times New Roman" w:eastAsia="宋体" w:cs="Times New Roman"/>
                <w:color w:val="auto"/>
                <w:lang w:val="en-US" w:eastAsia="zh-CN"/>
              </w:rPr>
              <w:t>玉溪市环境科学研究所</w:t>
            </w:r>
            <w:r>
              <w:rPr>
                <w:rFonts w:hint="default" w:ascii="Times New Roman" w:hAnsi="Times New Roman" w:eastAsia="宋体" w:cs="Times New Roman"/>
                <w:color w:val="auto"/>
              </w:rPr>
              <w:t>编制完成了《</w:t>
            </w:r>
            <w:r>
              <w:rPr>
                <w:rFonts w:hint="default" w:ascii="Times New Roman" w:hAnsi="Times New Roman" w:eastAsia="宋体" w:cs="Times New Roman"/>
                <w:color w:val="auto"/>
                <w:lang w:val="en-US" w:eastAsia="zh-CN"/>
              </w:rPr>
              <w:t>七层瓦楞纸板制品生产线</w:t>
            </w:r>
            <w:r>
              <w:rPr>
                <w:rFonts w:hint="default" w:ascii="Times New Roman" w:hAnsi="Times New Roman" w:eastAsia="宋体" w:cs="Times New Roman"/>
                <w:color w:val="auto"/>
              </w:rPr>
              <w:t>项目环境影响报告表》，并于20</w:t>
            </w:r>
            <w:r>
              <w:rPr>
                <w:rFonts w:hint="default" w:ascii="Times New Roman" w:hAnsi="Times New Roman" w:eastAsia="宋体" w:cs="Times New Roman"/>
                <w:color w:val="auto"/>
                <w:lang w:val="en-US" w:eastAsia="zh-CN"/>
              </w:rPr>
              <w:t>04</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月30日</w:t>
            </w:r>
            <w:r>
              <w:rPr>
                <w:rFonts w:hint="default" w:ascii="Times New Roman" w:hAnsi="Times New Roman" w:eastAsia="宋体" w:cs="Times New Roman"/>
                <w:color w:val="auto"/>
                <w:lang w:val="en-US" w:eastAsia="zh-CN"/>
              </w:rPr>
              <w:t>通过</w:t>
            </w:r>
            <w:r>
              <w:rPr>
                <w:rFonts w:hint="default" w:ascii="Times New Roman" w:hAnsi="Times New Roman" w:eastAsia="宋体" w:cs="Times New Roman"/>
                <w:color w:val="auto"/>
              </w:rPr>
              <w:t>了玉溪</w:t>
            </w:r>
            <w:r>
              <w:rPr>
                <w:rFonts w:hint="default" w:ascii="Times New Roman" w:hAnsi="Times New Roman" w:eastAsia="宋体" w:cs="Times New Roman"/>
                <w:color w:val="auto"/>
                <w:lang w:val="en-US" w:eastAsia="zh-CN"/>
              </w:rPr>
              <w:t>市环境保护局的审批，并</w:t>
            </w:r>
            <w:r>
              <w:rPr>
                <w:rFonts w:hint="default" w:ascii="Times New Roman" w:hAnsi="Times New Roman" w:eastAsia="宋体" w:cs="Times New Roman"/>
                <w:b w:val="0"/>
                <w:bCs w:val="0"/>
                <w:color w:val="auto"/>
                <w:sz w:val="21"/>
                <w:szCs w:val="21"/>
                <w:lang w:val="en-US" w:eastAsia="zh-CN"/>
              </w:rPr>
              <w:t>取得相关审批意见</w:t>
            </w:r>
            <w:r>
              <w:rPr>
                <w:rFonts w:hint="default" w:ascii="Times New Roman" w:hAnsi="Times New Roman" w:eastAsia="宋体" w:cs="Times New Roman"/>
                <w:b w:val="0"/>
                <w:bCs w:val="0"/>
                <w:color w:val="auto"/>
                <w:sz w:val="21"/>
                <w:szCs w:val="21"/>
              </w:rPr>
              <w:t>，同意项目建设。</w:t>
            </w:r>
          </w:p>
          <w:p w14:paraId="2C67FCE4">
            <w:pPr>
              <w:pStyle w:val="31"/>
              <w:ind w:firstLine="42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2005年委托玉溪市环境监测站组织并编制了《云南兴恒包装有限公司新建七层瓦楞纸板制品生产线项目竣工环境保护验收监测报告表》（玉环监字[2005]154号），出具了验收监测结论，基本符合项目竣工环境保护验收条件</w:t>
            </w:r>
            <w:r>
              <w:rPr>
                <w:rFonts w:hint="default" w:ascii="Times New Roman" w:hAnsi="Times New Roman" w:eastAsia="宋体" w:cs="Times New Roman"/>
                <w:b w:val="0"/>
                <w:bCs w:val="0"/>
                <w:color w:val="auto"/>
                <w:sz w:val="21"/>
                <w:szCs w:val="21"/>
              </w:rPr>
              <w:t>。</w:t>
            </w:r>
          </w:p>
          <w:p w14:paraId="26F03000">
            <w:pPr>
              <w:pStyle w:val="38"/>
              <w:ind w:firstLine="422"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lang w:val="en-US" w:eastAsia="zh-CN"/>
              </w:rPr>
              <w:t>原有</w:t>
            </w:r>
            <w:r>
              <w:rPr>
                <w:rFonts w:hint="default" w:ascii="Times New Roman" w:hAnsi="Times New Roman" w:eastAsia="宋体" w:cs="Times New Roman"/>
                <w:b/>
                <w:bCs/>
                <w:color w:val="auto"/>
                <w:szCs w:val="21"/>
                <w:lang w:val="en-US" w:eastAsia="zh-CN"/>
              </w:rPr>
              <w:t>瓦楞纸板生产</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lang w:val="en-US" w:eastAsia="zh-CN"/>
              </w:rPr>
              <w:t>排污许可证办理</w:t>
            </w:r>
            <w:r>
              <w:rPr>
                <w:rFonts w:hint="default" w:ascii="Times New Roman" w:hAnsi="Times New Roman" w:eastAsia="宋体" w:cs="Times New Roman"/>
                <w:b/>
                <w:bCs/>
                <w:color w:val="auto"/>
              </w:rPr>
              <w:t>手如下</w:t>
            </w:r>
            <w:r>
              <w:rPr>
                <w:rFonts w:hint="default" w:ascii="Times New Roman" w:hAnsi="Times New Roman" w:eastAsia="宋体" w:cs="Times New Roman"/>
                <w:b/>
                <w:bCs/>
                <w:color w:val="auto"/>
                <w:lang w:eastAsia="zh-CN"/>
              </w:rPr>
              <w:t>：</w:t>
            </w:r>
          </w:p>
          <w:p w14:paraId="391CC837">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2020年5月26日取得玉溪市生态环境局颁发的《排污许可证》，证书编号：91530402760430724N001P。</w:t>
            </w:r>
          </w:p>
          <w:p w14:paraId="7BF74033">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w:t>
            </w:r>
            <w:r>
              <w:rPr>
                <w:rFonts w:hint="default" w:ascii="Times New Roman" w:hAnsi="Times New Roman" w:eastAsia="宋体" w:cs="Times New Roman"/>
                <w:b w:val="0"/>
                <w:bCs w:val="0"/>
                <w:color w:val="auto"/>
                <w:lang w:val="en-US" w:eastAsia="zh-CN"/>
              </w:rPr>
              <w:t>原有</w:t>
            </w:r>
            <w:r>
              <w:rPr>
                <w:rFonts w:hint="default" w:ascii="Times New Roman" w:hAnsi="Times New Roman" w:eastAsia="宋体" w:cs="Times New Roman"/>
                <w:b w:val="0"/>
                <w:bCs w:val="0"/>
                <w:color w:val="auto"/>
                <w:szCs w:val="21"/>
                <w:lang w:val="en-US" w:eastAsia="zh-CN"/>
              </w:rPr>
              <w:t>瓦楞纸板生产</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color w:val="auto"/>
                <w:kern w:val="2"/>
                <w:sz w:val="21"/>
                <w:szCs w:val="21"/>
                <w:lang w:val="en-US" w:eastAsia="zh-CN" w:bidi="ar-SA"/>
              </w:rPr>
              <w:t>排污许可证，自行监测方案如下。</w:t>
            </w:r>
          </w:p>
          <w:p w14:paraId="629F2CAD">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表2-15-1  原有项目自行监测方案一览表</w:t>
            </w:r>
          </w:p>
          <w:tbl>
            <w:tblPr>
              <w:tblStyle w:val="26"/>
              <w:tblW w:w="8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78"/>
              <w:gridCol w:w="3849"/>
              <w:gridCol w:w="1752"/>
            </w:tblGrid>
            <w:tr w14:paraId="7137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471BB875">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w:t>
                  </w:r>
                </w:p>
              </w:tc>
              <w:tc>
                <w:tcPr>
                  <w:tcW w:w="1278" w:type="dxa"/>
                  <w:vAlign w:val="center"/>
                </w:tcPr>
                <w:p w14:paraId="7C03F38D">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监测点位</w:t>
                  </w:r>
                </w:p>
              </w:tc>
              <w:tc>
                <w:tcPr>
                  <w:tcW w:w="3849" w:type="dxa"/>
                  <w:vAlign w:val="center"/>
                </w:tcPr>
                <w:p w14:paraId="766852F1">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监测内容</w:t>
                  </w:r>
                </w:p>
              </w:tc>
              <w:tc>
                <w:tcPr>
                  <w:tcW w:w="1752" w:type="dxa"/>
                  <w:vAlign w:val="center"/>
                </w:tcPr>
                <w:p w14:paraId="01B115C7">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监测频率</w:t>
                  </w:r>
                </w:p>
              </w:tc>
            </w:tr>
            <w:tr w14:paraId="65AA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restart"/>
                  <w:vAlign w:val="center"/>
                </w:tcPr>
                <w:p w14:paraId="13EE5169">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w:t>
                  </w:r>
                </w:p>
              </w:tc>
              <w:tc>
                <w:tcPr>
                  <w:tcW w:w="1278" w:type="dxa"/>
                  <w:vAlign w:val="center"/>
                </w:tcPr>
                <w:p w14:paraId="2405420B">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DA002</w:t>
                  </w:r>
                </w:p>
              </w:tc>
              <w:tc>
                <w:tcPr>
                  <w:tcW w:w="3849" w:type="dxa"/>
                  <w:vAlign w:val="center"/>
                </w:tcPr>
                <w:p w14:paraId="7AF48BCC">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颗粒物、二氧化硫、氮氧化物、烟气黑度</w:t>
                  </w:r>
                </w:p>
              </w:tc>
              <w:tc>
                <w:tcPr>
                  <w:tcW w:w="1752" w:type="dxa"/>
                  <w:vAlign w:val="center"/>
                </w:tcPr>
                <w:p w14:paraId="7D942C4B">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1次/月</w:t>
                  </w:r>
                </w:p>
              </w:tc>
            </w:tr>
            <w:tr w14:paraId="119D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continue"/>
                  <w:vAlign w:val="center"/>
                </w:tcPr>
                <w:p w14:paraId="4557C3B6">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278" w:type="dxa"/>
                  <w:vMerge w:val="restart"/>
                  <w:vAlign w:val="center"/>
                </w:tcPr>
                <w:p w14:paraId="293BFAD4">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w:t>
                  </w:r>
                </w:p>
              </w:tc>
              <w:tc>
                <w:tcPr>
                  <w:tcW w:w="3849" w:type="dxa"/>
                  <w:vAlign w:val="center"/>
                </w:tcPr>
                <w:p w14:paraId="03EA6229">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752" w:type="dxa"/>
                  <w:vAlign w:val="center"/>
                </w:tcPr>
                <w:p w14:paraId="5FDA8118">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1次/季</w:t>
                  </w:r>
                </w:p>
              </w:tc>
            </w:tr>
            <w:tr w14:paraId="5C93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continue"/>
                  <w:vAlign w:val="center"/>
                </w:tcPr>
                <w:p w14:paraId="289A7081">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278" w:type="dxa"/>
                  <w:vMerge w:val="continue"/>
                  <w:vAlign w:val="center"/>
                </w:tcPr>
                <w:p w14:paraId="33E9063C">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3849" w:type="dxa"/>
                  <w:vAlign w:val="center"/>
                </w:tcPr>
                <w:p w14:paraId="1C133CD2">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硫化氢、氨、臭气浓度</w:t>
                  </w:r>
                </w:p>
              </w:tc>
              <w:tc>
                <w:tcPr>
                  <w:tcW w:w="1752" w:type="dxa"/>
                  <w:vAlign w:val="center"/>
                </w:tcPr>
                <w:p w14:paraId="52C41FD1">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1次/年</w:t>
                  </w:r>
                </w:p>
              </w:tc>
            </w:tr>
            <w:tr w14:paraId="2250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713C1498">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1278" w:type="dxa"/>
                  <w:vAlign w:val="center"/>
                </w:tcPr>
                <w:p w14:paraId="7566696C">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DW003</w:t>
                  </w:r>
                </w:p>
              </w:tc>
              <w:tc>
                <w:tcPr>
                  <w:tcW w:w="3849" w:type="dxa"/>
                  <w:vAlign w:val="center"/>
                </w:tcPr>
                <w:p w14:paraId="353CDB2F">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pH、色度、悬浮物、五日生化需氧量、化学需氧量、总氮、氨氮、总磷</w:t>
                  </w:r>
                </w:p>
              </w:tc>
              <w:tc>
                <w:tcPr>
                  <w:tcW w:w="1752" w:type="dxa"/>
                  <w:vAlign w:val="center"/>
                </w:tcPr>
                <w:p w14:paraId="6641013B">
                  <w:pPr>
                    <w:widowControl w:val="0"/>
                    <w:spacing w:before="60" w:beforeLines="25" w:after="60"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1次/季</w:t>
                  </w:r>
                </w:p>
              </w:tc>
            </w:tr>
          </w:tbl>
          <w:p w14:paraId="308C1FCF">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执行情况如下图。</w:t>
            </w:r>
          </w:p>
          <w:p w14:paraId="0AE3598D">
            <w:pPr>
              <w:widowControl w:val="0"/>
              <w:bidi w:val="0"/>
              <w:spacing w:line="36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5130165" cy="2484755"/>
                  <wp:effectExtent l="0" t="0" r="1333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5130165" cy="2484755"/>
                          </a:xfrm>
                          <a:prstGeom prst="rect">
                            <a:avLst/>
                          </a:prstGeom>
                          <a:noFill/>
                          <a:ln>
                            <a:noFill/>
                          </a:ln>
                        </pic:spPr>
                      </pic:pic>
                    </a:graphicData>
                  </a:graphic>
                </wp:inline>
              </w:drawing>
            </w:r>
          </w:p>
          <w:p w14:paraId="561EC527">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图2-15-2  自行监测执行情况图</w:t>
            </w:r>
          </w:p>
          <w:p w14:paraId="3C3F83B0">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原有</w:t>
            </w:r>
            <w:r>
              <w:rPr>
                <w:rFonts w:hint="default" w:ascii="Times New Roman" w:hAnsi="Times New Roman" w:eastAsia="宋体" w:cs="Times New Roman"/>
                <w:color w:val="auto"/>
              </w:rPr>
              <w:t>项目</w:t>
            </w:r>
            <w:r>
              <w:rPr>
                <w:rFonts w:hint="default" w:ascii="Times New Roman" w:hAnsi="Times New Roman" w:eastAsia="宋体" w:cs="Times New Roman"/>
                <w:color w:val="auto"/>
                <w:lang w:val="en-US" w:eastAsia="zh-CN"/>
              </w:rPr>
              <w:t>全厂按功能区划分成为两块不同功能的用地进行建设，分别为生产区、办公生活区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全厂总占地面积30966㎡，建筑占地面积9170㎡，总建筑面积10730㎡，高压线安全控制占地6335㎡，实际用地面积23631㎡，绿化面积11938㎡，绿化率为38.6%。</w:t>
            </w:r>
            <w:r>
              <w:rPr>
                <w:rFonts w:hint="default" w:ascii="Times New Roman" w:hAnsi="Times New Roman" w:eastAsia="宋体" w:cs="Times New Roman"/>
                <w:color w:val="auto"/>
              </w:rPr>
              <w:t>主要内容见下表。</w:t>
            </w:r>
          </w:p>
          <w:p w14:paraId="3B4287FE">
            <w:pPr>
              <w:jc w:val="center"/>
              <w:rPr>
                <w:rFonts w:hint="default" w:ascii="Times New Roman" w:hAnsi="Times New Roman" w:eastAsia="宋体" w:cs="Times New Roman"/>
                <w:b/>
                <w:color w:val="auto"/>
                <w:spacing w:val="4"/>
              </w:rPr>
            </w:pPr>
            <w:r>
              <w:rPr>
                <w:rFonts w:hint="default" w:ascii="Times New Roman" w:hAnsi="Times New Roman" w:eastAsia="宋体" w:cs="Times New Roman"/>
                <w:b/>
                <w:color w:val="auto"/>
                <w:spacing w:val="4"/>
              </w:rPr>
              <w:t>表2-1</w:t>
            </w:r>
            <w:r>
              <w:rPr>
                <w:rFonts w:hint="default" w:ascii="Times New Roman" w:hAnsi="Times New Roman" w:eastAsia="宋体" w:cs="Times New Roman"/>
                <w:b/>
                <w:color w:val="auto"/>
                <w:spacing w:val="4"/>
                <w:lang w:val="en-US" w:eastAsia="zh-CN"/>
              </w:rPr>
              <w:t>5-3</w:t>
            </w:r>
            <w:r>
              <w:rPr>
                <w:rFonts w:hint="default" w:ascii="Times New Roman" w:hAnsi="Times New Roman" w:eastAsia="宋体" w:cs="Times New Roman"/>
                <w:b/>
                <w:color w:val="auto"/>
                <w:spacing w:val="4"/>
              </w:rPr>
              <w:t xml:space="preserve">  原有项目工程内容</w:t>
            </w:r>
          </w:p>
          <w:tbl>
            <w:tblPr>
              <w:tblStyle w:val="26"/>
              <w:tblW w:w="8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19"/>
              <w:gridCol w:w="5132"/>
              <w:gridCol w:w="975"/>
            </w:tblGrid>
            <w:tr w14:paraId="2D67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04FB93CC">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工程组成</w:t>
                  </w:r>
                </w:p>
              </w:tc>
              <w:tc>
                <w:tcPr>
                  <w:tcW w:w="1219" w:type="dxa"/>
                  <w:vAlign w:val="center"/>
                </w:tcPr>
                <w:p w14:paraId="4261A684">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工程名称</w:t>
                  </w:r>
                </w:p>
              </w:tc>
              <w:tc>
                <w:tcPr>
                  <w:tcW w:w="5132" w:type="dxa"/>
                  <w:vAlign w:val="center"/>
                </w:tcPr>
                <w:p w14:paraId="373DF2A4">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建设内容</w:t>
                  </w:r>
                </w:p>
              </w:tc>
              <w:tc>
                <w:tcPr>
                  <w:tcW w:w="975" w:type="dxa"/>
                  <w:vAlign w:val="center"/>
                </w:tcPr>
                <w:p w14:paraId="5E924B81">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14:paraId="1FF7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gridSpan w:val="2"/>
                  <w:vAlign w:val="center"/>
                </w:tcPr>
                <w:p w14:paraId="0142C8D0">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第一地块（生产区）</w:t>
                  </w:r>
                </w:p>
              </w:tc>
              <w:tc>
                <w:tcPr>
                  <w:tcW w:w="5132" w:type="dxa"/>
                  <w:vAlign w:val="center"/>
                </w:tcPr>
                <w:p w14:paraId="7A1E9306">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该地块占地面积13545㎡，建筑占地面积5200㎡，建筑面积6150㎡，绿化面积4970㎡，绿化率为36.7%。</w:t>
                  </w:r>
                </w:p>
              </w:tc>
              <w:tc>
                <w:tcPr>
                  <w:tcW w:w="975" w:type="dxa"/>
                  <w:vAlign w:val="center"/>
                </w:tcPr>
                <w:p w14:paraId="01FB479E">
                  <w:pPr>
                    <w:spacing w:before="60" w:beforeLines="25" w:after="60" w:afterLines="25"/>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已验收</w:t>
                  </w:r>
                  <w:r>
                    <w:rPr>
                      <w:rFonts w:hint="default" w:ascii="Times New Roman" w:hAnsi="Times New Roman" w:eastAsia="宋体" w:cs="Times New Roman"/>
                      <w:color w:val="auto"/>
                      <w:szCs w:val="21"/>
                      <w:lang w:eastAsia="zh-CN"/>
                    </w:rPr>
                    <w:t>，</w:t>
                  </w:r>
                </w:p>
              </w:tc>
            </w:tr>
            <w:tr w14:paraId="014A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633EE02A">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主体工程</w:t>
                  </w:r>
                </w:p>
              </w:tc>
              <w:tc>
                <w:tcPr>
                  <w:tcW w:w="1219" w:type="dxa"/>
                  <w:vAlign w:val="center"/>
                </w:tcPr>
                <w:p w14:paraId="012D52D3">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生产车间</w:t>
                  </w:r>
                </w:p>
              </w:tc>
              <w:tc>
                <w:tcPr>
                  <w:tcW w:w="5132" w:type="dxa"/>
                  <w:vAlign w:val="center"/>
                </w:tcPr>
                <w:p w14:paraId="00E412A8">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主生产车间（瓦楞生产线、印刷生产线、成品包装车间）、锅炉房及辅助用房。生产车间墙体采用框架结构，屋顶采用建筑彩板瓦，屋缘高6m，屋顶高10m</w:t>
                  </w:r>
                  <w:r>
                    <w:rPr>
                      <w:rFonts w:hint="default" w:ascii="Times New Roman" w:hAnsi="Times New Roman" w:eastAsia="宋体" w:cs="Times New Roman"/>
                      <w:color w:val="auto"/>
                      <w:szCs w:val="21"/>
                    </w:rPr>
                    <w:t>。</w:t>
                  </w:r>
                </w:p>
              </w:tc>
              <w:tc>
                <w:tcPr>
                  <w:tcW w:w="975" w:type="dxa"/>
                  <w:vAlign w:val="center"/>
                </w:tcPr>
                <w:p w14:paraId="31ED13DB">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6E2A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12B9F6ED">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辅助工程</w:t>
                  </w:r>
                </w:p>
              </w:tc>
              <w:tc>
                <w:tcPr>
                  <w:tcW w:w="1219" w:type="dxa"/>
                  <w:vAlign w:val="center"/>
                </w:tcPr>
                <w:p w14:paraId="42209790">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锅炉房及辅助用房</w:t>
                  </w:r>
                </w:p>
              </w:tc>
              <w:tc>
                <w:tcPr>
                  <w:tcW w:w="5132" w:type="dxa"/>
                  <w:vAlign w:val="center"/>
                </w:tcPr>
                <w:p w14:paraId="739B5F49">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锅炉房及辅助用房为框架结构。锅炉房装有6t/h锅炉一台。</w:t>
                  </w:r>
                </w:p>
              </w:tc>
              <w:tc>
                <w:tcPr>
                  <w:tcW w:w="975" w:type="dxa"/>
                  <w:vAlign w:val="center"/>
                </w:tcPr>
                <w:p w14:paraId="401D1FE7">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7960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gridSpan w:val="2"/>
                  <w:vAlign w:val="center"/>
                </w:tcPr>
                <w:p w14:paraId="1E377328">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第二地块（办公生活区）</w:t>
                  </w:r>
                </w:p>
              </w:tc>
              <w:tc>
                <w:tcPr>
                  <w:tcW w:w="5132" w:type="dxa"/>
                  <w:vAlign w:val="center"/>
                </w:tcPr>
                <w:p w14:paraId="1C73E632">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该地块占地面积17421㎡，建筑占地面积3970㎡，建筑面积4580㎡，高压线安全控制占地6335㎡，实际用地面积11086㎡，绿化面积6968㎡，绿化率为40%。</w:t>
                  </w:r>
                </w:p>
              </w:tc>
              <w:tc>
                <w:tcPr>
                  <w:tcW w:w="975" w:type="dxa"/>
                  <w:vAlign w:val="center"/>
                </w:tcPr>
                <w:p w14:paraId="25393C69">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2E63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Align w:val="center"/>
                </w:tcPr>
                <w:p w14:paraId="72A51B05">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辅助工程</w:t>
                  </w:r>
                </w:p>
              </w:tc>
              <w:tc>
                <w:tcPr>
                  <w:tcW w:w="1219" w:type="dxa"/>
                  <w:vAlign w:val="center"/>
                </w:tcPr>
                <w:p w14:paraId="79BC97F7">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办公楼、职工宿舍、食堂、仓库</w:t>
                  </w:r>
                </w:p>
              </w:tc>
              <w:tc>
                <w:tcPr>
                  <w:tcW w:w="5132" w:type="dxa"/>
                  <w:vAlign w:val="center"/>
                </w:tcPr>
                <w:p w14:paraId="4D85E5DB">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办公楼有一幢，设置两层，砖混结构。职工宿舍、食堂等生活用房为简易房。</w:t>
                  </w:r>
                </w:p>
              </w:tc>
              <w:tc>
                <w:tcPr>
                  <w:tcW w:w="975" w:type="dxa"/>
                  <w:vAlign w:val="center"/>
                </w:tcPr>
                <w:p w14:paraId="15E637B8">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49B2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restart"/>
                  <w:vAlign w:val="center"/>
                </w:tcPr>
                <w:p w14:paraId="03C4AA29">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1219" w:type="dxa"/>
                  <w:vMerge w:val="restart"/>
                  <w:vAlign w:val="center"/>
                </w:tcPr>
                <w:p w14:paraId="1D299307">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废气处理工程</w:t>
                  </w:r>
                </w:p>
              </w:tc>
              <w:tc>
                <w:tcPr>
                  <w:tcW w:w="5132" w:type="dxa"/>
                  <w:vAlign w:val="center"/>
                </w:tcPr>
                <w:p w14:paraId="39062AA9">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锅炉废气经水膜除尘器处理后通过35m高烟囱排放。</w:t>
                  </w:r>
                </w:p>
              </w:tc>
              <w:tc>
                <w:tcPr>
                  <w:tcW w:w="975" w:type="dxa"/>
                  <w:vAlign w:val="center"/>
                </w:tcPr>
                <w:p w14:paraId="3C9F6352">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40BB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12BEBB7F">
                  <w:pPr>
                    <w:spacing w:before="60" w:beforeLines="25" w:after="60" w:afterLines="25"/>
                    <w:jc w:val="center"/>
                    <w:rPr>
                      <w:rFonts w:hint="default" w:ascii="Times New Roman" w:hAnsi="Times New Roman" w:eastAsia="宋体" w:cs="Times New Roman"/>
                      <w:color w:val="auto"/>
                      <w:szCs w:val="21"/>
                    </w:rPr>
                  </w:pPr>
                </w:p>
              </w:tc>
              <w:tc>
                <w:tcPr>
                  <w:tcW w:w="1219" w:type="dxa"/>
                  <w:vMerge w:val="continue"/>
                  <w:vAlign w:val="center"/>
                </w:tcPr>
                <w:p w14:paraId="1EBA1EB3">
                  <w:pPr>
                    <w:spacing w:before="60" w:beforeLines="25" w:after="60" w:afterLines="25"/>
                    <w:jc w:val="center"/>
                    <w:rPr>
                      <w:rFonts w:hint="default" w:ascii="Times New Roman" w:hAnsi="Times New Roman" w:eastAsia="宋体" w:cs="Times New Roman"/>
                      <w:color w:val="auto"/>
                      <w:szCs w:val="21"/>
                    </w:rPr>
                  </w:pPr>
                </w:p>
              </w:tc>
              <w:tc>
                <w:tcPr>
                  <w:tcW w:w="5132" w:type="dxa"/>
                  <w:vAlign w:val="center"/>
                </w:tcPr>
                <w:p w14:paraId="543A445A">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印刷车间有机溶剂及气味通过加强通风进行处理。</w:t>
                  </w:r>
                </w:p>
              </w:tc>
              <w:tc>
                <w:tcPr>
                  <w:tcW w:w="975" w:type="dxa"/>
                  <w:vAlign w:val="center"/>
                </w:tcPr>
                <w:p w14:paraId="4203B4D3">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539E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12B9561F">
                  <w:pPr>
                    <w:spacing w:before="60" w:beforeLines="25" w:after="60" w:afterLines="25"/>
                    <w:jc w:val="center"/>
                    <w:rPr>
                      <w:rFonts w:hint="default" w:ascii="Times New Roman" w:hAnsi="Times New Roman" w:eastAsia="宋体" w:cs="Times New Roman"/>
                      <w:color w:val="auto"/>
                      <w:szCs w:val="21"/>
                    </w:rPr>
                  </w:pPr>
                </w:p>
              </w:tc>
              <w:tc>
                <w:tcPr>
                  <w:tcW w:w="1219" w:type="dxa"/>
                  <w:vMerge w:val="restart"/>
                  <w:vAlign w:val="center"/>
                </w:tcPr>
                <w:p w14:paraId="0BD9ACCF">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废水处理工程</w:t>
                  </w:r>
                </w:p>
              </w:tc>
              <w:tc>
                <w:tcPr>
                  <w:tcW w:w="5132" w:type="dxa"/>
                  <w:vAlign w:val="center"/>
                </w:tcPr>
                <w:p w14:paraId="2FD39E1F">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生活污水经化粪池、沉淀池处理后，通过废水总排口外排至农灌沟。</w:t>
                  </w:r>
                </w:p>
              </w:tc>
              <w:tc>
                <w:tcPr>
                  <w:tcW w:w="975" w:type="dxa"/>
                  <w:vAlign w:val="center"/>
                </w:tcPr>
                <w:p w14:paraId="108631CD">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206E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09DAC88D">
                  <w:pPr>
                    <w:spacing w:before="60" w:beforeLines="25" w:after="60" w:afterLines="25"/>
                    <w:jc w:val="center"/>
                    <w:rPr>
                      <w:rFonts w:hint="default" w:ascii="Times New Roman" w:hAnsi="Times New Roman" w:eastAsia="宋体" w:cs="Times New Roman"/>
                      <w:color w:val="auto"/>
                      <w:szCs w:val="21"/>
                    </w:rPr>
                  </w:pPr>
                </w:p>
              </w:tc>
              <w:tc>
                <w:tcPr>
                  <w:tcW w:w="1219" w:type="dxa"/>
                  <w:vMerge w:val="continue"/>
                  <w:vAlign w:val="center"/>
                </w:tcPr>
                <w:p w14:paraId="681BBD24">
                  <w:pPr>
                    <w:spacing w:before="60" w:beforeLines="25" w:after="60" w:afterLines="25"/>
                    <w:jc w:val="center"/>
                    <w:rPr>
                      <w:rFonts w:hint="default" w:ascii="Times New Roman" w:hAnsi="Times New Roman" w:eastAsia="宋体" w:cs="Times New Roman"/>
                      <w:color w:val="auto"/>
                      <w:kern w:val="2"/>
                      <w:sz w:val="21"/>
                      <w:szCs w:val="21"/>
                      <w:lang w:val="en-US" w:eastAsia="zh-CN" w:bidi="ar-SA"/>
                    </w:rPr>
                  </w:pPr>
                </w:p>
              </w:tc>
              <w:tc>
                <w:tcPr>
                  <w:tcW w:w="5132" w:type="dxa"/>
                  <w:shd w:val="clear" w:color="auto" w:fill="auto"/>
                  <w:vAlign w:val="center"/>
                </w:tcPr>
                <w:p w14:paraId="59D126F1">
                  <w:pPr>
                    <w:spacing w:before="60" w:beforeLines="25" w:after="60" w:afterLines="25"/>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锅炉排污水进行中和沉淀处理，达GB8978—1996《污水综合排放标准》表4二级标准后，通过废水总排口外排至农灌沟。</w:t>
                  </w:r>
                </w:p>
              </w:tc>
              <w:tc>
                <w:tcPr>
                  <w:tcW w:w="975" w:type="dxa"/>
                  <w:shd w:val="clear" w:color="auto" w:fill="auto"/>
                  <w:vAlign w:val="center"/>
                </w:tcPr>
                <w:p w14:paraId="1D76BE98">
                  <w:pPr>
                    <w:spacing w:before="60" w:beforeLines="25" w:after="60" w:afterLines="25"/>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已验收</w:t>
                  </w:r>
                </w:p>
              </w:tc>
            </w:tr>
            <w:tr w14:paraId="02A2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62D50DBC">
                  <w:pPr>
                    <w:spacing w:before="60" w:beforeLines="25" w:after="60" w:afterLines="25"/>
                    <w:jc w:val="center"/>
                    <w:rPr>
                      <w:rFonts w:hint="default" w:ascii="Times New Roman" w:hAnsi="Times New Roman" w:eastAsia="宋体" w:cs="Times New Roman"/>
                      <w:color w:val="auto"/>
                      <w:szCs w:val="21"/>
                    </w:rPr>
                  </w:pPr>
                </w:p>
              </w:tc>
              <w:tc>
                <w:tcPr>
                  <w:tcW w:w="1219" w:type="dxa"/>
                  <w:vMerge w:val="continue"/>
                  <w:vAlign w:val="center"/>
                </w:tcPr>
                <w:p w14:paraId="7554C65E">
                  <w:pPr>
                    <w:spacing w:before="60" w:beforeLines="25" w:after="60" w:afterLines="25"/>
                    <w:jc w:val="center"/>
                    <w:rPr>
                      <w:rFonts w:hint="default" w:ascii="Times New Roman" w:hAnsi="Times New Roman" w:eastAsia="宋体" w:cs="Times New Roman"/>
                      <w:color w:val="auto"/>
                      <w:szCs w:val="21"/>
                    </w:rPr>
                  </w:pPr>
                </w:p>
              </w:tc>
              <w:tc>
                <w:tcPr>
                  <w:tcW w:w="5132" w:type="dxa"/>
                  <w:vAlign w:val="center"/>
                </w:tcPr>
                <w:p w14:paraId="24AF1681">
                  <w:pPr>
                    <w:spacing w:before="60" w:beforeLines="25" w:after="60" w:afterLines="25"/>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车间清洁废水进入废水收集池，投药处理后排入沉淀池处理，通过废水总排口外排至农灌沟。</w:t>
                  </w:r>
                </w:p>
              </w:tc>
              <w:tc>
                <w:tcPr>
                  <w:tcW w:w="975" w:type="dxa"/>
                  <w:vAlign w:val="center"/>
                </w:tcPr>
                <w:p w14:paraId="7E671D14">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5674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57B11B2E">
                  <w:pPr>
                    <w:spacing w:before="60" w:beforeLines="25" w:after="60" w:afterLines="25"/>
                    <w:jc w:val="center"/>
                    <w:rPr>
                      <w:rFonts w:hint="default" w:ascii="Times New Roman" w:hAnsi="Times New Roman" w:eastAsia="宋体" w:cs="Times New Roman"/>
                      <w:color w:val="auto"/>
                      <w:szCs w:val="21"/>
                    </w:rPr>
                  </w:pPr>
                </w:p>
              </w:tc>
              <w:tc>
                <w:tcPr>
                  <w:tcW w:w="1219" w:type="dxa"/>
                  <w:vMerge w:val="continue"/>
                  <w:vAlign w:val="center"/>
                </w:tcPr>
                <w:p w14:paraId="1EB86843">
                  <w:pPr>
                    <w:spacing w:before="60" w:beforeLines="25" w:after="60" w:afterLines="25"/>
                    <w:jc w:val="center"/>
                    <w:rPr>
                      <w:rFonts w:hint="default" w:ascii="Times New Roman" w:hAnsi="Times New Roman" w:eastAsia="宋体" w:cs="Times New Roman"/>
                      <w:color w:val="auto"/>
                      <w:szCs w:val="21"/>
                    </w:rPr>
                  </w:pPr>
                </w:p>
              </w:tc>
              <w:tc>
                <w:tcPr>
                  <w:tcW w:w="5132" w:type="dxa"/>
                  <w:vAlign w:val="center"/>
                </w:tcPr>
                <w:p w14:paraId="29D2D42C">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水膜除尘废水经沉淀处理后循环使用不外排；设备冷却水循环使用不外排。</w:t>
                  </w:r>
                </w:p>
              </w:tc>
              <w:tc>
                <w:tcPr>
                  <w:tcW w:w="975" w:type="dxa"/>
                  <w:vAlign w:val="center"/>
                </w:tcPr>
                <w:p w14:paraId="78F620E4">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134B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53A8561B">
                  <w:pPr>
                    <w:spacing w:before="60" w:beforeLines="25" w:after="60" w:afterLines="25"/>
                    <w:jc w:val="center"/>
                    <w:rPr>
                      <w:rFonts w:hint="default" w:ascii="Times New Roman" w:hAnsi="Times New Roman" w:eastAsia="宋体" w:cs="Times New Roman"/>
                      <w:color w:val="auto"/>
                      <w:szCs w:val="21"/>
                    </w:rPr>
                  </w:pPr>
                </w:p>
              </w:tc>
              <w:tc>
                <w:tcPr>
                  <w:tcW w:w="1219" w:type="dxa"/>
                  <w:vAlign w:val="center"/>
                </w:tcPr>
                <w:p w14:paraId="7B482E10">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噪声治理工程</w:t>
                  </w:r>
                </w:p>
              </w:tc>
              <w:tc>
                <w:tcPr>
                  <w:tcW w:w="5132" w:type="dxa"/>
                  <w:vAlign w:val="center"/>
                </w:tcPr>
                <w:p w14:paraId="7A8AD662">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采用厂房密封隔声，设备定期保养检修，基础减振，安装消声器，合理安排生产工段，夜间禁止作业等措施。</w:t>
                  </w:r>
                </w:p>
              </w:tc>
              <w:tc>
                <w:tcPr>
                  <w:tcW w:w="975" w:type="dxa"/>
                  <w:vAlign w:val="center"/>
                </w:tcPr>
                <w:p w14:paraId="19802A95">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4124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0895B2F7">
                  <w:pPr>
                    <w:spacing w:before="60" w:beforeLines="25" w:after="60" w:afterLines="25"/>
                    <w:jc w:val="center"/>
                    <w:rPr>
                      <w:rFonts w:hint="default" w:ascii="Times New Roman" w:hAnsi="Times New Roman" w:eastAsia="宋体" w:cs="Times New Roman"/>
                      <w:color w:val="auto"/>
                      <w:szCs w:val="21"/>
                    </w:rPr>
                  </w:pPr>
                </w:p>
              </w:tc>
              <w:tc>
                <w:tcPr>
                  <w:tcW w:w="1219" w:type="dxa"/>
                  <w:vMerge w:val="restart"/>
                  <w:vAlign w:val="center"/>
                </w:tcPr>
                <w:p w14:paraId="19A2F409">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固废处置工程</w:t>
                  </w:r>
                </w:p>
              </w:tc>
              <w:tc>
                <w:tcPr>
                  <w:tcW w:w="5132" w:type="dxa"/>
                  <w:vAlign w:val="center"/>
                </w:tcPr>
                <w:p w14:paraId="21DB7BB9">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生活垃圾定点收集，送垃圾填埋场。</w:t>
                  </w:r>
                </w:p>
              </w:tc>
              <w:tc>
                <w:tcPr>
                  <w:tcW w:w="975" w:type="dxa"/>
                  <w:vAlign w:val="center"/>
                </w:tcPr>
                <w:p w14:paraId="0DF56093">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4A0E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17106988">
                  <w:pPr>
                    <w:spacing w:before="60" w:beforeLines="25" w:after="60" w:afterLines="25"/>
                    <w:jc w:val="center"/>
                    <w:rPr>
                      <w:rFonts w:hint="default" w:ascii="Times New Roman" w:hAnsi="Times New Roman" w:eastAsia="宋体" w:cs="Times New Roman"/>
                      <w:color w:val="auto"/>
                      <w:szCs w:val="21"/>
                    </w:rPr>
                  </w:pPr>
                </w:p>
              </w:tc>
              <w:tc>
                <w:tcPr>
                  <w:tcW w:w="1219" w:type="dxa"/>
                  <w:vMerge w:val="continue"/>
                  <w:vAlign w:val="center"/>
                </w:tcPr>
                <w:p w14:paraId="790F89F8">
                  <w:pPr>
                    <w:spacing w:before="60" w:beforeLines="25" w:after="60" w:afterLines="25"/>
                    <w:jc w:val="center"/>
                    <w:rPr>
                      <w:rFonts w:hint="default" w:ascii="Times New Roman" w:hAnsi="Times New Roman" w:eastAsia="宋体" w:cs="Times New Roman"/>
                      <w:color w:val="auto"/>
                      <w:szCs w:val="21"/>
                    </w:rPr>
                  </w:pPr>
                </w:p>
              </w:tc>
              <w:tc>
                <w:tcPr>
                  <w:tcW w:w="5132" w:type="dxa"/>
                  <w:vAlign w:val="center"/>
                </w:tcPr>
                <w:p w14:paraId="4BD97F03">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炉渣、水膜除尘器中和沉淀产生的污泥送垃圾填埋场。边角废料和不合格产品统一收集，出售给造纸厂。</w:t>
                  </w:r>
                </w:p>
              </w:tc>
              <w:tc>
                <w:tcPr>
                  <w:tcW w:w="975" w:type="dxa"/>
                  <w:vAlign w:val="center"/>
                </w:tcPr>
                <w:p w14:paraId="71EA716D">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r w14:paraId="4FF6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14:paraId="7A9DEB5F">
                  <w:pPr>
                    <w:spacing w:before="60" w:beforeLines="25" w:after="60" w:afterLines="25"/>
                    <w:jc w:val="center"/>
                    <w:rPr>
                      <w:rFonts w:hint="default" w:ascii="Times New Roman" w:hAnsi="Times New Roman" w:eastAsia="宋体" w:cs="Times New Roman"/>
                      <w:color w:val="auto"/>
                      <w:szCs w:val="21"/>
                    </w:rPr>
                  </w:pPr>
                </w:p>
              </w:tc>
              <w:tc>
                <w:tcPr>
                  <w:tcW w:w="1219" w:type="dxa"/>
                  <w:vAlign w:val="center"/>
                </w:tcPr>
                <w:p w14:paraId="205C96FB">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绿化</w:t>
                  </w:r>
                </w:p>
              </w:tc>
              <w:tc>
                <w:tcPr>
                  <w:tcW w:w="5132" w:type="dxa"/>
                  <w:vAlign w:val="center"/>
                </w:tcPr>
                <w:p w14:paraId="5880B432">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厂区绿化、美化。</w:t>
                  </w:r>
                </w:p>
              </w:tc>
              <w:tc>
                <w:tcPr>
                  <w:tcW w:w="975" w:type="dxa"/>
                  <w:vAlign w:val="center"/>
                </w:tcPr>
                <w:p w14:paraId="4FF49EAD">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已验收</w:t>
                  </w:r>
                </w:p>
              </w:tc>
            </w:tr>
          </w:tbl>
          <w:p w14:paraId="36E013BA">
            <w:pPr>
              <w:pStyle w:val="3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原有项目</w:t>
            </w:r>
            <w:r>
              <w:rPr>
                <w:rFonts w:hint="default" w:ascii="Times New Roman" w:hAnsi="Times New Roman" w:eastAsia="宋体" w:cs="Times New Roman"/>
                <w:color w:val="auto"/>
                <w:lang w:val="en-US" w:eastAsia="zh-CN"/>
              </w:rPr>
              <w:t>产品方案</w:t>
            </w:r>
          </w:p>
          <w:p w14:paraId="4981CD64">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根据原有项目环评和验收资料，</w:t>
            </w:r>
            <w:r>
              <w:rPr>
                <w:rFonts w:hint="default" w:ascii="Times New Roman" w:hAnsi="Times New Roman" w:eastAsia="宋体" w:cs="Times New Roman"/>
                <w:color w:val="auto"/>
              </w:rPr>
              <w:t>原有项目</w:t>
            </w:r>
            <w:r>
              <w:rPr>
                <w:rFonts w:hint="default" w:ascii="Times New Roman" w:hAnsi="Times New Roman" w:eastAsia="宋体" w:cs="Times New Roman"/>
                <w:color w:val="auto"/>
                <w:lang w:val="en-US" w:eastAsia="zh-CN"/>
              </w:rPr>
              <w:t>设计生产能力为：七层瓦楞纸板纸箱1620万m³/年；实际生产能力为七层瓦楞纸板纸箱1360万m³/年。</w:t>
            </w:r>
          </w:p>
          <w:p w14:paraId="01379DC4">
            <w:pPr>
              <w:widowControl w:val="0"/>
              <w:bidi w:val="0"/>
              <w:spacing w:line="360" w:lineRule="auto"/>
              <w:ind w:firstLine="0" w:firstLineChars="0"/>
              <w:jc w:val="left"/>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原有项目主要生产设备</w:t>
            </w:r>
          </w:p>
          <w:p w14:paraId="7A227211">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原有项目主要生产七层瓦楞纸板纸箱，根据原有项目环评和验收资料，主要生产设备见下表。</w:t>
            </w:r>
          </w:p>
          <w:p w14:paraId="554411FB">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表2-15-4  原有项目主要生产设备一览表</w:t>
            </w:r>
          </w:p>
          <w:tbl>
            <w:tblPr>
              <w:tblStyle w:val="26"/>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272"/>
              <w:gridCol w:w="2650"/>
              <w:gridCol w:w="1442"/>
              <w:gridCol w:w="989"/>
            </w:tblGrid>
            <w:tr w14:paraId="2D15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1" w:type="dxa"/>
                  <w:vAlign w:val="center"/>
                </w:tcPr>
                <w:p w14:paraId="63E332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序号</w:t>
                  </w:r>
                </w:p>
              </w:tc>
              <w:tc>
                <w:tcPr>
                  <w:tcW w:w="2272" w:type="dxa"/>
                  <w:vAlign w:val="center"/>
                </w:tcPr>
                <w:p w14:paraId="520E6D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设备名称</w:t>
                  </w:r>
                </w:p>
              </w:tc>
              <w:tc>
                <w:tcPr>
                  <w:tcW w:w="2650" w:type="dxa"/>
                  <w:vAlign w:val="center"/>
                </w:tcPr>
                <w:p w14:paraId="00C4DB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规格型号</w:t>
                  </w:r>
                </w:p>
              </w:tc>
              <w:tc>
                <w:tcPr>
                  <w:tcW w:w="1442" w:type="dxa"/>
                  <w:vAlign w:val="center"/>
                </w:tcPr>
                <w:p w14:paraId="19C7C6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数量（台、套）</w:t>
                  </w:r>
                </w:p>
              </w:tc>
              <w:tc>
                <w:tcPr>
                  <w:tcW w:w="989" w:type="dxa"/>
                  <w:vAlign w:val="center"/>
                </w:tcPr>
                <w:p w14:paraId="05C73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备注</w:t>
                  </w:r>
                </w:p>
              </w:tc>
            </w:tr>
            <w:tr w14:paraId="5859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91" w:type="dxa"/>
                  <w:vAlign w:val="center"/>
                </w:tcPr>
                <w:p w14:paraId="33DB10B5">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272" w:type="dxa"/>
                  <w:vAlign w:val="center"/>
                </w:tcPr>
                <w:p w14:paraId="432F5BF5">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液压无轴纸架</w:t>
                  </w:r>
                </w:p>
              </w:tc>
              <w:tc>
                <w:tcPr>
                  <w:tcW w:w="2650" w:type="dxa"/>
                  <w:vAlign w:val="center"/>
                </w:tcPr>
                <w:p w14:paraId="689EC648">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YWZJ型</w:t>
                  </w:r>
                </w:p>
              </w:tc>
              <w:tc>
                <w:tcPr>
                  <w:tcW w:w="1442" w:type="dxa"/>
                  <w:vAlign w:val="center"/>
                </w:tcPr>
                <w:p w14:paraId="1D5AF1D0">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989" w:type="dxa"/>
                  <w:vMerge w:val="restart"/>
                  <w:vAlign w:val="center"/>
                </w:tcPr>
                <w:p w14:paraId="4F1D708A">
                  <w:pPr>
                    <w:pStyle w:val="32"/>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本次改建后拆除，作为废弃资源外售</w:t>
                  </w:r>
                </w:p>
              </w:tc>
            </w:tr>
            <w:tr w14:paraId="2FA5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91" w:type="dxa"/>
                  <w:vAlign w:val="center"/>
                </w:tcPr>
                <w:p w14:paraId="5C018AA3">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2272" w:type="dxa"/>
                  <w:vAlign w:val="center"/>
                </w:tcPr>
                <w:p w14:paraId="25F81341">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单面瓦楞机</w:t>
                  </w:r>
                </w:p>
              </w:tc>
              <w:tc>
                <w:tcPr>
                  <w:tcW w:w="2650" w:type="dxa"/>
                  <w:vAlign w:val="center"/>
                </w:tcPr>
                <w:p w14:paraId="04337F14">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DW-B型</w:t>
                  </w:r>
                </w:p>
              </w:tc>
              <w:tc>
                <w:tcPr>
                  <w:tcW w:w="1442" w:type="dxa"/>
                  <w:vAlign w:val="center"/>
                </w:tcPr>
                <w:p w14:paraId="6DA96F65">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989" w:type="dxa"/>
                  <w:vMerge w:val="continue"/>
                  <w:vAlign w:val="center"/>
                </w:tcPr>
                <w:p w14:paraId="648B0A3E">
                  <w:pPr>
                    <w:pStyle w:val="32"/>
                    <w:bidi w:val="0"/>
                    <w:ind w:firstLine="0" w:firstLineChars="0"/>
                    <w:jc w:val="center"/>
                    <w:rPr>
                      <w:rFonts w:hint="default" w:ascii="Times New Roman" w:hAnsi="Times New Roman" w:eastAsia="宋体" w:cs="Times New Roman"/>
                      <w:color w:val="auto"/>
                      <w:lang w:eastAsia="zh-CN"/>
                    </w:rPr>
                  </w:pPr>
                </w:p>
              </w:tc>
            </w:tr>
            <w:tr w14:paraId="1CB6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08CD577A">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2272" w:type="dxa"/>
                  <w:vAlign w:val="center"/>
                </w:tcPr>
                <w:p w14:paraId="4192F341">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面纸预热器</w:t>
                  </w:r>
                </w:p>
              </w:tc>
              <w:tc>
                <w:tcPr>
                  <w:tcW w:w="2650" w:type="dxa"/>
                  <w:vAlign w:val="center"/>
                </w:tcPr>
                <w:p w14:paraId="20CEB374">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XYR1000型</w:t>
                  </w:r>
                </w:p>
              </w:tc>
              <w:tc>
                <w:tcPr>
                  <w:tcW w:w="1442" w:type="dxa"/>
                  <w:vAlign w:val="center"/>
                </w:tcPr>
                <w:p w14:paraId="6CA901E9">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989" w:type="dxa"/>
                  <w:vMerge w:val="continue"/>
                  <w:vAlign w:val="center"/>
                </w:tcPr>
                <w:p w14:paraId="5F75B407">
                  <w:pPr>
                    <w:pStyle w:val="32"/>
                    <w:bidi w:val="0"/>
                    <w:ind w:firstLine="0" w:firstLineChars="0"/>
                    <w:jc w:val="center"/>
                    <w:rPr>
                      <w:rFonts w:hint="default" w:ascii="Times New Roman" w:hAnsi="Times New Roman" w:eastAsia="宋体" w:cs="Times New Roman"/>
                      <w:color w:val="auto"/>
                      <w:lang w:eastAsia="zh-CN"/>
                    </w:rPr>
                  </w:pPr>
                </w:p>
              </w:tc>
            </w:tr>
            <w:tr w14:paraId="5701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25B99878">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2272" w:type="dxa"/>
                  <w:vAlign w:val="center"/>
                </w:tcPr>
                <w:p w14:paraId="24C242DD">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旋转式预热器</w:t>
                  </w:r>
                </w:p>
              </w:tc>
              <w:tc>
                <w:tcPr>
                  <w:tcW w:w="2650" w:type="dxa"/>
                  <w:vAlign w:val="center"/>
                </w:tcPr>
                <w:p w14:paraId="24724F8E">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XYT1000型</w:t>
                  </w:r>
                </w:p>
              </w:tc>
              <w:tc>
                <w:tcPr>
                  <w:tcW w:w="1442" w:type="dxa"/>
                  <w:vAlign w:val="center"/>
                </w:tcPr>
                <w:p w14:paraId="10E6CBBB">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13997738">
                  <w:pPr>
                    <w:pStyle w:val="32"/>
                    <w:bidi w:val="0"/>
                    <w:ind w:firstLine="0" w:firstLineChars="0"/>
                    <w:jc w:val="center"/>
                    <w:rPr>
                      <w:rFonts w:hint="default" w:ascii="Times New Roman" w:hAnsi="Times New Roman" w:eastAsia="宋体" w:cs="Times New Roman"/>
                      <w:color w:val="auto"/>
                      <w:lang w:eastAsia="zh-CN"/>
                    </w:rPr>
                  </w:pPr>
                </w:p>
              </w:tc>
            </w:tr>
            <w:tr w14:paraId="3A74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6D8A8E06">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2272" w:type="dxa"/>
                  <w:vAlign w:val="center"/>
                </w:tcPr>
                <w:p w14:paraId="68F2250E">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输送天桥</w:t>
                  </w:r>
                </w:p>
              </w:tc>
              <w:tc>
                <w:tcPr>
                  <w:tcW w:w="2650" w:type="dxa"/>
                  <w:vAlign w:val="center"/>
                </w:tcPr>
                <w:p w14:paraId="6B517306">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GQ-ⅢC 型</w:t>
                  </w:r>
                </w:p>
              </w:tc>
              <w:tc>
                <w:tcPr>
                  <w:tcW w:w="1442" w:type="dxa"/>
                  <w:vAlign w:val="center"/>
                </w:tcPr>
                <w:p w14:paraId="2C1733F4">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6D6938D3">
                  <w:pPr>
                    <w:pStyle w:val="32"/>
                    <w:bidi w:val="0"/>
                    <w:ind w:firstLine="0" w:firstLineChars="0"/>
                    <w:jc w:val="center"/>
                    <w:rPr>
                      <w:rFonts w:hint="default" w:ascii="Times New Roman" w:hAnsi="Times New Roman" w:eastAsia="宋体" w:cs="Times New Roman"/>
                      <w:color w:val="auto"/>
                      <w:lang w:eastAsia="zh-CN"/>
                    </w:rPr>
                  </w:pPr>
                </w:p>
              </w:tc>
            </w:tr>
            <w:tr w14:paraId="74D4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54E8A0DE">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2272" w:type="dxa"/>
                  <w:vAlign w:val="center"/>
                </w:tcPr>
                <w:p w14:paraId="6AEA43C3">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三面上胶机</w:t>
                  </w:r>
                </w:p>
              </w:tc>
              <w:tc>
                <w:tcPr>
                  <w:tcW w:w="2650" w:type="dxa"/>
                  <w:vAlign w:val="center"/>
                </w:tcPr>
                <w:p w14:paraId="73C3A37B">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SJ-DB型</w:t>
                  </w:r>
                </w:p>
              </w:tc>
              <w:tc>
                <w:tcPr>
                  <w:tcW w:w="1442" w:type="dxa"/>
                  <w:vAlign w:val="center"/>
                </w:tcPr>
                <w:p w14:paraId="50C80D86">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5440006B">
                  <w:pPr>
                    <w:pStyle w:val="32"/>
                    <w:bidi w:val="0"/>
                    <w:ind w:firstLine="0" w:firstLineChars="0"/>
                    <w:jc w:val="center"/>
                    <w:rPr>
                      <w:rFonts w:hint="default" w:ascii="Times New Roman" w:hAnsi="Times New Roman" w:eastAsia="宋体" w:cs="Times New Roman"/>
                      <w:color w:val="auto"/>
                      <w:lang w:eastAsia="zh-CN"/>
                    </w:rPr>
                  </w:pPr>
                </w:p>
              </w:tc>
            </w:tr>
            <w:tr w14:paraId="7729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7DDEC83B">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2272" w:type="dxa"/>
                  <w:vAlign w:val="center"/>
                </w:tcPr>
                <w:p w14:paraId="42C8773E">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四重预热机</w:t>
                  </w:r>
                </w:p>
              </w:tc>
              <w:tc>
                <w:tcPr>
                  <w:tcW w:w="2650" w:type="dxa"/>
                  <w:vAlign w:val="center"/>
                </w:tcPr>
                <w:p w14:paraId="49890019">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预热轮直径1000mm</w:t>
                  </w:r>
                </w:p>
              </w:tc>
              <w:tc>
                <w:tcPr>
                  <w:tcW w:w="1442" w:type="dxa"/>
                  <w:vAlign w:val="center"/>
                </w:tcPr>
                <w:p w14:paraId="7C85F4BC">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032E404B">
                  <w:pPr>
                    <w:pStyle w:val="32"/>
                    <w:bidi w:val="0"/>
                    <w:ind w:firstLine="0" w:firstLineChars="0"/>
                    <w:jc w:val="center"/>
                    <w:rPr>
                      <w:rFonts w:hint="default" w:ascii="Times New Roman" w:hAnsi="Times New Roman" w:eastAsia="宋体" w:cs="Times New Roman"/>
                      <w:color w:val="auto"/>
                      <w:lang w:eastAsia="zh-CN"/>
                    </w:rPr>
                  </w:pPr>
                </w:p>
              </w:tc>
            </w:tr>
            <w:tr w14:paraId="6515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6B32C9C4">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2272" w:type="dxa"/>
                  <w:vAlign w:val="center"/>
                </w:tcPr>
                <w:p w14:paraId="72F70378">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粘合烘干机</w:t>
                  </w:r>
                </w:p>
              </w:tc>
              <w:tc>
                <w:tcPr>
                  <w:tcW w:w="2650" w:type="dxa"/>
                  <w:vAlign w:val="center"/>
                </w:tcPr>
                <w:p w14:paraId="172686E2">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ZH-C 型</w:t>
                  </w:r>
                </w:p>
              </w:tc>
              <w:tc>
                <w:tcPr>
                  <w:tcW w:w="1442" w:type="dxa"/>
                  <w:vAlign w:val="center"/>
                </w:tcPr>
                <w:p w14:paraId="536186DB">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6B37ACFC">
                  <w:pPr>
                    <w:pStyle w:val="32"/>
                    <w:bidi w:val="0"/>
                    <w:ind w:firstLine="0" w:firstLineChars="0"/>
                    <w:jc w:val="center"/>
                    <w:rPr>
                      <w:rFonts w:hint="default" w:ascii="Times New Roman" w:hAnsi="Times New Roman" w:eastAsia="宋体" w:cs="Times New Roman"/>
                      <w:color w:val="auto"/>
                      <w:lang w:eastAsia="zh-CN"/>
                    </w:rPr>
                  </w:pPr>
                </w:p>
              </w:tc>
            </w:tr>
            <w:tr w14:paraId="2661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35F3B28C">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9</w:t>
                  </w:r>
                </w:p>
              </w:tc>
              <w:tc>
                <w:tcPr>
                  <w:tcW w:w="2272" w:type="dxa"/>
                  <w:vAlign w:val="center"/>
                </w:tcPr>
                <w:p w14:paraId="041D4CFC">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棉织压机</w:t>
                  </w:r>
                </w:p>
              </w:tc>
              <w:tc>
                <w:tcPr>
                  <w:tcW w:w="2650" w:type="dxa"/>
                  <w:vAlign w:val="center"/>
                </w:tcPr>
                <w:p w14:paraId="70B52411">
                  <w:pPr>
                    <w:pStyle w:val="32"/>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442" w:type="dxa"/>
                  <w:vAlign w:val="center"/>
                </w:tcPr>
                <w:p w14:paraId="496F8E37">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6539576D">
                  <w:pPr>
                    <w:pStyle w:val="32"/>
                    <w:bidi w:val="0"/>
                    <w:ind w:firstLine="0" w:firstLineChars="0"/>
                    <w:jc w:val="center"/>
                    <w:rPr>
                      <w:rFonts w:hint="default" w:ascii="Times New Roman" w:hAnsi="Times New Roman" w:eastAsia="宋体" w:cs="Times New Roman"/>
                      <w:color w:val="auto"/>
                      <w:lang w:val="en-US" w:eastAsia="zh-CN"/>
                    </w:rPr>
                  </w:pPr>
                </w:p>
              </w:tc>
            </w:tr>
            <w:tr w14:paraId="6BEA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7EFA7175">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10</w:t>
                  </w:r>
                </w:p>
              </w:tc>
              <w:tc>
                <w:tcPr>
                  <w:tcW w:w="2272" w:type="dxa"/>
                  <w:shd w:val="clear" w:color="auto" w:fill="auto"/>
                  <w:vAlign w:val="center"/>
                </w:tcPr>
                <w:p w14:paraId="270324B0">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电脑薄刀分压机</w:t>
                  </w:r>
                </w:p>
              </w:tc>
              <w:tc>
                <w:tcPr>
                  <w:tcW w:w="2650" w:type="dxa"/>
                  <w:shd w:val="clear" w:color="auto" w:fill="auto"/>
                  <w:vAlign w:val="center"/>
                </w:tcPr>
                <w:p w14:paraId="52F3238F">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ZFY 型</w:t>
                  </w:r>
                </w:p>
              </w:tc>
              <w:tc>
                <w:tcPr>
                  <w:tcW w:w="1442" w:type="dxa"/>
                  <w:shd w:val="clear" w:color="auto" w:fill="auto"/>
                  <w:vAlign w:val="center"/>
                </w:tcPr>
                <w:p w14:paraId="5506208B">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687C2A1C">
                  <w:pPr>
                    <w:pStyle w:val="32"/>
                    <w:bidi w:val="0"/>
                    <w:ind w:firstLine="0" w:firstLineChars="0"/>
                    <w:jc w:val="center"/>
                    <w:rPr>
                      <w:rFonts w:hint="default" w:ascii="Times New Roman" w:hAnsi="Times New Roman" w:eastAsia="宋体" w:cs="Times New Roman"/>
                      <w:color w:val="auto"/>
                      <w:lang w:val="en-US" w:eastAsia="zh-CN"/>
                    </w:rPr>
                  </w:pPr>
                </w:p>
              </w:tc>
            </w:tr>
            <w:tr w14:paraId="7EA6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271DE9F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11</w:t>
                  </w:r>
                </w:p>
              </w:tc>
              <w:tc>
                <w:tcPr>
                  <w:tcW w:w="2272" w:type="dxa"/>
                  <w:shd w:val="clear" w:color="auto" w:fill="auto"/>
                  <w:vAlign w:val="center"/>
                </w:tcPr>
                <w:p w14:paraId="422C444F">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横切机</w:t>
                  </w:r>
                </w:p>
              </w:tc>
              <w:tc>
                <w:tcPr>
                  <w:tcW w:w="2650" w:type="dxa"/>
                  <w:shd w:val="clear" w:color="auto" w:fill="auto"/>
                  <w:vAlign w:val="center"/>
                </w:tcPr>
                <w:p w14:paraId="45DF6A72">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HQL 型</w:t>
                  </w:r>
                </w:p>
              </w:tc>
              <w:tc>
                <w:tcPr>
                  <w:tcW w:w="1442" w:type="dxa"/>
                  <w:shd w:val="clear" w:color="auto" w:fill="auto"/>
                  <w:vAlign w:val="center"/>
                </w:tcPr>
                <w:p w14:paraId="2E5700C9">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4605EED0">
                  <w:pPr>
                    <w:pStyle w:val="32"/>
                    <w:bidi w:val="0"/>
                    <w:ind w:firstLine="0" w:firstLineChars="0"/>
                    <w:jc w:val="center"/>
                    <w:rPr>
                      <w:rFonts w:hint="default" w:ascii="Times New Roman" w:hAnsi="Times New Roman" w:eastAsia="宋体" w:cs="Times New Roman"/>
                      <w:color w:val="auto"/>
                      <w:lang w:val="en-US" w:eastAsia="zh-CN"/>
                    </w:rPr>
                  </w:pPr>
                </w:p>
              </w:tc>
            </w:tr>
            <w:tr w14:paraId="473D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44EDDEAF">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12</w:t>
                  </w:r>
                </w:p>
              </w:tc>
              <w:tc>
                <w:tcPr>
                  <w:tcW w:w="2272" w:type="dxa"/>
                  <w:shd w:val="clear" w:color="auto" w:fill="auto"/>
                  <w:vAlign w:val="center"/>
                </w:tcPr>
                <w:p w14:paraId="01BFE1E4">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简易堆积机</w:t>
                  </w:r>
                </w:p>
              </w:tc>
              <w:tc>
                <w:tcPr>
                  <w:tcW w:w="2650" w:type="dxa"/>
                  <w:shd w:val="clear" w:color="auto" w:fill="auto"/>
                  <w:vAlign w:val="center"/>
                </w:tcPr>
                <w:p w14:paraId="5EA3B62B">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JDJ-B 型</w:t>
                  </w:r>
                </w:p>
              </w:tc>
              <w:tc>
                <w:tcPr>
                  <w:tcW w:w="1442" w:type="dxa"/>
                  <w:shd w:val="clear" w:color="auto" w:fill="auto"/>
                  <w:vAlign w:val="center"/>
                </w:tcPr>
                <w:p w14:paraId="6FD18B11">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7646ECC9">
                  <w:pPr>
                    <w:pStyle w:val="32"/>
                    <w:bidi w:val="0"/>
                    <w:ind w:firstLine="0" w:firstLineChars="0"/>
                    <w:jc w:val="center"/>
                    <w:rPr>
                      <w:rFonts w:hint="default" w:ascii="Times New Roman" w:hAnsi="Times New Roman" w:eastAsia="宋体" w:cs="Times New Roman"/>
                      <w:color w:val="auto"/>
                      <w:lang w:val="en-US" w:eastAsia="zh-CN"/>
                    </w:rPr>
                  </w:pPr>
                </w:p>
              </w:tc>
            </w:tr>
            <w:tr w14:paraId="40BB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180E334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13</w:t>
                  </w:r>
                </w:p>
              </w:tc>
              <w:tc>
                <w:tcPr>
                  <w:tcW w:w="2272" w:type="dxa"/>
                  <w:shd w:val="clear" w:color="auto" w:fill="auto"/>
                  <w:vAlign w:val="center"/>
                </w:tcPr>
                <w:p w14:paraId="21FC7F2C">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瓦线内蒸汽系统</w:t>
                  </w:r>
                </w:p>
              </w:tc>
              <w:tc>
                <w:tcPr>
                  <w:tcW w:w="2650" w:type="dxa"/>
                  <w:shd w:val="clear" w:color="auto" w:fill="auto"/>
                  <w:vAlign w:val="center"/>
                </w:tcPr>
                <w:p w14:paraId="65421184">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442" w:type="dxa"/>
                  <w:shd w:val="clear" w:color="auto" w:fill="auto"/>
                  <w:vAlign w:val="center"/>
                </w:tcPr>
                <w:p w14:paraId="51A26E10">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058A21BE">
                  <w:pPr>
                    <w:pStyle w:val="32"/>
                    <w:bidi w:val="0"/>
                    <w:ind w:firstLine="0" w:firstLineChars="0"/>
                    <w:jc w:val="center"/>
                    <w:rPr>
                      <w:rFonts w:hint="default" w:ascii="Times New Roman" w:hAnsi="Times New Roman" w:eastAsia="宋体" w:cs="Times New Roman"/>
                      <w:color w:val="auto"/>
                      <w:lang w:val="en-US" w:eastAsia="zh-CN"/>
                    </w:rPr>
                  </w:pPr>
                </w:p>
              </w:tc>
            </w:tr>
            <w:tr w14:paraId="7241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4A268B3F">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14</w:t>
                  </w:r>
                </w:p>
              </w:tc>
              <w:tc>
                <w:tcPr>
                  <w:tcW w:w="2272" w:type="dxa"/>
                  <w:shd w:val="clear" w:color="auto" w:fill="auto"/>
                  <w:vAlign w:val="center"/>
                </w:tcPr>
                <w:p w14:paraId="25CDD0E0">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空压机</w:t>
                  </w:r>
                </w:p>
              </w:tc>
              <w:tc>
                <w:tcPr>
                  <w:tcW w:w="2650" w:type="dxa"/>
                  <w:shd w:val="clear" w:color="auto" w:fill="auto"/>
                  <w:vAlign w:val="center"/>
                </w:tcPr>
                <w:p w14:paraId="524AB6ED">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0.9m³/min</w:t>
                  </w:r>
                </w:p>
              </w:tc>
              <w:tc>
                <w:tcPr>
                  <w:tcW w:w="1442" w:type="dxa"/>
                  <w:shd w:val="clear" w:color="auto" w:fill="auto"/>
                  <w:vAlign w:val="center"/>
                </w:tcPr>
                <w:p w14:paraId="0A4B77F7">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3</w:t>
                  </w:r>
                </w:p>
              </w:tc>
              <w:tc>
                <w:tcPr>
                  <w:tcW w:w="989" w:type="dxa"/>
                  <w:vMerge w:val="continue"/>
                  <w:vAlign w:val="center"/>
                </w:tcPr>
                <w:p w14:paraId="3D3789A9">
                  <w:pPr>
                    <w:pStyle w:val="32"/>
                    <w:bidi w:val="0"/>
                    <w:ind w:firstLine="0" w:firstLineChars="0"/>
                    <w:jc w:val="center"/>
                    <w:rPr>
                      <w:rFonts w:hint="default" w:ascii="Times New Roman" w:hAnsi="Times New Roman" w:eastAsia="宋体" w:cs="Times New Roman"/>
                      <w:color w:val="auto"/>
                      <w:lang w:val="en-US" w:eastAsia="zh-CN"/>
                    </w:rPr>
                  </w:pPr>
                </w:p>
              </w:tc>
            </w:tr>
            <w:tr w14:paraId="6F17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shd w:val="clear" w:color="auto" w:fill="auto"/>
                  <w:vAlign w:val="center"/>
                </w:tcPr>
                <w:p w14:paraId="369434F5">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15</w:t>
                  </w:r>
                </w:p>
              </w:tc>
              <w:tc>
                <w:tcPr>
                  <w:tcW w:w="2272" w:type="dxa"/>
                  <w:shd w:val="clear" w:color="auto" w:fill="auto"/>
                  <w:vAlign w:val="center"/>
                </w:tcPr>
                <w:p w14:paraId="4298370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制胶系统</w:t>
                  </w:r>
                </w:p>
              </w:tc>
              <w:tc>
                <w:tcPr>
                  <w:tcW w:w="2650" w:type="dxa"/>
                  <w:shd w:val="clear" w:color="auto" w:fill="auto"/>
                  <w:vAlign w:val="center"/>
                </w:tcPr>
                <w:p w14:paraId="0B03CF8D">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442" w:type="dxa"/>
                  <w:shd w:val="clear" w:color="auto" w:fill="auto"/>
                  <w:vAlign w:val="center"/>
                </w:tcPr>
                <w:p w14:paraId="068B767A">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48A485B1">
                  <w:pPr>
                    <w:pStyle w:val="32"/>
                    <w:bidi w:val="0"/>
                    <w:ind w:firstLine="0" w:firstLineChars="0"/>
                    <w:jc w:val="center"/>
                    <w:rPr>
                      <w:rFonts w:hint="default" w:ascii="Times New Roman" w:hAnsi="Times New Roman" w:eastAsia="宋体" w:cs="Times New Roman"/>
                      <w:color w:val="auto"/>
                      <w:lang w:val="en-US" w:eastAsia="zh-CN"/>
                    </w:rPr>
                  </w:pPr>
                </w:p>
              </w:tc>
            </w:tr>
            <w:tr w14:paraId="6A5D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7285ED60">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w:t>
                  </w:r>
                </w:p>
              </w:tc>
              <w:tc>
                <w:tcPr>
                  <w:tcW w:w="2272" w:type="dxa"/>
                  <w:shd w:val="clear" w:color="auto" w:fill="auto"/>
                  <w:vAlign w:val="center"/>
                </w:tcPr>
                <w:p w14:paraId="7C2642CA">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6t/h蒸汽锅炉</w:t>
                  </w:r>
                </w:p>
              </w:tc>
              <w:tc>
                <w:tcPr>
                  <w:tcW w:w="2650" w:type="dxa"/>
                  <w:shd w:val="clear" w:color="auto" w:fill="auto"/>
                  <w:vAlign w:val="center"/>
                </w:tcPr>
                <w:p w14:paraId="27328204">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eastAsia="zh-CN"/>
                    </w:rPr>
                    <w:t>DZL6-1.25-ALL(WⅡ)</w:t>
                  </w:r>
                </w:p>
              </w:tc>
              <w:tc>
                <w:tcPr>
                  <w:tcW w:w="1442" w:type="dxa"/>
                  <w:shd w:val="clear" w:color="auto" w:fill="auto"/>
                  <w:vAlign w:val="center"/>
                </w:tcPr>
                <w:p w14:paraId="13045020">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494992AF">
                  <w:pPr>
                    <w:pStyle w:val="32"/>
                    <w:bidi w:val="0"/>
                    <w:ind w:firstLine="0" w:firstLineChars="0"/>
                    <w:jc w:val="center"/>
                    <w:rPr>
                      <w:rFonts w:hint="default" w:ascii="Times New Roman" w:hAnsi="Times New Roman" w:eastAsia="宋体" w:cs="Times New Roman"/>
                      <w:color w:val="auto"/>
                      <w:lang w:val="en-US" w:eastAsia="zh-CN"/>
                    </w:rPr>
                  </w:pPr>
                </w:p>
              </w:tc>
            </w:tr>
            <w:tr w14:paraId="1838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91" w:type="dxa"/>
                  <w:vAlign w:val="center"/>
                </w:tcPr>
                <w:p w14:paraId="2AAE398F">
                  <w:pPr>
                    <w:pStyle w:val="3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2272" w:type="dxa"/>
                  <w:shd w:val="clear" w:color="auto" w:fill="auto"/>
                  <w:vAlign w:val="center"/>
                </w:tcPr>
                <w:p w14:paraId="58A2DA1B">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水膜除尘器</w:t>
                  </w:r>
                </w:p>
              </w:tc>
              <w:tc>
                <w:tcPr>
                  <w:tcW w:w="2650" w:type="dxa"/>
                  <w:shd w:val="clear" w:color="auto" w:fill="auto"/>
                  <w:vAlign w:val="center"/>
                </w:tcPr>
                <w:p w14:paraId="2C048CB4">
                  <w:pPr>
                    <w:pStyle w:val="32"/>
                    <w:bidi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w:t>
                  </w:r>
                </w:p>
              </w:tc>
              <w:tc>
                <w:tcPr>
                  <w:tcW w:w="1442" w:type="dxa"/>
                  <w:shd w:val="clear" w:color="auto" w:fill="auto"/>
                  <w:vAlign w:val="center"/>
                </w:tcPr>
                <w:p w14:paraId="2EDB8517">
                  <w:pPr>
                    <w:pStyle w:val="32"/>
                    <w:keepNext w:val="0"/>
                    <w:keepLines w:val="0"/>
                    <w:pageBreakBefore w:val="0"/>
                    <w:widowControl w:val="0"/>
                    <w:kinsoku/>
                    <w:wordWrap/>
                    <w:overflowPunct/>
                    <w:topLinePunct w:val="0"/>
                    <w:autoSpaceDE/>
                    <w:autoSpaceDN/>
                    <w:bidi w:val="0"/>
                    <w:adjustRightInd/>
                    <w:snapToGrid/>
                    <w:spacing w:before="0" w:beforeLines="0" w:after="0" w:afterLines="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89" w:type="dxa"/>
                  <w:vMerge w:val="continue"/>
                  <w:vAlign w:val="center"/>
                </w:tcPr>
                <w:p w14:paraId="019DF691">
                  <w:pPr>
                    <w:pStyle w:val="32"/>
                    <w:bidi w:val="0"/>
                    <w:ind w:firstLine="0" w:firstLineChars="0"/>
                    <w:jc w:val="center"/>
                    <w:rPr>
                      <w:rFonts w:hint="default" w:ascii="Times New Roman" w:hAnsi="Times New Roman" w:eastAsia="宋体" w:cs="Times New Roman"/>
                      <w:color w:val="auto"/>
                      <w:lang w:val="en-US" w:eastAsia="zh-CN"/>
                    </w:rPr>
                  </w:pPr>
                </w:p>
              </w:tc>
            </w:tr>
          </w:tbl>
          <w:p w14:paraId="116EEA41">
            <w:pPr>
              <w:widowControl w:val="0"/>
              <w:bidi w:val="0"/>
              <w:spacing w:line="360" w:lineRule="auto"/>
              <w:ind w:firstLine="0" w:firstLineChars="0"/>
              <w:jc w:val="left"/>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原有项目主要原辅料及能源</w:t>
            </w:r>
          </w:p>
          <w:p w14:paraId="19FA510B">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根据原有项目环评和验收资料，年耗各种纸张3066.6t/a。粘合剂(淀粉)消耗量为77.6t/a，煤耗量为4600t/a，电耗约18000kwh。</w:t>
            </w:r>
          </w:p>
          <w:p w14:paraId="052538C7">
            <w:pPr>
              <w:widowControl w:val="0"/>
              <w:bidi w:val="0"/>
              <w:spacing w:line="360" w:lineRule="auto"/>
              <w:ind w:firstLine="0" w:firstLineChars="0"/>
              <w:jc w:val="left"/>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原有项目劳动定员及工作制度</w:t>
            </w:r>
          </w:p>
          <w:p w14:paraId="13C7E621">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原有项目劳动定员35人，年工作300天，一天两班，每天16h。</w:t>
            </w:r>
          </w:p>
          <w:p w14:paraId="743C7A89">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    原有项目废气排放情况</w:t>
            </w:r>
          </w:p>
          <w:p w14:paraId="462AFECA">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原有项目生产过程中废气主要为锅炉燃烧产生的烟尘、二氧化硫、氮氧化物，以及印刷车间挥发的少量有机溶剂。</w:t>
            </w:r>
          </w:p>
          <w:p w14:paraId="511954FA">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锅炉废气经水膜除尘器处理后由35米高的烟囱排入大气。</w:t>
            </w:r>
          </w:p>
          <w:p w14:paraId="38E0B19C">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（1）锅炉烟气</w:t>
            </w:r>
          </w:p>
          <w:p w14:paraId="67A9D445">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云南兴恒包装有限公司原有项目2018年6月完成6t/h的燃煤锅炉改造为6t/h生物质锅炉，2018年12月25日委托玉溪市生态环境局红塔分局生态环境监测站（原玉溪市红塔区环境监测站）进行验收，并且取得了验收评价，6t/h生物质锅炉废气排放满足</w:t>
            </w:r>
            <w:r>
              <w:rPr>
                <w:rFonts w:hint="default" w:ascii="Times New Roman" w:hAnsi="Times New Roman" w:eastAsia="宋体" w:cs="Times New Roman"/>
                <w:color w:val="auto"/>
                <w:sz w:val="21"/>
                <w:szCs w:val="21"/>
              </w:rPr>
              <w:t>《锅炉大气污染物排放标准》（GB13271-2014）表</w:t>
            </w:r>
            <w:r>
              <w:rPr>
                <w:rFonts w:hint="default" w:ascii="Times New Roman" w:hAnsi="Times New Roman" w:eastAsia="宋体" w:cs="Times New Roman"/>
                <w:color w:val="auto"/>
                <w:sz w:val="21"/>
                <w:szCs w:val="21"/>
                <w:lang w:val="en-US" w:eastAsia="zh-CN"/>
              </w:rPr>
              <w:t>1标准，见附件13。排放浓度如下：</w:t>
            </w:r>
          </w:p>
          <w:p w14:paraId="4BA121EA">
            <w:pPr>
              <w:widowControl w:val="0"/>
              <w:bidi w:val="0"/>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表2-15-5  原有项目锅炉废气排放情况</w:t>
            </w:r>
          </w:p>
          <w:tbl>
            <w:tblPr>
              <w:tblStyle w:val="26"/>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485"/>
              <w:gridCol w:w="1806"/>
              <w:gridCol w:w="2243"/>
              <w:gridCol w:w="1360"/>
            </w:tblGrid>
            <w:tr w14:paraId="5C1F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Align w:val="center"/>
                </w:tcPr>
                <w:p w14:paraId="72E6B9A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生产单元</w:t>
                  </w:r>
                </w:p>
              </w:tc>
              <w:tc>
                <w:tcPr>
                  <w:tcW w:w="1485" w:type="dxa"/>
                  <w:vAlign w:val="center"/>
                </w:tcPr>
                <w:p w14:paraId="691FBD2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污染物项目</w:t>
                  </w:r>
                </w:p>
              </w:tc>
              <w:tc>
                <w:tcPr>
                  <w:tcW w:w="1806" w:type="dxa"/>
                  <w:vAlign w:val="center"/>
                </w:tcPr>
                <w:p w14:paraId="4898FC7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限值（mg/m³）</w:t>
                  </w:r>
                </w:p>
              </w:tc>
              <w:tc>
                <w:tcPr>
                  <w:tcW w:w="2243" w:type="dxa"/>
                  <w:vAlign w:val="center"/>
                </w:tcPr>
                <w:p w14:paraId="3BEFEAA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监测结果（mg/m³）</w:t>
                  </w:r>
                </w:p>
              </w:tc>
              <w:tc>
                <w:tcPr>
                  <w:tcW w:w="1360" w:type="dxa"/>
                  <w:vAlign w:val="center"/>
                </w:tcPr>
                <w:p w14:paraId="3A94814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达标判定</w:t>
                  </w:r>
                </w:p>
              </w:tc>
            </w:tr>
            <w:tr w14:paraId="72DF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9" w:type="dxa"/>
                  <w:vMerge w:val="restart"/>
                  <w:vAlign w:val="center"/>
                </w:tcPr>
                <w:p w14:paraId="2549BB7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原有锅炉</w:t>
                  </w:r>
                </w:p>
              </w:tc>
              <w:tc>
                <w:tcPr>
                  <w:tcW w:w="1485" w:type="dxa"/>
                  <w:vAlign w:val="center"/>
                </w:tcPr>
                <w:p w14:paraId="6BED904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颗粒物</w:t>
                  </w:r>
                </w:p>
              </w:tc>
              <w:tc>
                <w:tcPr>
                  <w:tcW w:w="1806" w:type="dxa"/>
                  <w:vAlign w:val="center"/>
                </w:tcPr>
                <w:p w14:paraId="684AFE0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80</w:t>
                  </w:r>
                </w:p>
              </w:tc>
              <w:tc>
                <w:tcPr>
                  <w:tcW w:w="2243" w:type="dxa"/>
                  <w:vAlign w:val="center"/>
                </w:tcPr>
                <w:p w14:paraId="2842693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43</w:t>
                  </w:r>
                </w:p>
              </w:tc>
              <w:tc>
                <w:tcPr>
                  <w:tcW w:w="1360" w:type="dxa"/>
                  <w:vAlign w:val="center"/>
                </w:tcPr>
                <w:p w14:paraId="4124C04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r w14:paraId="1B9A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0EAB663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485" w:type="dxa"/>
                  <w:vAlign w:val="center"/>
                </w:tcPr>
                <w:p w14:paraId="20FE274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氮氧化物</w:t>
                  </w:r>
                </w:p>
              </w:tc>
              <w:tc>
                <w:tcPr>
                  <w:tcW w:w="1806" w:type="dxa"/>
                  <w:vAlign w:val="center"/>
                </w:tcPr>
                <w:p w14:paraId="59074AB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400</w:t>
                  </w:r>
                </w:p>
              </w:tc>
              <w:tc>
                <w:tcPr>
                  <w:tcW w:w="2243" w:type="dxa"/>
                  <w:vAlign w:val="center"/>
                </w:tcPr>
                <w:p w14:paraId="684A356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139</w:t>
                  </w:r>
                </w:p>
              </w:tc>
              <w:tc>
                <w:tcPr>
                  <w:tcW w:w="1360" w:type="dxa"/>
                  <w:vAlign w:val="center"/>
                </w:tcPr>
                <w:p w14:paraId="508F858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r w14:paraId="5D3C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35E8599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485" w:type="dxa"/>
                  <w:vAlign w:val="center"/>
                </w:tcPr>
                <w:p w14:paraId="5600BCA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二氧化硫</w:t>
                  </w:r>
                </w:p>
              </w:tc>
              <w:tc>
                <w:tcPr>
                  <w:tcW w:w="1806" w:type="dxa"/>
                  <w:vAlign w:val="center"/>
                </w:tcPr>
                <w:p w14:paraId="69D4E7B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400</w:t>
                  </w:r>
                </w:p>
              </w:tc>
              <w:tc>
                <w:tcPr>
                  <w:tcW w:w="2243" w:type="dxa"/>
                  <w:vAlign w:val="center"/>
                </w:tcPr>
                <w:p w14:paraId="6E7D03A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13</w:t>
                  </w:r>
                </w:p>
              </w:tc>
              <w:tc>
                <w:tcPr>
                  <w:tcW w:w="1360" w:type="dxa"/>
                  <w:vAlign w:val="center"/>
                </w:tcPr>
                <w:p w14:paraId="519C572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r w14:paraId="683B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551A4B1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485" w:type="dxa"/>
                  <w:vAlign w:val="center"/>
                </w:tcPr>
                <w:p w14:paraId="68F9F90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烟气黑度</w:t>
                  </w:r>
                </w:p>
              </w:tc>
              <w:tc>
                <w:tcPr>
                  <w:tcW w:w="1806" w:type="dxa"/>
                  <w:vAlign w:val="center"/>
                </w:tcPr>
                <w:p w14:paraId="54E7280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≤1级</w:t>
                  </w:r>
                </w:p>
              </w:tc>
              <w:tc>
                <w:tcPr>
                  <w:tcW w:w="2243" w:type="dxa"/>
                  <w:vAlign w:val="center"/>
                </w:tcPr>
                <w:p w14:paraId="76204CF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w:t>
                  </w:r>
                </w:p>
              </w:tc>
              <w:tc>
                <w:tcPr>
                  <w:tcW w:w="1360" w:type="dxa"/>
                  <w:vAlign w:val="center"/>
                </w:tcPr>
                <w:p w14:paraId="4DD128D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bl>
          <w:p w14:paraId="5233ADE2">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目前已知锅炉的额定风量为20000m³/h和玉溪市生态环境局红塔分局生态环境监测站（原玉溪市红塔区环境监测站）验收数据，可计算出项目煤改生物质锅炉的额定废气排放量如下：</w:t>
            </w:r>
          </w:p>
          <w:p w14:paraId="6DBB08B9">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颗粒物=43×20000×16×300=4.128t/a</w:t>
            </w:r>
          </w:p>
          <w:p w14:paraId="23FBEAFA">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氮氧化物=139×20000×16×300=13.344t/a</w:t>
            </w:r>
          </w:p>
          <w:p w14:paraId="2740A71F">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二氧化硫=13×20000×16×300=1.248t/a。</w:t>
            </w:r>
          </w:p>
          <w:p w14:paraId="26D03C73">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（2）印刷车间油墨及其有机溶剂等挥发性气体</w:t>
            </w:r>
          </w:p>
          <w:p w14:paraId="6C4C8A5E">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根据原有项目环评资料可知由于印刷量较小，油墨使用量少，有机溶剂的使用量就更少，挥发到空气中的数量有限，通过加强通风将散发的有机溶剂排到车间外的大气中，对车间内的工作人员和外环境的影响较小。</w:t>
            </w:r>
          </w:p>
          <w:p w14:paraId="39A349DE">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    原有项目废水产排情况</w:t>
            </w:r>
          </w:p>
          <w:p w14:paraId="69BC4EC5">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原有项目生产过程中废水主要为生活污水和车间废水，车间废水包括清洗印刷机产生的废水、胶合剂及地板冲洗水。生活污水经化粪池、沉淀池处理后，排入农灌沟，再进入红旗河。锅炉排污水进行中和沉淀处理，车间废水进入废水收集池，投药处理后排入沉淀池处理，生产废水总排放口污染物排放浓度达到GB8978—1996《污水综合排放标准》表4二级标准要求后方可外排至厂外农灌沟。水膜除尘废水经沉淀处理后循环使用不外排；设备冷却水循环使用不外排。</w:t>
            </w:r>
          </w:p>
          <w:p w14:paraId="5491B0BB">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云南兴恒包装有限公司新建七层瓦楞纸板制品生产线项目竣工环境保护验收监测报告表》，2005年11月23日至25日玉溪市环境监测站对项目生产废水进行了监测，监测期间，日产量4.5万㎡，以每年300个工作日计算，年产量为1360万㎡，达设计能力的84.0%。验收监测期间工况稳定、各设施运行正常，基本达到验收监测要求，监测数据有效。根据监测结果，生产废水总排放口污染物排放浓度达到GB8978—1996《污水综合排放标准》表4二级标准[1998年1月1日起新、改、扩建的污染源]要求。</w:t>
            </w:r>
          </w:p>
          <w:p w14:paraId="7A7E8182">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根据2018年12月25日委托玉溪市生态环境局红塔分局生态环境监测站（原玉溪市红塔区环境监测站）的污水总排口验收评价（详见附件13），可知本项目污水处理站排放浓度如下表：</w:t>
            </w:r>
          </w:p>
          <w:p w14:paraId="152511E1">
            <w:pPr>
              <w:widowControl w:val="0"/>
              <w:bidi w:val="0"/>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表2-15-6  原有项目</w:t>
            </w:r>
            <w:r>
              <w:rPr>
                <w:rFonts w:hint="default" w:ascii="Times New Roman" w:hAnsi="Times New Roman" w:eastAsia="宋体" w:cs="Times New Roman"/>
                <w:b/>
                <w:bCs/>
                <w:color w:val="auto"/>
                <w:kern w:val="2"/>
                <w:sz w:val="21"/>
                <w:szCs w:val="21"/>
                <w:vertAlign w:val="baseline"/>
                <w:lang w:val="en-US" w:eastAsia="zh-CN" w:bidi="ar-SA"/>
              </w:rPr>
              <w:t>废水污染物</w:t>
            </w:r>
            <w:r>
              <w:rPr>
                <w:rFonts w:hint="default" w:ascii="Times New Roman" w:hAnsi="Times New Roman" w:eastAsia="宋体" w:cs="Times New Roman"/>
                <w:b/>
                <w:bCs/>
                <w:color w:val="auto"/>
                <w:kern w:val="2"/>
                <w:sz w:val="21"/>
                <w:szCs w:val="21"/>
                <w:lang w:val="en-US" w:eastAsia="zh-CN" w:bidi="ar-SA"/>
              </w:rPr>
              <w:t>排放情况</w:t>
            </w:r>
          </w:p>
          <w:tbl>
            <w:tblPr>
              <w:tblStyle w:val="26"/>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485"/>
              <w:gridCol w:w="1806"/>
              <w:gridCol w:w="2243"/>
              <w:gridCol w:w="1360"/>
            </w:tblGrid>
            <w:tr w14:paraId="718F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Align w:val="center"/>
                </w:tcPr>
                <w:p w14:paraId="430E707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排污节点</w:t>
                  </w:r>
                </w:p>
              </w:tc>
              <w:tc>
                <w:tcPr>
                  <w:tcW w:w="1485" w:type="dxa"/>
                  <w:vAlign w:val="center"/>
                </w:tcPr>
                <w:p w14:paraId="49F6CE2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污染物项目</w:t>
                  </w:r>
                </w:p>
              </w:tc>
              <w:tc>
                <w:tcPr>
                  <w:tcW w:w="1806" w:type="dxa"/>
                  <w:vAlign w:val="center"/>
                </w:tcPr>
                <w:p w14:paraId="247BE4B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限值（mg/m³）</w:t>
                  </w:r>
                </w:p>
              </w:tc>
              <w:tc>
                <w:tcPr>
                  <w:tcW w:w="2243" w:type="dxa"/>
                  <w:vAlign w:val="center"/>
                </w:tcPr>
                <w:p w14:paraId="62ED640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监测结果（mg/m³）</w:t>
                  </w:r>
                </w:p>
              </w:tc>
              <w:tc>
                <w:tcPr>
                  <w:tcW w:w="1360" w:type="dxa"/>
                  <w:vAlign w:val="center"/>
                </w:tcPr>
                <w:p w14:paraId="7D1D91E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达标判定</w:t>
                  </w:r>
                </w:p>
              </w:tc>
            </w:tr>
            <w:tr w14:paraId="38A3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restart"/>
                  <w:vAlign w:val="center"/>
                </w:tcPr>
                <w:p w14:paraId="33FB369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废水总排放口</w:t>
                  </w:r>
                </w:p>
              </w:tc>
              <w:tc>
                <w:tcPr>
                  <w:tcW w:w="1485" w:type="dxa"/>
                  <w:vAlign w:val="center"/>
                </w:tcPr>
                <w:p w14:paraId="0E06261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CODcr</w:t>
                  </w:r>
                </w:p>
              </w:tc>
              <w:tc>
                <w:tcPr>
                  <w:tcW w:w="1806" w:type="dxa"/>
                  <w:vAlign w:val="center"/>
                </w:tcPr>
                <w:p w14:paraId="748CEE8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30</w:t>
                  </w:r>
                </w:p>
              </w:tc>
              <w:tc>
                <w:tcPr>
                  <w:tcW w:w="2243" w:type="dxa"/>
                  <w:vAlign w:val="center"/>
                </w:tcPr>
                <w:p w14:paraId="16C65EF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30</w:t>
                  </w:r>
                </w:p>
              </w:tc>
              <w:tc>
                <w:tcPr>
                  <w:tcW w:w="1360" w:type="dxa"/>
                  <w:vAlign w:val="center"/>
                </w:tcPr>
                <w:p w14:paraId="4EA92D8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r w14:paraId="3099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1F3CDCE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485" w:type="dxa"/>
                  <w:vAlign w:val="center"/>
                </w:tcPr>
                <w:p w14:paraId="1D55822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色度</w:t>
                  </w:r>
                </w:p>
              </w:tc>
              <w:tc>
                <w:tcPr>
                  <w:tcW w:w="1806" w:type="dxa"/>
                  <w:vAlign w:val="center"/>
                </w:tcPr>
                <w:p w14:paraId="163B647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80（倍）</w:t>
                  </w:r>
                </w:p>
              </w:tc>
              <w:tc>
                <w:tcPr>
                  <w:tcW w:w="2243" w:type="dxa"/>
                  <w:vAlign w:val="center"/>
                </w:tcPr>
                <w:p w14:paraId="7894BC0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w:t>
                  </w:r>
                </w:p>
              </w:tc>
              <w:tc>
                <w:tcPr>
                  <w:tcW w:w="1360" w:type="dxa"/>
                  <w:vAlign w:val="center"/>
                </w:tcPr>
                <w:p w14:paraId="302A5CC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r w14:paraId="22C2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0C956B7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485" w:type="dxa"/>
                  <w:vAlign w:val="center"/>
                </w:tcPr>
                <w:p w14:paraId="0C02CE6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SS</w:t>
                  </w:r>
                </w:p>
              </w:tc>
              <w:tc>
                <w:tcPr>
                  <w:tcW w:w="1806" w:type="dxa"/>
                  <w:vAlign w:val="center"/>
                </w:tcPr>
                <w:p w14:paraId="0BF5260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150</w:t>
                  </w:r>
                </w:p>
              </w:tc>
              <w:tc>
                <w:tcPr>
                  <w:tcW w:w="2243" w:type="dxa"/>
                  <w:vAlign w:val="center"/>
                </w:tcPr>
                <w:p w14:paraId="7BDDBF3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87</w:t>
                  </w:r>
                </w:p>
              </w:tc>
              <w:tc>
                <w:tcPr>
                  <w:tcW w:w="1360" w:type="dxa"/>
                  <w:vAlign w:val="center"/>
                </w:tcPr>
                <w:p w14:paraId="0DA2C96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r w14:paraId="7130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59DDFA5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485" w:type="dxa"/>
                  <w:vAlign w:val="center"/>
                </w:tcPr>
                <w:p w14:paraId="5989837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S</w:t>
                  </w:r>
                  <w:r>
                    <w:rPr>
                      <w:rFonts w:hint="default" w:ascii="Times New Roman" w:hAnsi="Times New Roman" w:eastAsia="宋体" w:cs="Times New Roman"/>
                      <w:b w:val="0"/>
                      <w:bCs w:val="0"/>
                      <w:color w:val="auto"/>
                      <w:kern w:val="2"/>
                      <w:sz w:val="21"/>
                      <w:szCs w:val="21"/>
                      <w:vertAlign w:val="superscript"/>
                      <w:lang w:val="en-US" w:eastAsia="zh-CN" w:bidi="ar-SA"/>
                    </w:rPr>
                    <w:t>2-</w:t>
                  </w:r>
                </w:p>
              </w:tc>
              <w:tc>
                <w:tcPr>
                  <w:tcW w:w="1806" w:type="dxa"/>
                  <w:vAlign w:val="center"/>
                </w:tcPr>
                <w:p w14:paraId="55BEA61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1.0</w:t>
                  </w:r>
                </w:p>
              </w:tc>
              <w:tc>
                <w:tcPr>
                  <w:tcW w:w="2243" w:type="dxa"/>
                  <w:vAlign w:val="center"/>
                </w:tcPr>
                <w:p w14:paraId="730704F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0.02</w:t>
                  </w:r>
                </w:p>
              </w:tc>
              <w:tc>
                <w:tcPr>
                  <w:tcW w:w="1360" w:type="dxa"/>
                  <w:vAlign w:val="center"/>
                </w:tcPr>
                <w:p w14:paraId="3A44846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达标</w:t>
                  </w:r>
                </w:p>
              </w:tc>
            </w:tr>
          </w:tbl>
          <w:p w14:paraId="7B94B981">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根据</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七层瓦楞纸板制品生产线</w:t>
            </w:r>
            <w:r>
              <w:rPr>
                <w:rFonts w:hint="default" w:ascii="Times New Roman" w:hAnsi="Times New Roman" w:eastAsia="宋体" w:cs="Times New Roman"/>
                <w:color w:val="auto"/>
              </w:rPr>
              <w:t>项目环境影响报告表》</w:t>
            </w:r>
            <w:r>
              <w:rPr>
                <w:rFonts w:hint="default" w:ascii="Times New Roman" w:hAnsi="Times New Roman" w:eastAsia="宋体" w:cs="Times New Roman"/>
                <w:color w:val="auto"/>
                <w:lang w:val="en-US" w:eastAsia="zh-CN"/>
              </w:rPr>
              <w:t>及</w:t>
            </w:r>
            <w:r>
              <w:rPr>
                <w:rFonts w:hint="default" w:ascii="Times New Roman" w:hAnsi="Times New Roman" w:eastAsia="宋体" w:cs="Times New Roman"/>
                <w:b w:val="0"/>
                <w:bCs w:val="0"/>
                <w:color w:val="auto"/>
                <w:sz w:val="21"/>
                <w:szCs w:val="21"/>
                <w:lang w:val="en-US" w:eastAsia="zh-CN"/>
              </w:rPr>
              <w:t>《云南兴恒包装有限公司新建七层瓦楞纸板制品生产线项目竣工环境保护验收监测报告表》（玉环监字[2005]154号）</w:t>
            </w:r>
            <w:r>
              <w:rPr>
                <w:rFonts w:hint="default" w:ascii="Times New Roman" w:hAnsi="Times New Roman" w:eastAsia="宋体" w:cs="Times New Roman"/>
                <w:b w:val="0"/>
                <w:bCs w:val="0"/>
                <w:color w:val="auto"/>
                <w:kern w:val="2"/>
                <w:sz w:val="21"/>
                <w:szCs w:val="21"/>
                <w:lang w:val="en-US" w:eastAsia="zh-CN" w:bidi="ar-SA"/>
              </w:rPr>
              <w:t>原有项目水平衡见下图。</w:t>
            </w:r>
          </w:p>
          <w:p w14:paraId="430F558D">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drawing>
                <wp:inline distT="0" distB="0" distL="114300" distR="114300">
                  <wp:extent cx="4505960" cy="3449320"/>
                  <wp:effectExtent l="0" t="0" r="889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4505960" cy="3449320"/>
                          </a:xfrm>
                          <a:prstGeom prst="rect">
                            <a:avLst/>
                          </a:prstGeom>
                          <a:noFill/>
                          <a:ln>
                            <a:noFill/>
                          </a:ln>
                        </pic:spPr>
                      </pic:pic>
                    </a:graphicData>
                  </a:graphic>
                </wp:inline>
              </w:drawing>
            </w:r>
          </w:p>
          <w:p w14:paraId="7F5E682D">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图2-15-7  原有项目水平衡图  单位：m³/d</w:t>
            </w:r>
          </w:p>
          <w:p w14:paraId="4F9AC249">
            <w:pPr>
              <w:widowControl w:val="0"/>
              <w:bidi w:val="0"/>
              <w:spacing w:line="360" w:lineRule="auto"/>
              <w:ind w:firstLine="0" w:firstLineChars="0"/>
              <w:jc w:val="left"/>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val="0"/>
                <w:bCs w:val="0"/>
                <w:color w:val="auto"/>
                <w:kern w:val="2"/>
                <w:sz w:val="21"/>
                <w:szCs w:val="21"/>
                <w:lang w:val="en-US" w:eastAsia="zh-CN" w:bidi="ar-SA"/>
              </w:rPr>
              <w:t>根据水平衡可知项目废水排放总量为9.9m³/d，2970m³/a；排放浓度已知，可得到废水排放污染物量为：</w:t>
            </w:r>
          </w:p>
          <w:p w14:paraId="71E0EDF5">
            <w:pPr>
              <w:widowControl w:val="0"/>
              <w:bidi w:val="0"/>
              <w:spacing w:line="36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表2-15-8  原有项目</w:t>
            </w:r>
            <w:r>
              <w:rPr>
                <w:rFonts w:hint="default" w:ascii="Times New Roman" w:hAnsi="Times New Roman" w:eastAsia="宋体" w:cs="Times New Roman"/>
                <w:b/>
                <w:bCs/>
                <w:color w:val="auto"/>
                <w:kern w:val="2"/>
                <w:sz w:val="21"/>
                <w:szCs w:val="21"/>
                <w:vertAlign w:val="baseline"/>
                <w:lang w:val="en-US" w:eastAsia="zh-CN" w:bidi="ar-SA"/>
              </w:rPr>
              <w:t>废水排放总量</w:t>
            </w:r>
          </w:p>
          <w:tbl>
            <w:tblPr>
              <w:tblStyle w:val="26"/>
              <w:tblW w:w="8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587"/>
              <w:gridCol w:w="2010"/>
              <w:gridCol w:w="1723"/>
              <w:gridCol w:w="1597"/>
            </w:tblGrid>
            <w:tr w14:paraId="48BC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Align w:val="center"/>
                </w:tcPr>
                <w:p w14:paraId="62D024C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排污节点</w:t>
                  </w:r>
                </w:p>
              </w:tc>
              <w:tc>
                <w:tcPr>
                  <w:tcW w:w="1587" w:type="dxa"/>
                  <w:vAlign w:val="center"/>
                </w:tcPr>
                <w:p w14:paraId="37527D2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污染物项目</w:t>
                  </w:r>
                </w:p>
              </w:tc>
              <w:tc>
                <w:tcPr>
                  <w:tcW w:w="2010" w:type="dxa"/>
                  <w:vAlign w:val="center"/>
                </w:tcPr>
                <w:p w14:paraId="463FEA0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监测结果mg/m³</w:t>
                  </w:r>
                </w:p>
              </w:tc>
              <w:tc>
                <w:tcPr>
                  <w:tcW w:w="1723" w:type="dxa"/>
                  <w:vAlign w:val="center"/>
                </w:tcPr>
                <w:p w14:paraId="739483D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废水排放量m³/a</w:t>
                  </w:r>
                </w:p>
              </w:tc>
              <w:tc>
                <w:tcPr>
                  <w:tcW w:w="1597" w:type="dxa"/>
                  <w:vAlign w:val="center"/>
                </w:tcPr>
                <w:p w14:paraId="7A2C546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排放总量kg/a</w:t>
                  </w:r>
                </w:p>
              </w:tc>
            </w:tr>
            <w:tr w14:paraId="3AFF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99" w:type="dxa"/>
                  <w:vMerge w:val="restart"/>
                  <w:vAlign w:val="center"/>
                </w:tcPr>
                <w:p w14:paraId="3E3F497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lang w:val="en-US" w:eastAsia="zh-CN" w:bidi="ar-SA"/>
                    </w:rPr>
                    <w:t>废水总排放口</w:t>
                  </w:r>
                </w:p>
              </w:tc>
              <w:tc>
                <w:tcPr>
                  <w:tcW w:w="1587" w:type="dxa"/>
                  <w:vAlign w:val="center"/>
                </w:tcPr>
                <w:p w14:paraId="2DA9611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CODcr</w:t>
                  </w:r>
                </w:p>
              </w:tc>
              <w:tc>
                <w:tcPr>
                  <w:tcW w:w="2010" w:type="dxa"/>
                  <w:vAlign w:val="center"/>
                </w:tcPr>
                <w:p w14:paraId="21BBC99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30</w:t>
                  </w:r>
                </w:p>
              </w:tc>
              <w:tc>
                <w:tcPr>
                  <w:tcW w:w="1723" w:type="dxa"/>
                  <w:vMerge w:val="restart"/>
                  <w:vAlign w:val="center"/>
                </w:tcPr>
                <w:p w14:paraId="603A443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2970</w:t>
                  </w:r>
                </w:p>
              </w:tc>
              <w:tc>
                <w:tcPr>
                  <w:tcW w:w="1597" w:type="dxa"/>
                  <w:vAlign w:val="center"/>
                </w:tcPr>
                <w:p w14:paraId="4CF9A41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0.0891</w:t>
                  </w:r>
                </w:p>
              </w:tc>
            </w:tr>
            <w:tr w14:paraId="6453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20E5B28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587" w:type="dxa"/>
                  <w:vAlign w:val="center"/>
                </w:tcPr>
                <w:p w14:paraId="1C62915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色度</w:t>
                  </w:r>
                </w:p>
              </w:tc>
              <w:tc>
                <w:tcPr>
                  <w:tcW w:w="2010" w:type="dxa"/>
                  <w:vAlign w:val="center"/>
                </w:tcPr>
                <w:p w14:paraId="1BC2C27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2（倍）</w:t>
                  </w:r>
                </w:p>
              </w:tc>
              <w:tc>
                <w:tcPr>
                  <w:tcW w:w="1723" w:type="dxa"/>
                  <w:vMerge w:val="continue"/>
                  <w:vAlign w:val="center"/>
                </w:tcPr>
                <w:p w14:paraId="23A804E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597" w:type="dxa"/>
                  <w:vAlign w:val="center"/>
                </w:tcPr>
                <w:p w14:paraId="2EA370D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r>
            <w:tr w14:paraId="6371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362BDC5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587" w:type="dxa"/>
                  <w:vAlign w:val="center"/>
                </w:tcPr>
                <w:p w14:paraId="4CD7336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SS</w:t>
                  </w:r>
                </w:p>
              </w:tc>
              <w:tc>
                <w:tcPr>
                  <w:tcW w:w="2010" w:type="dxa"/>
                  <w:vAlign w:val="center"/>
                </w:tcPr>
                <w:p w14:paraId="1BBCBCB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87</w:t>
                  </w:r>
                </w:p>
              </w:tc>
              <w:tc>
                <w:tcPr>
                  <w:tcW w:w="1723" w:type="dxa"/>
                  <w:vMerge w:val="continue"/>
                  <w:vAlign w:val="center"/>
                </w:tcPr>
                <w:p w14:paraId="5D3B0E3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597" w:type="dxa"/>
                  <w:vAlign w:val="center"/>
                </w:tcPr>
                <w:p w14:paraId="5AFD9EF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0.2584</w:t>
                  </w:r>
                </w:p>
              </w:tc>
            </w:tr>
            <w:tr w14:paraId="10DC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9" w:type="dxa"/>
                  <w:vMerge w:val="continue"/>
                  <w:vAlign w:val="center"/>
                </w:tcPr>
                <w:p w14:paraId="772C487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587" w:type="dxa"/>
                  <w:vAlign w:val="center"/>
                </w:tcPr>
                <w:p w14:paraId="55798E1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S</w:t>
                  </w:r>
                  <w:r>
                    <w:rPr>
                      <w:rFonts w:hint="default" w:ascii="Times New Roman" w:hAnsi="Times New Roman" w:eastAsia="宋体" w:cs="Times New Roman"/>
                      <w:b w:val="0"/>
                      <w:bCs w:val="0"/>
                      <w:color w:val="auto"/>
                      <w:kern w:val="2"/>
                      <w:sz w:val="21"/>
                      <w:szCs w:val="21"/>
                      <w:vertAlign w:val="superscript"/>
                      <w:lang w:val="en-US" w:eastAsia="zh-CN" w:bidi="ar-SA"/>
                    </w:rPr>
                    <w:t>2-</w:t>
                  </w:r>
                </w:p>
              </w:tc>
              <w:tc>
                <w:tcPr>
                  <w:tcW w:w="2010" w:type="dxa"/>
                  <w:vAlign w:val="center"/>
                </w:tcPr>
                <w:p w14:paraId="2587F5D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0.02</w:t>
                  </w:r>
                </w:p>
              </w:tc>
              <w:tc>
                <w:tcPr>
                  <w:tcW w:w="1723" w:type="dxa"/>
                  <w:vMerge w:val="continue"/>
                  <w:vAlign w:val="center"/>
                </w:tcPr>
                <w:p w14:paraId="515BC25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597" w:type="dxa"/>
                  <w:vAlign w:val="center"/>
                </w:tcPr>
                <w:p w14:paraId="37DB9A5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0.00006</w:t>
                  </w:r>
                </w:p>
              </w:tc>
            </w:tr>
          </w:tbl>
          <w:p w14:paraId="23951FDF">
            <w:pPr>
              <w:widowControl w:val="0"/>
              <w:bidi w:val="0"/>
              <w:spacing w:line="360" w:lineRule="auto"/>
              <w:ind w:firstLine="422" w:firstLineChars="20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原有项目噪声排放情况</w:t>
            </w:r>
          </w:p>
          <w:p w14:paraId="5C16E4FC">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原有项目噪声源主要为生产设备，主要采取的措施为厂房密封隔声，设备定期保养检修，基础减振，安装消声器，合理安排生产工段，夜间禁止作业等方式，降低噪声影响。</w:t>
            </w:r>
          </w:p>
          <w:p w14:paraId="63FE28DE">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云南兴恒包装有限公司新建七层瓦楞纸板制品生产线项目竣工环境保护验收监测报告表》，2005年11月23日至25日玉溪市环境监测站对项目厂界噪声及周边敏感点进行了监测，监测期间，日产量4.5万㎡，以每年300个工作日计算，年产量为1360万㎡，达设计能力的84.0%。验收监测期间工况稳定、各设施运行正常，基本达到验收监测要求，监测数据有效。根据监测结果，厂界噪声监测所有测点，测值均达到GB12348-90《工业企业厂界噪声标准》Ⅱ类区标准要求，即昼间60 dB(A)。</w:t>
            </w:r>
            <w:r>
              <w:rPr>
                <w:rFonts w:hint="default" w:ascii="Times New Roman" w:hAnsi="Times New Roman" w:eastAsia="宋体" w:cs="Times New Roman"/>
                <w:color w:val="auto"/>
                <w:kern w:val="2"/>
                <w:sz w:val="21"/>
                <w:szCs w:val="21"/>
                <w:lang w:val="en-US" w:eastAsia="zh-CN" w:bidi="ar-SA"/>
              </w:rPr>
              <w:t>敏感点环境区域噪声下新村和下赫七组各时段测值均达到GB3096-93《城市区域环境噪声标准》Ⅱ类区标准要求限值，即昼间60 dB(A)。</w:t>
            </w:r>
          </w:p>
          <w:p w14:paraId="56A691B4">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2.20 原有项目固废产生处置情况</w:t>
            </w:r>
          </w:p>
          <w:p w14:paraId="2DFA5FC2">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有项目固废主要是锅炉燃煤炉渣、水膜除尘器渣、沉淀池产生的污泥和生产过程中产生的边角废料和不合格产品。锅炉渣产生量约为43t/a；水膜除尘器渣及沉淀池产生的污泥产生量约为36t/a统一送至垃圾填埋场填埋。边角废料和不合格产品排放量约300t/a，出售给造纸厂做原料。</w:t>
            </w:r>
          </w:p>
          <w:p w14:paraId="19984F56">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    原有项目污染排放情况汇总</w:t>
            </w:r>
          </w:p>
          <w:p w14:paraId="6A9FDE33">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原有项目污染排放情况汇总见下表。</w:t>
            </w:r>
          </w:p>
          <w:p w14:paraId="559E7569">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表2-15-8  原有项目污染排放情况汇总表</w:t>
            </w:r>
          </w:p>
          <w:tbl>
            <w:tblPr>
              <w:tblStyle w:val="26"/>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848"/>
              <w:gridCol w:w="6189"/>
              <w:gridCol w:w="701"/>
            </w:tblGrid>
            <w:tr w14:paraId="07A5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gridSpan w:val="2"/>
                  <w:vAlign w:val="center"/>
                </w:tcPr>
                <w:p w14:paraId="249D045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189" w:type="dxa"/>
                  <w:vAlign w:val="center"/>
                </w:tcPr>
                <w:p w14:paraId="3CE0A38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排放情况</w:t>
                  </w:r>
                </w:p>
              </w:tc>
              <w:tc>
                <w:tcPr>
                  <w:tcW w:w="701" w:type="dxa"/>
                  <w:vAlign w:val="center"/>
                </w:tcPr>
                <w:p w14:paraId="17B8CFB8">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14:paraId="0D3C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gridSpan w:val="2"/>
                  <w:vAlign w:val="center"/>
                </w:tcPr>
                <w:p w14:paraId="364C4CE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w:t>
                  </w:r>
                </w:p>
              </w:tc>
              <w:tc>
                <w:tcPr>
                  <w:tcW w:w="6189" w:type="dxa"/>
                  <w:vAlign w:val="center"/>
                </w:tcPr>
                <w:p w14:paraId="006C6DB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①锅炉废气经水膜除尘器处理后通过35m高烟囱排放；</w:t>
                  </w:r>
                </w:p>
                <w:p w14:paraId="3025034F">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②印刷车间有机溶剂及气味通过加强通风进行处理。</w:t>
                  </w:r>
                </w:p>
              </w:tc>
              <w:tc>
                <w:tcPr>
                  <w:tcW w:w="701" w:type="dxa"/>
                  <w:vMerge w:val="restart"/>
                  <w:vAlign w:val="center"/>
                </w:tcPr>
                <w:p w14:paraId="48CB69E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已完成验收</w:t>
                  </w:r>
                </w:p>
              </w:tc>
            </w:tr>
            <w:tr w14:paraId="62F9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gridSpan w:val="2"/>
                  <w:vAlign w:val="center"/>
                </w:tcPr>
                <w:p w14:paraId="15DF77B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6189" w:type="dxa"/>
                  <w:vAlign w:val="center"/>
                </w:tcPr>
                <w:p w14:paraId="76C5F176">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生活污水经化粪池、沉淀池处理后，排入农灌沟，再进入红旗河。锅炉排污水进行中和沉淀处理，车间废水进入废水收集池，投药处理后排入沉淀池处理，生产废水总排放口污染物排放浓度达到GB8978—1996《污水综合排放标准》表4二级标准要求后方可外排至厂外农灌沟。水膜除尘废水经沉淀处理后循环使用不外排；设备冷却水循环使用不外排。</w:t>
                  </w:r>
                </w:p>
              </w:tc>
              <w:tc>
                <w:tcPr>
                  <w:tcW w:w="701" w:type="dxa"/>
                  <w:vMerge w:val="continue"/>
                  <w:vAlign w:val="center"/>
                </w:tcPr>
                <w:p w14:paraId="2E9B47B2">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3153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gridSpan w:val="2"/>
                  <w:vAlign w:val="center"/>
                </w:tcPr>
                <w:p w14:paraId="2645537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6189" w:type="dxa"/>
                  <w:vAlign w:val="center"/>
                </w:tcPr>
                <w:p w14:paraId="4C39CCD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采用厂房密封隔声，设备定期保养检修，基础减振，安装消声器，合理安排生产工段，夜间禁止作业等措施。</w:t>
                  </w:r>
                </w:p>
              </w:tc>
              <w:tc>
                <w:tcPr>
                  <w:tcW w:w="701" w:type="dxa"/>
                  <w:vMerge w:val="continue"/>
                  <w:vAlign w:val="center"/>
                </w:tcPr>
                <w:p w14:paraId="51E8996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7C56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restart"/>
                  <w:vAlign w:val="center"/>
                </w:tcPr>
                <w:p w14:paraId="55C3EED2">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固废</w:t>
                  </w:r>
                </w:p>
              </w:tc>
              <w:tc>
                <w:tcPr>
                  <w:tcW w:w="848" w:type="dxa"/>
                  <w:vAlign w:val="center"/>
                </w:tcPr>
                <w:p w14:paraId="215E941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w:t>
                  </w:r>
                </w:p>
              </w:tc>
              <w:tc>
                <w:tcPr>
                  <w:tcW w:w="6189" w:type="dxa"/>
                  <w:vAlign w:val="center"/>
                </w:tcPr>
                <w:p w14:paraId="64E24109">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定点收集，送垃圾填埋场。</w:t>
                  </w:r>
                </w:p>
              </w:tc>
              <w:tc>
                <w:tcPr>
                  <w:tcW w:w="701" w:type="dxa"/>
                  <w:vMerge w:val="continue"/>
                  <w:vAlign w:val="center"/>
                </w:tcPr>
                <w:p w14:paraId="41D01F1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7504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vAlign w:val="center"/>
                </w:tcPr>
                <w:p w14:paraId="5992F6F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48" w:type="dxa"/>
                  <w:vAlign w:val="center"/>
                </w:tcPr>
                <w:p w14:paraId="2CA532E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一般工业固废</w:t>
                  </w:r>
                </w:p>
              </w:tc>
              <w:tc>
                <w:tcPr>
                  <w:tcW w:w="6189" w:type="dxa"/>
                  <w:vAlign w:val="center"/>
                </w:tcPr>
                <w:p w14:paraId="3224E2E2">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炉渣、水膜除尘器中和沉淀产生的污泥送垃圾填埋场。边角废料和不合格产品统一收集，出售给造纸厂。</w:t>
                  </w:r>
                </w:p>
              </w:tc>
              <w:tc>
                <w:tcPr>
                  <w:tcW w:w="701" w:type="dxa"/>
                  <w:vMerge w:val="continue"/>
                  <w:vAlign w:val="center"/>
                </w:tcPr>
                <w:p w14:paraId="08EAAD2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bl>
          <w:p w14:paraId="2A85F3FC">
            <w:pPr>
              <w:pStyle w:val="38"/>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2.16现有瓦楞纸箱生产线</w:t>
            </w:r>
            <w:r>
              <w:rPr>
                <w:rFonts w:hint="default" w:ascii="Times New Roman" w:hAnsi="Times New Roman" w:eastAsia="宋体" w:cs="Times New Roman"/>
                <w:b/>
                <w:bCs/>
                <w:color w:val="auto"/>
                <w:szCs w:val="21"/>
              </w:rPr>
              <w:t>项目环保手续履行情况</w:t>
            </w:r>
          </w:p>
          <w:p w14:paraId="4C300548">
            <w:pPr>
              <w:pStyle w:val="38"/>
              <w:ind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2025年3月委托玉溪禾川绿色环境咨询有限公司编制了《云南兴恒包装瓦楞纸箱生产线搬迁环境影响报告表》，2025年6月玉溪生态环境局红塔分局以（玉红环审[2025]17号）对《云南兴恒包装瓦楞纸箱生产线搬迁环境影响报告表》进行了批复。</w:t>
            </w:r>
          </w:p>
          <w:p w14:paraId="03E7173F">
            <w:pPr>
              <w:pStyle w:val="38"/>
              <w:ind w:firstLine="420" w:firstLineChars="20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2025年09月08日，云南兴恒包装有限公司根据《云南兴恒包装瓦楞纸箱生产线搬迁环境影响报告表》及审批意见，并对照《建设项目竣工环境保护验收暂行办法》，严格依照国家有关法律法规、建设项目竣工环境保护验收技术规范和指南、本项目环境影响报告表和审批意见等要求对本项目进行自主验收，验收通过。</w:t>
            </w:r>
          </w:p>
          <w:p w14:paraId="21EAE486">
            <w:pPr>
              <w:pStyle w:val="3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2.17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color w:val="auto"/>
                <w:lang w:val="en-US" w:eastAsia="zh-CN"/>
              </w:rPr>
              <w:t>排污许可证</w:t>
            </w:r>
          </w:p>
          <w:p w14:paraId="45496C87">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现有瓦楞纸箱生产线</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b w:val="0"/>
                <w:bCs w:val="0"/>
                <w:color w:val="auto"/>
                <w:sz w:val="21"/>
                <w:szCs w:val="21"/>
                <w:u w:val="none"/>
                <w:lang w:val="en-US" w:eastAsia="zh-CN"/>
              </w:rPr>
              <w:t>已取得《全国排污许可证》，编号：</w:t>
            </w:r>
            <w:r>
              <w:rPr>
                <w:rFonts w:hint="default" w:ascii="Times New Roman" w:hAnsi="Times New Roman" w:eastAsia="宋体" w:cs="Times New Roman"/>
                <w:color w:val="auto"/>
                <w:sz w:val="21"/>
                <w:szCs w:val="21"/>
              </w:rPr>
              <w:t>91530402760430724N001P</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有效期：</w:t>
            </w:r>
            <w:r>
              <w:rPr>
                <w:rFonts w:hint="default" w:ascii="Times New Roman" w:hAnsi="Times New Roman" w:eastAsia="宋体" w:cs="Times New Roman"/>
                <w:color w:val="auto"/>
                <w:sz w:val="21"/>
                <w:szCs w:val="21"/>
              </w:rPr>
              <w:t>2025</w:t>
            </w:r>
            <w:r>
              <w:rPr>
                <w:rFonts w:hint="default" w:ascii="Times New Roman" w:hAns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rPr>
              <w:t>07</w:t>
            </w:r>
            <w:r>
              <w:rPr>
                <w:rFonts w:hint="default" w:ascii="Times New Roman" w:hAnsi="Times New Roman" w:eastAsia="宋体" w:cs="Times New Roman"/>
                <w:color w:val="auto"/>
                <w:sz w:val="21"/>
                <w:szCs w:val="21"/>
                <w:lang w:val="en-US" w:eastAsia="zh-CN"/>
              </w:rPr>
              <w:t>月</w:t>
            </w:r>
            <w:r>
              <w:rPr>
                <w:rFonts w:hint="default" w:ascii="Times New Roman" w:hAnsi="Times New Roman" w:eastAsia="宋体" w:cs="Times New Roman"/>
                <w:color w:val="auto"/>
                <w:sz w:val="21"/>
                <w:szCs w:val="21"/>
              </w:rPr>
              <w:t>22</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至2030</w:t>
            </w:r>
            <w:r>
              <w:rPr>
                <w:rFonts w:hint="default" w:ascii="Times New Roman" w:hAnsi="Times New Roman" w:eastAsia="宋体" w:cs="Times New Roman"/>
                <w:color w:val="auto"/>
                <w:sz w:val="21"/>
                <w:szCs w:val="21"/>
                <w:lang w:val="en-US" w:eastAsia="zh-CN"/>
              </w:rPr>
              <w:t>年</w:t>
            </w:r>
            <w:r>
              <w:rPr>
                <w:rFonts w:hint="default" w:ascii="Times New Roman" w:hAnsi="Times New Roman" w:eastAsia="宋体" w:cs="Times New Roman"/>
                <w:color w:val="auto"/>
                <w:sz w:val="21"/>
                <w:szCs w:val="21"/>
              </w:rPr>
              <w:t>07</w:t>
            </w:r>
            <w:r>
              <w:rPr>
                <w:rFonts w:hint="default" w:ascii="Times New Roman" w:hAnsi="Times New Roman" w:eastAsia="宋体" w:cs="Times New Roman"/>
                <w:color w:val="auto"/>
                <w:sz w:val="21"/>
                <w:szCs w:val="21"/>
                <w:lang w:val="en-US" w:eastAsia="zh-CN"/>
              </w:rPr>
              <w:t>月</w:t>
            </w:r>
            <w:r>
              <w:rPr>
                <w:rFonts w:hint="default" w:ascii="Times New Roman" w:hAnsi="Times New Roman" w:eastAsia="宋体" w:cs="Times New Roman"/>
                <w:color w:val="auto"/>
                <w:sz w:val="21"/>
                <w:szCs w:val="21"/>
              </w:rPr>
              <w:t>21</w:t>
            </w: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kern w:val="2"/>
                <w:sz w:val="21"/>
                <w:szCs w:val="21"/>
                <w:lang w:val="en-US" w:eastAsia="zh-CN" w:bidi="ar-SA"/>
              </w:rPr>
              <w:t>。</w:t>
            </w:r>
          </w:p>
          <w:p w14:paraId="75DA09E8">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根据现有排污许可证，自行监测方案如下。</w:t>
            </w:r>
          </w:p>
          <w:p w14:paraId="00A83AF8">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表2-17-1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自行监测方案一览表</w:t>
            </w:r>
          </w:p>
          <w:tbl>
            <w:tblPr>
              <w:tblStyle w:val="26"/>
              <w:tblW w:w="8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78"/>
              <w:gridCol w:w="3161"/>
              <w:gridCol w:w="2312"/>
            </w:tblGrid>
            <w:tr w14:paraId="2DE3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61A7322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278" w:type="dxa"/>
                  <w:vAlign w:val="center"/>
                </w:tcPr>
                <w:p w14:paraId="6E02D8B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3161" w:type="dxa"/>
                  <w:vAlign w:val="center"/>
                </w:tcPr>
                <w:p w14:paraId="401C825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监测内容</w:t>
                  </w:r>
                </w:p>
              </w:tc>
              <w:tc>
                <w:tcPr>
                  <w:tcW w:w="2312" w:type="dxa"/>
                  <w:vAlign w:val="center"/>
                </w:tcPr>
                <w:p w14:paraId="316ED5D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监测频率</w:t>
                  </w:r>
                </w:p>
              </w:tc>
            </w:tr>
            <w:tr w14:paraId="57AD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restart"/>
                  <w:vAlign w:val="center"/>
                </w:tcPr>
                <w:p w14:paraId="560FBEF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278" w:type="dxa"/>
                  <w:vAlign w:val="center"/>
                </w:tcPr>
                <w:p w14:paraId="6FC5EC9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DA001</w:t>
                  </w:r>
                </w:p>
              </w:tc>
              <w:tc>
                <w:tcPr>
                  <w:tcW w:w="3161" w:type="dxa"/>
                  <w:vAlign w:val="center"/>
                </w:tcPr>
                <w:p w14:paraId="2F957F4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挥发性有机物（以非甲烷总烃计）</w:t>
                  </w:r>
                </w:p>
              </w:tc>
              <w:tc>
                <w:tcPr>
                  <w:tcW w:w="2312" w:type="dxa"/>
                  <w:vAlign w:val="center"/>
                </w:tcPr>
                <w:p w14:paraId="0DCFDCB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1次/半年</w:t>
                  </w:r>
                </w:p>
              </w:tc>
            </w:tr>
            <w:tr w14:paraId="6C77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continue"/>
                  <w:vAlign w:val="center"/>
                </w:tcPr>
                <w:p w14:paraId="64272381">
                  <w:pPr>
                    <w:pStyle w:val="32"/>
                    <w:snapToGrid w:val="0"/>
                    <w:spacing w:before="72" w:beforeLines="30" w:after="72" w:afterLines="30"/>
                    <w:rPr>
                      <w:rFonts w:hint="default" w:ascii="Times New Roman" w:hAnsi="Times New Roman" w:eastAsia="宋体" w:cs="Times New Roman"/>
                      <w:color w:val="auto"/>
                    </w:rPr>
                  </w:pPr>
                </w:p>
              </w:tc>
              <w:tc>
                <w:tcPr>
                  <w:tcW w:w="1278" w:type="dxa"/>
                  <w:vAlign w:val="center"/>
                </w:tcPr>
                <w:p w14:paraId="0A36EE5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厂界无组织</w:t>
                  </w:r>
                </w:p>
              </w:tc>
              <w:tc>
                <w:tcPr>
                  <w:tcW w:w="3161" w:type="dxa"/>
                  <w:vAlign w:val="center"/>
                </w:tcPr>
                <w:p w14:paraId="27B6220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挥发性有机物（以非甲烷总烃计）、臭气浓度、颗粒物</w:t>
                  </w:r>
                </w:p>
              </w:tc>
              <w:tc>
                <w:tcPr>
                  <w:tcW w:w="2312" w:type="dxa"/>
                  <w:vMerge w:val="restart"/>
                  <w:vAlign w:val="center"/>
                </w:tcPr>
                <w:p w14:paraId="54AA569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r>
            <w:tr w14:paraId="75A4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continue"/>
                  <w:vAlign w:val="center"/>
                </w:tcPr>
                <w:p w14:paraId="4D3F2F00">
                  <w:pPr>
                    <w:pStyle w:val="32"/>
                    <w:snapToGrid w:val="0"/>
                    <w:spacing w:before="72" w:beforeLines="30" w:after="72" w:afterLines="30"/>
                    <w:rPr>
                      <w:rFonts w:hint="default" w:ascii="Times New Roman" w:hAnsi="Times New Roman" w:eastAsia="宋体" w:cs="Times New Roman"/>
                      <w:color w:val="auto"/>
                    </w:rPr>
                  </w:pPr>
                </w:p>
              </w:tc>
              <w:tc>
                <w:tcPr>
                  <w:tcW w:w="1278" w:type="dxa"/>
                  <w:vAlign w:val="center"/>
                </w:tcPr>
                <w:p w14:paraId="37F606C7">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印刷车间外无组织</w:t>
                  </w:r>
                </w:p>
              </w:tc>
              <w:tc>
                <w:tcPr>
                  <w:tcW w:w="3161" w:type="dxa"/>
                  <w:vAlign w:val="center"/>
                </w:tcPr>
                <w:p w14:paraId="714BE82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挥发性有机物（以非甲烷总烃计）</w:t>
                  </w:r>
                </w:p>
              </w:tc>
              <w:tc>
                <w:tcPr>
                  <w:tcW w:w="2312" w:type="dxa"/>
                  <w:vMerge w:val="continue"/>
                  <w:vAlign w:val="center"/>
                </w:tcPr>
                <w:p w14:paraId="44DBD06D">
                  <w:pPr>
                    <w:pStyle w:val="32"/>
                    <w:snapToGrid w:val="0"/>
                    <w:spacing w:before="72" w:beforeLines="30" w:after="72" w:afterLines="30"/>
                    <w:rPr>
                      <w:rFonts w:hint="default" w:ascii="Times New Roman" w:hAnsi="Times New Roman" w:eastAsia="宋体" w:cs="Times New Roman"/>
                      <w:color w:val="auto"/>
                    </w:rPr>
                  </w:pPr>
                </w:p>
              </w:tc>
            </w:tr>
            <w:tr w14:paraId="702C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161BF06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278" w:type="dxa"/>
                  <w:vAlign w:val="center"/>
                </w:tcPr>
                <w:p w14:paraId="536BC1F4">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厂界外</w:t>
                  </w:r>
                </w:p>
              </w:tc>
              <w:tc>
                <w:tcPr>
                  <w:tcW w:w="3161" w:type="dxa"/>
                  <w:vAlign w:val="center"/>
                </w:tcPr>
                <w:p w14:paraId="0BCCC83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kern w:val="0"/>
                      <w:lang w:bidi="ar"/>
                    </w:rPr>
                    <w:t>厂界噪声</w:t>
                  </w:r>
                </w:p>
              </w:tc>
              <w:tc>
                <w:tcPr>
                  <w:tcW w:w="2312" w:type="dxa"/>
                  <w:vAlign w:val="center"/>
                </w:tcPr>
                <w:p w14:paraId="370BFBF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1次/季度</w:t>
                  </w:r>
                </w:p>
              </w:tc>
            </w:tr>
            <w:tr w14:paraId="033D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7F25C28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1278" w:type="dxa"/>
                  <w:vAlign w:val="center"/>
                </w:tcPr>
                <w:p w14:paraId="6B5A015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DW001</w:t>
                  </w:r>
                </w:p>
              </w:tc>
              <w:tc>
                <w:tcPr>
                  <w:tcW w:w="3161" w:type="dxa"/>
                  <w:vAlign w:val="center"/>
                </w:tcPr>
                <w:p w14:paraId="4E1ABA25">
                  <w:pPr>
                    <w:pStyle w:val="32"/>
                    <w:snapToGrid w:val="0"/>
                    <w:spacing w:before="72" w:beforeLines="30" w:after="72" w:afterLines="30"/>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COD、BOD</w:t>
                  </w:r>
                  <w:r>
                    <w:rPr>
                      <w:rFonts w:hint="default" w:ascii="Times New Roman" w:hAnsi="Times New Roman" w:eastAsia="宋体" w:cs="Times New Roman"/>
                      <w:color w:val="auto"/>
                      <w:kern w:val="0"/>
                      <w:vertAlign w:val="subscript"/>
                      <w:lang w:bidi="ar"/>
                    </w:rPr>
                    <w:t>5</w:t>
                  </w:r>
                  <w:r>
                    <w:rPr>
                      <w:rFonts w:hint="default" w:ascii="Times New Roman" w:hAnsi="Times New Roman" w:eastAsia="宋体" w:cs="Times New Roman"/>
                      <w:color w:val="auto"/>
                      <w:kern w:val="0"/>
                      <w:lang w:bidi="ar"/>
                    </w:rPr>
                    <w:t>、NH</w:t>
                  </w:r>
                  <w:r>
                    <w:rPr>
                      <w:rFonts w:hint="default" w:ascii="Times New Roman" w:hAnsi="Times New Roman" w:eastAsia="宋体" w:cs="Times New Roman"/>
                      <w:color w:val="auto"/>
                      <w:kern w:val="0"/>
                      <w:vertAlign w:val="subscript"/>
                      <w:lang w:bidi="ar"/>
                    </w:rPr>
                    <w:t>3</w:t>
                  </w:r>
                  <w:r>
                    <w:rPr>
                      <w:rFonts w:hint="default" w:ascii="Times New Roman" w:hAnsi="Times New Roman" w:eastAsia="宋体" w:cs="Times New Roman"/>
                      <w:color w:val="auto"/>
                      <w:kern w:val="0"/>
                      <w:lang w:bidi="ar"/>
                    </w:rPr>
                    <w:t>-N、TP、</w:t>
                  </w:r>
                  <w:r>
                    <w:rPr>
                      <w:rFonts w:hint="default" w:ascii="Times New Roman" w:hAnsi="Times New Roman" w:eastAsia="宋体" w:cs="Times New Roman"/>
                      <w:color w:val="auto"/>
                    </w:rPr>
                    <w:t>动植物油、SS等</w:t>
                  </w:r>
                </w:p>
              </w:tc>
              <w:tc>
                <w:tcPr>
                  <w:tcW w:w="2312" w:type="dxa"/>
                  <w:vAlign w:val="center"/>
                </w:tcPr>
                <w:p w14:paraId="6A51B314">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r>
          </w:tbl>
          <w:p w14:paraId="371659E9">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执行情况如下图。</w:t>
            </w:r>
          </w:p>
          <w:p w14:paraId="434D2B38">
            <w:pPr>
              <w:widowControl w:val="0"/>
              <w:bidi w:val="0"/>
              <w:spacing w:line="36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drawing>
                <wp:inline distT="0" distB="0" distL="114300" distR="114300">
                  <wp:extent cx="5131435" cy="2705100"/>
                  <wp:effectExtent l="0" t="0" r="1206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5131435" cy="2705100"/>
                          </a:xfrm>
                          <a:prstGeom prst="rect">
                            <a:avLst/>
                          </a:prstGeom>
                          <a:noFill/>
                          <a:ln>
                            <a:noFill/>
                          </a:ln>
                        </pic:spPr>
                      </pic:pic>
                    </a:graphicData>
                  </a:graphic>
                </wp:inline>
              </w:drawing>
            </w:r>
          </w:p>
          <w:p w14:paraId="38AAB701">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图2-17-2  自行监测执行情况图</w:t>
            </w:r>
          </w:p>
          <w:p w14:paraId="2C5D7E16">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 xml:space="preserve">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color w:val="auto"/>
              </w:rPr>
              <w:t>基本情况</w:t>
            </w:r>
          </w:p>
          <w:p w14:paraId="19BAE1DE">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 xml:space="preserve">.1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color w:val="auto"/>
              </w:rPr>
              <w:t>工程内容</w:t>
            </w:r>
          </w:p>
          <w:p w14:paraId="3177CD4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val="en-US" w:eastAsia="zh-CN"/>
              </w:rPr>
              <w:t>现有瓦楞纸箱生产线</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sz w:val="24"/>
                <w:szCs w:val="24"/>
                <w:lang w:val="en-US" w:eastAsia="zh-CN"/>
              </w:rPr>
              <w:t>新兴仁恒</w:t>
            </w:r>
            <w:r>
              <w:rPr>
                <w:rFonts w:hint="default" w:ascii="Times New Roman" w:hAnsi="Times New Roman" w:eastAsia="宋体" w:cs="Times New Roman"/>
                <w:color w:val="auto"/>
                <w:lang w:val="en-US" w:eastAsia="zh-CN"/>
              </w:rPr>
              <w:t>公司内的闲置车间、仓库进行建设，生产区建筑占地面积为2895㎡，办公区60㎡。生产区设置四色印刷模切开槽机1台、钉箱机3台、粘箱机1台，基础设施依托现有，建成后年产400万支纸箱</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主要内容见下表。</w:t>
            </w:r>
          </w:p>
          <w:p w14:paraId="5C09F4A7">
            <w:pPr>
              <w:jc w:val="center"/>
              <w:rPr>
                <w:rFonts w:hint="default" w:ascii="Times New Roman" w:hAnsi="Times New Roman" w:eastAsia="宋体" w:cs="Times New Roman"/>
                <w:b/>
                <w:color w:val="auto"/>
                <w:spacing w:val="4"/>
              </w:rPr>
            </w:pPr>
            <w:r>
              <w:rPr>
                <w:rFonts w:hint="default" w:ascii="Times New Roman" w:hAnsi="Times New Roman" w:eastAsia="宋体" w:cs="Times New Roman"/>
                <w:b/>
                <w:color w:val="auto"/>
                <w:spacing w:val="4"/>
              </w:rPr>
              <w:t>表2-1</w:t>
            </w:r>
            <w:r>
              <w:rPr>
                <w:rFonts w:hint="default" w:ascii="Times New Roman" w:hAnsi="Times New Roman" w:eastAsia="宋体" w:cs="Times New Roman"/>
                <w:b/>
                <w:color w:val="auto"/>
                <w:spacing w:val="4"/>
                <w:lang w:val="en-US" w:eastAsia="zh-CN"/>
              </w:rPr>
              <w:t>8-1</w:t>
            </w:r>
            <w:r>
              <w:rPr>
                <w:rFonts w:hint="default" w:ascii="Times New Roman" w:hAnsi="Times New Roman" w:eastAsia="宋体" w:cs="Times New Roman"/>
                <w:b/>
                <w:color w:val="auto"/>
                <w:spacing w:val="4"/>
              </w:rPr>
              <w:t xml:space="preserve">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color w:val="auto"/>
                <w:spacing w:val="4"/>
              </w:rPr>
              <w:t>工程内容</w:t>
            </w:r>
          </w:p>
          <w:tbl>
            <w:tblPr>
              <w:tblStyle w:val="25"/>
              <w:tblW w:w="49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097"/>
              <w:gridCol w:w="6230"/>
            </w:tblGrid>
            <w:tr w14:paraId="73D63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blHeader/>
                <w:jc w:val="center"/>
              </w:trPr>
              <w:tc>
                <w:tcPr>
                  <w:tcW w:w="1132" w:type="pct"/>
                  <w:gridSpan w:val="2"/>
                  <w:tcBorders>
                    <w:top w:val="single" w:color="000000" w:sz="4" w:space="0"/>
                    <w:left w:val="single" w:color="000000" w:sz="4" w:space="0"/>
                    <w:bottom w:val="single" w:color="000000" w:sz="4" w:space="0"/>
                    <w:right w:val="single" w:color="auto" w:sz="4" w:space="0"/>
                  </w:tcBorders>
                  <w:vAlign w:val="center"/>
                </w:tcPr>
                <w:p w14:paraId="1A094939">
                  <w:pPr>
                    <w:autoSpaceDE w:val="0"/>
                    <w:autoSpaceDN w:val="0"/>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工程</w:t>
                  </w:r>
                  <w:r>
                    <w:rPr>
                      <w:rFonts w:hint="default" w:ascii="Times New Roman" w:hAnsi="Times New Roman" w:eastAsia="宋体" w:cs="Times New Roman"/>
                      <w:b/>
                      <w:bCs/>
                      <w:color w:val="auto"/>
                      <w:szCs w:val="21"/>
                      <w:lang w:val="en-US" w:eastAsia="zh-CN"/>
                    </w:rPr>
                    <w:t>组成</w:t>
                  </w:r>
                </w:p>
              </w:tc>
              <w:tc>
                <w:tcPr>
                  <w:tcW w:w="3867" w:type="pct"/>
                  <w:tcBorders>
                    <w:top w:val="single" w:color="000000" w:sz="4" w:space="0"/>
                    <w:left w:val="single" w:color="auto" w:sz="4" w:space="0"/>
                    <w:bottom w:val="single" w:color="000000" w:sz="4" w:space="0"/>
                    <w:right w:val="single" w:color="000000" w:sz="4" w:space="0"/>
                  </w:tcBorders>
                  <w:vAlign w:val="center"/>
                </w:tcPr>
                <w:p w14:paraId="7B3851F6">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现有</w:t>
                  </w:r>
                  <w:r>
                    <w:rPr>
                      <w:rFonts w:hint="default" w:ascii="Times New Roman" w:hAnsi="Times New Roman" w:eastAsia="宋体" w:cs="Times New Roman"/>
                      <w:b/>
                      <w:bCs/>
                      <w:color w:val="auto"/>
                      <w:szCs w:val="21"/>
                    </w:rPr>
                    <w:t>工程内容</w:t>
                  </w:r>
                </w:p>
              </w:tc>
            </w:tr>
            <w:tr w14:paraId="17D4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451" w:type="pct"/>
                  <w:tcBorders>
                    <w:left w:val="single" w:color="000000" w:sz="4" w:space="0"/>
                    <w:right w:val="single" w:color="000000" w:sz="4" w:space="0"/>
                  </w:tcBorders>
                  <w:vAlign w:val="center"/>
                </w:tcPr>
                <w:p w14:paraId="447C9372">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主体工程</w:t>
                  </w:r>
                </w:p>
              </w:tc>
              <w:tc>
                <w:tcPr>
                  <w:tcW w:w="681" w:type="pct"/>
                  <w:tcBorders>
                    <w:top w:val="single" w:color="000000" w:sz="4" w:space="0"/>
                    <w:left w:val="single" w:color="000000" w:sz="4" w:space="0"/>
                    <w:right w:val="single" w:color="000000" w:sz="4" w:space="0"/>
                  </w:tcBorders>
                  <w:vAlign w:val="center"/>
                </w:tcPr>
                <w:p w14:paraId="056138F7">
                  <w:pPr>
                    <w:autoSpaceDE w:val="0"/>
                    <w:autoSpaceDN w:val="0"/>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生产</w:t>
                  </w:r>
                  <w:r>
                    <w:rPr>
                      <w:rFonts w:hint="default" w:ascii="Times New Roman" w:hAnsi="Times New Roman" w:eastAsia="宋体" w:cs="Times New Roman"/>
                      <w:color w:val="auto"/>
                      <w:szCs w:val="21"/>
                    </w:rPr>
                    <w:t>区</w:t>
                  </w:r>
                </w:p>
              </w:tc>
              <w:tc>
                <w:tcPr>
                  <w:tcW w:w="3867" w:type="pct"/>
                  <w:tcBorders>
                    <w:top w:val="single" w:color="000000" w:sz="4" w:space="0"/>
                    <w:left w:val="single" w:color="000000" w:sz="4" w:space="0"/>
                    <w:bottom w:val="single" w:color="auto" w:sz="4" w:space="0"/>
                    <w:right w:val="single" w:color="000000" w:sz="4" w:space="0"/>
                  </w:tcBorders>
                  <w:vAlign w:val="center"/>
                </w:tcPr>
                <w:p w14:paraId="052AEA13">
                  <w:pPr>
                    <w:pStyle w:val="66"/>
                    <w:snapToGrid w:val="0"/>
                    <w:spacing w:before="71"/>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生产区占地面积为800㎡，项目设置1台四色印刷模切开槽机</w:t>
                  </w:r>
                  <w:r>
                    <w:rPr>
                      <w:rFonts w:hint="default" w:ascii="Times New Roman" w:hAnsi="Times New Roman" w:eastAsia="宋体" w:cs="Times New Roman"/>
                      <w:bCs/>
                      <w:color w:val="auto"/>
                      <w:sz w:val="21"/>
                      <w:szCs w:val="21"/>
                      <w:lang w:val="en-US" w:eastAsia="zh-CN"/>
                    </w:rPr>
                    <w:t>，1台闲置粘箱机、3台闲置的钉箱机</w:t>
                  </w:r>
                  <w:r>
                    <w:rPr>
                      <w:rFonts w:hint="default" w:ascii="Times New Roman" w:hAnsi="Times New Roman" w:eastAsia="宋体" w:cs="Times New Roman"/>
                      <w:color w:val="auto"/>
                      <w:sz w:val="21"/>
                      <w:szCs w:val="21"/>
                      <w:lang w:val="en-US" w:eastAsia="zh-CN"/>
                    </w:rPr>
                    <w:t>。</w:t>
                  </w:r>
                </w:p>
              </w:tc>
            </w:tr>
            <w:tr w14:paraId="090CF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451" w:type="pct"/>
                  <w:vMerge w:val="restart"/>
                  <w:tcBorders>
                    <w:left w:val="single" w:color="000000" w:sz="4" w:space="0"/>
                    <w:right w:val="single" w:color="000000" w:sz="4" w:space="0"/>
                  </w:tcBorders>
                  <w:vAlign w:val="center"/>
                </w:tcPr>
                <w:p w14:paraId="0CB23DB7">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储运工程</w:t>
                  </w:r>
                </w:p>
              </w:tc>
              <w:tc>
                <w:tcPr>
                  <w:tcW w:w="681" w:type="pct"/>
                  <w:tcBorders>
                    <w:top w:val="single" w:color="000000" w:sz="4" w:space="0"/>
                    <w:left w:val="single" w:color="000000" w:sz="4" w:space="0"/>
                    <w:bottom w:val="single" w:color="auto" w:sz="4" w:space="0"/>
                    <w:right w:val="single" w:color="000000" w:sz="4" w:space="0"/>
                  </w:tcBorders>
                  <w:vAlign w:val="center"/>
                </w:tcPr>
                <w:p w14:paraId="6A218E40">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原料区</w:t>
                  </w:r>
                </w:p>
              </w:tc>
              <w:tc>
                <w:tcPr>
                  <w:tcW w:w="3867" w:type="pct"/>
                  <w:tcBorders>
                    <w:top w:val="single" w:color="000000" w:sz="4" w:space="0"/>
                    <w:left w:val="single" w:color="000000" w:sz="4" w:space="0"/>
                    <w:bottom w:val="single" w:color="auto" w:sz="4" w:space="0"/>
                    <w:right w:val="single" w:color="000000" w:sz="4" w:space="0"/>
                  </w:tcBorders>
                  <w:vAlign w:val="center"/>
                </w:tcPr>
                <w:p w14:paraId="710C73CA">
                  <w:pPr>
                    <w:pStyle w:val="66"/>
                    <w:snapToGrid w:val="0"/>
                    <w:spacing w:before="71"/>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原料区占地面积为500m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，主要用于暂存成品</w:t>
                  </w:r>
                  <w:r>
                    <w:rPr>
                      <w:rFonts w:hint="default" w:ascii="Times New Roman" w:hAnsi="Times New Roman" w:eastAsia="宋体" w:cs="Times New Roman"/>
                      <w:color w:val="auto"/>
                      <w:sz w:val="21"/>
                      <w:szCs w:val="21"/>
                      <w:lang w:val="en-US" w:eastAsia="zh-CN"/>
                    </w:rPr>
                    <w:t>瓦楞纸</w:t>
                  </w:r>
                  <w:r>
                    <w:rPr>
                      <w:rFonts w:hint="default" w:ascii="Times New Roman" w:hAnsi="Times New Roman" w:eastAsia="宋体" w:cs="Times New Roman"/>
                      <w:color w:val="auto"/>
                      <w:sz w:val="21"/>
                      <w:szCs w:val="21"/>
                    </w:rPr>
                    <w:t>。</w:t>
                  </w:r>
                </w:p>
              </w:tc>
            </w:tr>
            <w:tr w14:paraId="20027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451" w:type="pct"/>
                  <w:vMerge w:val="continue"/>
                  <w:tcBorders>
                    <w:left w:val="single" w:color="000000" w:sz="4" w:space="0"/>
                    <w:right w:val="single" w:color="000000" w:sz="4" w:space="0"/>
                  </w:tcBorders>
                  <w:vAlign w:val="center"/>
                </w:tcPr>
                <w:p w14:paraId="2FA5854D">
                  <w:pPr>
                    <w:snapToGrid w:val="0"/>
                    <w:jc w:val="center"/>
                    <w:rPr>
                      <w:rFonts w:hint="default" w:ascii="Times New Roman" w:hAnsi="Times New Roman" w:eastAsia="宋体" w:cs="Times New Roman"/>
                      <w:color w:val="auto"/>
                      <w:szCs w:val="21"/>
                    </w:rPr>
                  </w:pPr>
                </w:p>
              </w:tc>
              <w:tc>
                <w:tcPr>
                  <w:tcW w:w="681" w:type="pct"/>
                  <w:tcBorders>
                    <w:top w:val="single" w:color="000000" w:sz="4" w:space="0"/>
                    <w:left w:val="single" w:color="000000" w:sz="4" w:space="0"/>
                    <w:bottom w:val="single" w:color="auto" w:sz="4" w:space="0"/>
                    <w:right w:val="single" w:color="000000" w:sz="4" w:space="0"/>
                  </w:tcBorders>
                  <w:vAlign w:val="center"/>
                </w:tcPr>
                <w:p w14:paraId="630EC56F">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印刷版暂存间</w:t>
                  </w:r>
                </w:p>
              </w:tc>
              <w:tc>
                <w:tcPr>
                  <w:tcW w:w="3867" w:type="pct"/>
                  <w:tcBorders>
                    <w:top w:val="single" w:color="000000" w:sz="4" w:space="0"/>
                    <w:left w:val="single" w:color="000000" w:sz="4" w:space="0"/>
                    <w:bottom w:val="single" w:color="auto" w:sz="4" w:space="0"/>
                    <w:right w:val="single" w:color="000000" w:sz="4" w:space="0"/>
                  </w:tcBorders>
                  <w:vAlign w:val="center"/>
                </w:tcPr>
                <w:p w14:paraId="25054E9B">
                  <w:pPr>
                    <w:pStyle w:val="32"/>
                    <w:keepNext w:val="0"/>
                    <w:keepLines w:val="0"/>
                    <w:pageBreakBefore w:val="0"/>
                    <w:widowControl/>
                    <w:kinsoku/>
                    <w:wordWrap/>
                    <w:overflowPunct/>
                    <w:topLinePunct w:val="0"/>
                    <w:bidi w:val="0"/>
                    <w:adjustRightInd w:val="0"/>
                    <w:snapToGrid w:val="0"/>
                    <w:spacing w:before="0" w:beforeLines="0" w:after="0" w:afterLines="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生产区南侧设置1间印刷版暂存间，主要用于暂存印刷版，占地面积为20㎡。</w:t>
                  </w:r>
                </w:p>
              </w:tc>
            </w:tr>
            <w:tr w14:paraId="421D1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451" w:type="pct"/>
                  <w:vMerge w:val="continue"/>
                  <w:tcBorders>
                    <w:left w:val="single" w:color="000000" w:sz="4" w:space="0"/>
                    <w:right w:val="single" w:color="000000" w:sz="4" w:space="0"/>
                  </w:tcBorders>
                  <w:vAlign w:val="center"/>
                </w:tcPr>
                <w:p w14:paraId="108EBB9A">
                  <w:pPr>
                    <w:snapToGrid w:val="0"/>
                    <w:jc w:val="center"/>
                    <w:rPr>
                      <w:rFonts w:hint="default" w:ascii="Times New Roman" w:hAnsi="Times New Roman" w:eastAsia="宋体" w:cs="Times New Roman"/>
                      <w:color w:val="auto"/>
                      <w:szCs w:val="21"/>
                    </w:rPr>
                  </w:pPr>
                </w:p>
              </w:tc>
              <w:tc>
                <w:tcPr>
                  <w:tcW w:w="681" w:type="pct"/>
                  <w:tcBorders>
                    <w:top w:val="single" w:color="000000" w:sz="4" w:space="0"/>
                    <w:left w:val="single" w:color="000000" w:sz="4" w:space="0"/>
                    <w:bottom w:val="single" w:color="auto" w:sz="4" w:space="0"/>
                    <w:right w:val="single" w:color="000000" w:sz="4" w:space="0"/>
                  </w:tcBorders>
                  <w:vAlign w:val="center"/>
                </w:tcPr>
                <w:p w14:paraId="383D0A1C">
                  <w:pPr>
                    <w:autoSpaceDE w:val="0"/>
                    <w:autoSpaceDN w:val="0"/>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成品</w:t>
                  </w:r>
                  <w:r>
                    <w:rPr>
                      <w:rFonts w:hint="default" w:ascii="Times New Roman" w:hAnsi="Times New Roman" w:eastAsia="宋体" w:cs="Times New Roman"/>
                      <w:color w:val="auto"/>
                      <w:szCs w:val="21"/>
                      <w:lang w:val="en-US" w:eastAsia="zh-CN"/>
                    </w:rPr>
                    <w:t>仓库</w:t>
                  </w:r>
                </w:p>
              </w:tc>
              <w:tc>
                <w:tcPr>
                  <w:tcW w:w="3867" w:type="pct"/>
                  <w:tcBorders>
                    <w:top w:val="single" w:color="000000" w:sz="4" w:space="0"/>
                    <w:left w:val="single" w:color="000000" w:sz="4" w:space="0"/>
                    <w:bottom w:val="single" w:color="auto" w:sz="4" w:space="0"/>
                    <w:right w:val="single" w:color="000000" w:sz="4" w:space="0"/>
                  </w:tcBorders>
                  <w:vAlign w:val="center"/>
                </w:tcPr>
                <w:p w14:paraId="3EFEBADD">
                  <w:pPr>
                    <w:pStyle w:val="32"/>
                    <w:keepNext w:val="0"/>
                    <w:keepLines w:val="0"/>
                    <w:pageBreakBefore w:val="0"/>
                    <w:widowControl/>
                    <w:kinsoku/>
                    <w:wordWrap/>
                    <w:overflowPunct/>
                    <w:topLinePunct w:val="0"/>
                    <w:bidi w:val="0"/>
                    <w:adjustRightInd w:val="0"/>
                    <w:snapToGrid w:val="0"/>
                    <w:spacing w:before="0" w:beforeLines="0" w:after="0" w:afterLines="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成品仓库占地面积为1491㎡，主要用于暂存合格纸箱。</w:t>
                  </w:r>
                </w:p>
              </w:tc>
            </w:tr>
            <w:tr w14:paraId="40534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451" w:type="pct"/>
                  <w:vMerge w:val="continue"/>
                  <w:tcBorders>
                    <w:left w:val="single" w:color="000000" w:sz="4" w:space="0"/>
                    <w:bottom w:val="single" w:color="auto" w:sz="4" w:space="0"/>
                    <w:right w:val="single" w:color="000000" w:sz="4" w:space="0"/>
                  </w:tcBorders>
                  <w:vAlign w:val="center"/>
                </w:tcPr>
                <w:p w14:paraId="6AC38CA1">
                  <w:pPr>
                    <w:snapToGrid w:val="0"/>
                    <w:jc w:val="center"/>
                    <w:rPr>
                      <w:rFonts w:hint="default" w:ascii="Times New Roman" w:hAnsi="Times New Roman" w:eastAsia="宋体" w:cs="Times New Roman"/>
                      <w:color w:val="auto"/>
                      <w:szCs w:val="21"/>
                    </w:rPr>
                  </w:pPr>
                </w:p>
              </w:tc>
              <w:tc>
                <w:tcPr>
                  <w:tcW w:w="681" w:type="pct"/>
                  <w:tcBorders>
                    <w:top w:val="single" w:color="000000" w:sz="4" w:space="0"/>
                    <w:left w:val="single" w:color="000000" w:sz="4" w:space="0"/>
                    <w:bottom w:val="single" w:color="auto" w:sz="4" w:space="0"/>
                    <w:right w:val="single" w:color="000000" w:sz="4" w:space="0"/>
                  </w:tcBorders>
                  <w:vAlign w:val="center"/>
                </w:tcPr>
                <w:p w14:paraId="3B1B3F7B">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油墨间</w:t>
                  </w:r>
                </w:p>
              </w:tc>
              <w:tc>
                <w:tcPr>
                  <w:tcW w:w="3867" w:type="pct"/>
                  <w:tcBorders>
                    <w:top w:val="single" w:color="000000" w:sz="4" w:space="0"/>
                    <w:left w:val="single" w:color="000000" w:sz="4" w:space="0"/>
                    <w:bottom w:val="single" w:color="auto" w:sz="4" w:space="0"/>
                    <w:right w:val="single" w:color="000000" w:sz="4" w:space="0"/>
                  </w:tcBorders>
                  <w:vAlign w:val="center"/>
                </w:tcPr>
                <w:p w14:paraId="25634B80">
                  <w:pPr>
                    <w:pStyle w:val="66"/>
                    <w:snapToGrid w:val="0"/>
                    <w:spacing w:before="71"/>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val="en-US" w:eastAsia="zh-CN"/>
                    </w:rPr>
                    <w:t>生产车间南侧</w:t>
                  </w:r>
                  <w:r>
                    <w:rPr>
                      <w:rFonts w:hint="default" w:ascii="Times New Roman" w:hAnsi="Times New Roman" w:eastAsia="宋体" w:cs="Times New Roman"/>
                      <w:color w:val="auto"/>
                      <w:sz w:val="21"/>
                      <w:szCs w:val="21"/>
                    </w:rPr>
                    <w:t>，占地面积为</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。分区暂存油墨、</w:t>
                  </w:r>
                  <w:r>
                    <w:rPr>
                      <w:rFonts w:hint="default" w:ascii="Times New Roman" w:hAnsi="Times New Roman" w:eastAsia="宋体" w:cs="Times New Roman"/>
                      <w:color w:val="auto"/>
                      <w:sz w:val="21"/>
                      <w:szCs w:val="21"/>
                      <w:lang w:eastAsia="zh-CN"/>
                    </w:rPr>
                    <w:t>乳胶，</w:t>
                  </w:r>
                  <w:r>
                    <w:rPr>
                      <w:rFonts w:hint="default" w:ascii="Times New Roman" w:hAnsi="Times New Roman" w:eastAsia="宋体" w:cs="Times New Roman"/>
                      <w:color w:val="auto"/>
                      <w:sz w:val="21"/>
                      <w:szCs w:val="21"/>
                      <w:lang w:val="en-US" w:eastAsia="zh-CN"/>
                    </w:rPr>
                    <w:t>项目不使用乙醇</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油墨间依托新兴仁恒原有的防渗工程，并且设置金属托盘盛放</w:t>
                  </w:r>
                  <w:r>
                    <w:rPr>
                      <w:rFonts w:hint="default" w:ascii="Times New Roman" w:hAnsi="Times New Roman" w:eastAsia="宋体" w:cs="Times New Roman"/>
                      <w:color w:val="auto"/>
                      <w:sz w:val="21"/>
                      <w:szCs w:val="21"/>
                    </w:rPr>
                    <w:t>。</w:t>
                  </w:r>
                </w:p>
              </w:tc>
            </w:tr>
            <w:tr w14:paraId="41AE9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 w:hRule="atLeast"/>
                <w:jc w:val="center"/>
              </w:trPr>
              <w:tc>
                <w:tcPr>
                  <w:tcW w:w="451" w:type="pct"/>
                  <w:vMerge w:val="restart"/>
                  <w:tcBorders>
                    <w:left w:val="single" w:color="000000" w:sz="4" w:space="0"/>
                    <w:right w:val="single" w:color="000000" w:sz="4" w:space="0"/>
                  </w:tcBorders>
                  <w:vAlign w:val="center"/>
                </w:tcPr>
                <w:p w14:paraId="598259A2">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辅助工程</w:t>
                  </w:r>
                </w:p>
              </w:tc>
              <w:tc>
                <w:tcPr>
                  <w:tcW w:w="681" w:type="pct"/>
                  <w:tcBorders>
                    <w:top w:val="single" w:color="000000" w:sz="4" w:space="0"/>
                    <w:left w:val="single" w:color="000000" w:sz="4" w:space="0"/>
                    <w:right w:val="single" w:color="000000" w:sz="4" w:space="0"/>
                  </w:tcBorders>
                  <w:vAlign w:val="center"/>
                </w:tcPr>
                <w:p w14:paraId="6FE03D45">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办公室</w:t>
                  </w:r>
                </w:p>
              </w:tc>
              <w:tc>
                <w:tcPr>
                  <w:tcW w:w="3867" w:type="pct"/>
                  <w:tcBorders>
                    <w:top w:val="single" w:color="000000" w:sz="4" w:space="0"/>
                    <w:left w:val="single" w:color="000000" w:sz="4" w:space="0"/>
                    <w:bottom w:val="single" w:color="auto" w:sz="4" w:space="0"/>
                    <w:right w:val="single" w:color="000000" w:sz="4" w:space="0"/>
                  </w:tcBorders>
                  <w:vAlign w:val="center"/>
                </w:tcPr>
                <w:p w14:paraId="62AA4EE3">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办公室租赁新兴仁恒第二办公区办公室三间，单间占地面积为20㎡，总占地面积为60㎡。</w:t>
                  </w:r>
                </w:p>
              </w:tc>
            </w:tr>
            <w:tr w14:paraId="16B36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451" w:type="pct"/>
                  <w:vMerge w:val="continue"/>
                  <w:tcBorders>
                    <w:left w:val="single" w:color="000000" w:sz="4" w:space="0"/>
                    <w:right w:val="single" w:color="000000" w:sz="4" w:space="0"/>
                  </w:tcBorders>
                  <w:vAlign w:val="center"/>
                </w:tcPr>
                <w:p w14:paraId="7C7B5A60">
                  <w:pPr>
                    <w:snapToGrid w:val="0"/>
                    <w:jc w:val="center"/>
                    <w:rPr>
                      <w:rFonts w:hint="default" w:ascii="Times New Roman" w:hAnsi="Times New Roman" w:eastAsia="宋体" w:cs="Times New Roman"/>
                      <w:color w:val="auto"/>
                      <w:szCs w:val="21"/>
                    </w:rPr>
                  </w:pPr>
                </w:p>
              </w:tc>
              <w:tc>
                <w:tcPr>
                  <w:tcW w:w="681" w:type="pct"/>
                  <w:tcBorders>
                    <w:top w:val="single" w:color="000000" w:sz="4" w:space="0"/>
                    <w:left w:val="single" w:color="000000" w:sz="4" w:space="0"/>
                    <w:bottom w:val="single" w:color="auto" w:sz="4" w:space="0"/>
                    <w:right w:val="single" w:color="000000" w:sz="4" w:space="0"/>
                  </w:tcBorders>
                  <w:vAlign w:val="center"/>
                </w:tcPr>
                <w:p w14:paraId="62184789">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综合室</w:t>
                  </w:r>
                </w:p>
              </w:tc>
              <w:tc>
                <w:tcPr>
                  <w:tcW w:w="3867" w:type="pct"/>
                  <w:tcBorders>
                    <w:top w:val="single" w:color="000000" w:sz="4" w:space="0"/>
                    <w:left w:val="single" w:color="000000" w:sz="4" w:space="0"/>
                    <w:bottom w:val="single" w:color="auto" w:sz="4" w:space="0"/>
                    <w:right w:val="single" w:color="000000" w:sz="4" w:space="0"/>
                  </w:tcBorders>
                  <w:vAlign w:val="center"/>
                </w:tcPr>
                <w:p w14:paraId="0FB5A677">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在生产区南侧设置一间综合室，用于员工记录生产进度、物料取用等资料。</w:t>
                  </w:r>
                </w:p>
              </w:tc>
            </w:tr>
            <w:tr w14:paraId="2B459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451" w:type="pct"/>
                  <w:vMerge w:val="continue"/>
                  <w:tcBorders>
                    <w:left w:val="single" w:color="000000" w:sz="4" w:space="0"/>
                    <w:bottom w:val="single" w:color="auto" w:sz="4" w:space="0"/>
                    <w:right w:val="single" w:color="000000" w:sz="4" w:space="0"/>
                  </w:tcBorders>
                  <w:vAlign w:val="center"/>
                </w:tcPr>
                <w:p w14:paraId="0142756D">
                  <w:pPr>
                    <w:snapToGrid w:val="0"/>
                    <w:jc w:val="center"/>
                    <w:rPr>
                      <w:rFonts w:hint="default" w:ascii="Times New Roman" w:hAnsi="Times New Roman" w:eastAsia="宋体" w:cs="Times New Roman"/>
                      <w:color w:val="auto"/>
                      <w:szCs w:val="21"/>
                    </w:rPr>
                  </w:pPr>
                </w:p>
              </w:tc>
              <w:tc>
                <w:tcPr>
                  <w:tcW w:w="681" w:type="pct"/>
                  <w:tcBorders>
                    <w:top w:val="single" w:color="auto" w:sz="4" w:space="0"/>
                    <w:left w:val="single" w:color="000000" w:sz="4" w:space="0"/>
                    <w:bottom w:val="single" w:color="auto" w:sz="4" w:space="0"/>
                    <w:right w:val="single" w:color="000000" w:sz="4" w:space="0"/>
                  </w:tcBorders>
                  <w:vAlign w:val="center"/>
                </w:tcPr>
                <w:p w14:paraId="1406C8BA">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卫生间</w:t>
                  </w:r>
                </w:p>
              </w:tc>
              <w:tc>
                <w:tcPr>
                  <w:tcW w:w="3867" w:type="pct"/>
                  <w:tcBorders>
                    <w:top w:val="single" w:color="auto" w:sz="4" w:space="0"/>
                    <w:left w:val="single" w:color="000000" w:sz="4" w:space="0"/>
                    <w:bottom w:val="single" w:color="auto" w:sz="4" w:space="0"/>
                    <w:right w:val="single" w:color="000000" w:sz="4" w:space="0"/>
                  </w:tcBorders>
                  <w:vAlign w:val="center"/>
                </w:tcPr>
                <w:p w14:paraId="00254ADC">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本项目依托新兴仁恒第二办公区卫生间，卫生间设置15m³化粪池，处理后的废水进入新兴仁恒40m³/d污水处理处理后回用于新兴仁恒厂内绿化。</w:t>
                  </w:r>
                </w:p>
              </w:tc>
            </w:tr>
            <w:tr w14:paraId="004BD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451" w:type="pct"/>
                  <w:vMerge w:val="restart"/>
                  <w:tcBorders>
                    <w:top w:val="single" w:color="auto" w:sz="4" w:space="0"/>
                    <w:left w:val="single" w:color="000000" w:sz="4" w:space="0"/>
                    <w:right w:val="single" w:color="000000" w:sz="4" w:space="0"/>
                  </w:tcBorders>
                  <w:vAlign w:val="center"/>
                </w:tcPr>
                <w:p w14:paraId="7BEB769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依托工程</w:t>
                  </w:r>
                </w:p>
              </w:tc>
              <w:tc>
                <w:tcPr>
                  <w:tcW w:w="681" w:type="pct"/>
                  <w:tcBorders>
                    <w:top w:val="single" w:color="auto" w:sz="4" w:space="0"/>
                    <w:left w:val="single" w:color="000000" w:sz="4" w:space="0"/>
                    <w:bottom w:val="single" w:color="auto" w:sz="4" w:space="0"/>
                    <w:right w:val="single" w:color="000000" w:sz="4" w:space="0"/>
                  </w:tcBorders>
                  <w:vAlign w:val="center"/>
                </w:tcPr>
                <w:p w14:paraId="0400877E">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w:t>
                  </w:r>
                </w:p>
              </w:tc>
              <w:tc>
                <w:tcPr>
                  <w:tcW w:w="3867" w:type="pct"/>
                  <w:tcBorders>
                    <w:top w:val="single" w:color="auto" w:sz="4" w:space="0"/>
                    <w:left w:val="single" w:color="000000" w:sz="4" w:space="0"/>
                    <w:bottom w:val="single" w:color="auto" w:sz="4" w:space="0"/>
                    <w:right w:val="single" w:color="000000" w:sz="4" w:space="0"/>
                  </w:tcBorders>
                  <w:vAlign w:val="center"/>
                </w:tcPr>
                <w:p w14:paraId="7534359F">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从</w:t>
                  </w:r>
                  <w:r>
                    <w:rPr>
                      <w:rFonts w:hint="default" w:ascii="Times New Roman" w:hAnsi="Times New Roman" w:eastAsia="宋体" w:cs="Times New Roman"/>
                      <w:color w:val="auto"/>
                      <w:sz w:val="21"/>
                      <w:szCs w:val="21"/>
                      <w:lang w:val="en-US" w:eastAsia="zh-CN"/>
                    </w:rPr>
                    <w:t>云南新兴仁恒包装材料有限公司</w:t>
                  </w:r>
                  <w:r>
                    <w:rPr>
                      <w:rFonts w:hint="default" w:ascii="Times New Roman" w:hAnsi="Times New Roman" w:eastAsia="宋体" w:cs="Times New Roman"/>
                      <w:color w:val="auto"/>
                      <w:szCs w:val="21"/>
                    </w:rPr>
                    <w:t>配电室</w:t>
                  </w:r>
                  <w:r>
                    <w:rPr>
                      <w:rFonts w:hint="default" w:ascii="Times New Roman" w:hAnsi="Times New Roman" w:eastAsia="宋体" w:cs="Times New Roman"/>
                      <w:color w:val="auto"/>
                      <w:szCs w:val="21"/>
                      <w:lang w:val="en-US" w:eastAsia="zh-CN"/>
                    </w:rPr>
                    <w:t>接线，</w:t>
                  </w:r>
                  <w:r>
                    <w:rPr>
                      <w:rFonts w:hint="default" w:ascii="Times New Roman" w:hAnsi="Times New Roman" w:eastAsia="宋体" w:cs="Times New Roman"/>
                      <w:color w:val="auto"/>
                      <w:szCs w:val="21"/>
                    </w:rPr>
                    <w:t>可满足企业需求。</w:t>
                  </w:r>
                </w:p>
              </w:tc>
            </w:tr>
            <w:tr w14:paraId="41CB0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451" w:type="pct"/>
                  <w:vMerge w:val="continue"/>
                  <w:tcBorders>
                    <w:left w:val="single" w:color="000000" w:sz="4" w:space="0"/>
                    <w:right w:val="single" w:color="000000" w:sz="4" w:space="0"/>
                  </w:tcBorders>
                  <w:vAlign w:val="center"/>
                </w:tcPr>
                <w:p w14:paraId="601E0A53">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tcBorders>
                    <w:top w:val="single" w:color="auto" w:sz="4" w:space="0"/>
                    <w:left w:val="single" w:color="000000" w:sz="4" w:space="0"/>
                    <w:bottom w:val="single" w:color="auto" w:sz="4" w:space="0"/>
                    <w:right w:val="single" w:color="000000" w:sz="4" w:space="0"/>
                  </w:tcBorders>
                  <w:vAlign w:val="center"/>
                </w:tcPr>
                <w:p w14:paraId="2D82381C">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供水</w:t>
                  </w:r>
                </w:p>
              </w:tc>
              <w:tc>
                <w:tcPr>
                  <w:tcW w:w="3867" w:type="pct"/>
                  <w:tcBorders>
                    <w:top w:val="single" w:color="auto" w:sz="4" w:space="0"/>
                    <w:left w:val="single" w:color="000000" w:sz="4" w:space="0"/>
                    <w:bottom w:val="single" w:color="auto" w:sz="4" w:space="0"/>
                    <w:right w:val="single" w:color="000000" w:sz="4" w:space="0"/>
                  </w:tcBorders>
                  <w:vAlign w:val="center"/>
                </w:tcPr>
                <w:p w14:paraId="529DB244">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w:t>
                  </w:r>
                  <w:r>
                    <w:rPr>
                      <w:rFonts w:hint="default" w:ascii="Times New Roman" w:hAnsi="Times New Roman" w:eastAsia="宋体" w:cs="Times New Roman"/>
                      <w:color w:val="auto"/>
                      <w:szCs w:val="21"/>
                      <w:lang w:val="en-US" w:eastAsia="zh-CN"/>
                    </w:rPr>
                    <w:t>现有市政</w:t>
                  </w:r>
                  <w:r>
                    <w:rPr>
                      <w:rFonts w:hint="default" w:ascii="Times New Roman" w:hAnsi="Times New Roman" w:eastAsia="宋体" w:cs="Times New Roman"/>
                      <w:color w:val="auto"/>
                      <w:szCs w:val="21"/>
                    </w:rPr>
                    <w:t>管网供水。</w:t>
                  </w:r>
                </w:p>
              </w:tc>
            </w:tr>
            <w:tr w14:paraId="3A320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451" w:type="pct"/>
                  <w:vMerge w:val="restart"/>
                  <w:tcBorders>
                    <w:left w:val="single" w:color="000000" w:sz="4" w:space="0"/>
                    <w:right w:val="single" w:color="000000" w:sz="4" w:space="0"/>
                  </w:tcBorders>
                  <w:vAlign w:val="center"/>
                </w:tcPr>
                <w:p w14:paraId="35BFFA4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681" w:type="pct"/>
                  <w:vMerge w:val="restart"/>
                  <w:tcBorders>
                    <w:top w:val="single" w:color="000000" w:sz="4" w:space="0"/>
                    <w:left w:val="single" w:color="000000" w:sz="4" w:space="0"/>
                    <w:right w:val="single" w:color="000000" w:sz="4" w:space="0"/>
                  </w:tcBorders>
                  <w:vAlign w:val="center"/>
                </w:tcPr>
                <w:p w14:paraId="36149C32">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废气处理工程</w:t>
                  </w:r>
                </w:p>
              </w:tc>
              <w:tc>
                <w:tcPr>
                  <w:tcW w:w="3867" w:type="pct"/>
                  <w:tcBorders>
                    <w:top w:val="single" w:color="000000" w:sz="4" w:space="0"/>
                    <w:left w:val="single" w:color="000000" w:sz="4" w:space="0"/>
                    <w:bottom w:val="single" w:color="auto" w:sz="4" w:space="0"/>
                    <w:right w:val="single" w:color="000000" w:sz="4" w:space="0"/>
                  </w:tcBorders>
                  <w:vAlign w:val="center"/>
                </w:tcPr>
                <w:p w14:paraId="063D36AB">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本项目印刷机产生的有机废气和油墨乳胶暂存间产生的有机废气通过1台新建的两级活性炭吸附装置（TA001）处理后通过1根15m高的排气筒（DA001）进行排放。</w:t>
                  </w:r>
                </w:p>
              </w:tc>
            </w:tr>
            <w:tr w14:paraId="2D058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jc w:val="center"/>
              </w:trPr>
              <w:tc>
                <w:tcPr>
                  <w:tcW w:w="451" w:type="pct"/>
                  <w:vMerge w:val="continue"/>
                  <w:tcBorders>
                    <w:left w:val="single" w:color="000000" w:sz="4" w:space="0"/>
                    <w:right w:val="single" w:color="000000" w:sz="4" w:space="0"/>
                  </w:tcBorders>
                  <w:vAlign w:val="center"/>
                </w:tcPr>
                <w:p w14:paraId="0C17E825">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vMerge w:val="continue"/>
                  <w:tcBorders>
                    <w:left w:val="single" w:color="000000" w:sz="4" w:space="0"/>
                    <w:right w:val="single" w:color="000000" w:sz="4" w:space="0"/>
                  </w:tcBorders>
                  <w:vAlign w:val="center"/>
                </w:tcPr>
                <w:p w14:paraId="75EF9123">
                  <w:pPr>
                    <w:snapToGrid w:val="0"/>
                    <w:jc w:val="center"/>
                    <w:rPr>
                      <w:rFonts w:hint="default" w:ascii="Times New Roman" w:hAnsi="Times New Roman" w:eastAsia="宋体" w:cs="Times New Roman"/>
                      <w:color w:val="auto"/>
                      <w:szCs w:val="21"/>
                    </w:rPr>
                  </w:pPr>
                </w:p>
              </w:tc>
              <w:tc>
                <w:tcPr>
                  <w:tcW w:w="3867" w:type="pct"/>
                  <w:tcBorders>
                    <w:top w:val="single" w:color="auto" w:sz="4" w:space="0"/>
                    <w:left w:val="single" w:color="000000" w:sz="4" w:space="0"/>
                    <w:bottom w:val="single" w:color="auto" w:sz="4" w:space="0"/>
                    <w:right w:val="single" w:color="000000" w:sz="4" w:space="0"/>
                  </w:tcBorders>
                  <w:vAlign w:val="center"/>
                </w:tcPr>
                <w:p w14:paraId="0B4D1D41">
                  <w:pPr>
                    <w:pStyle w:val="66"/>
                    <w:keepNext w:val="0"/>
                    <w:keepLines w:val="0"/>
                    <w:pageBreakBefore w:val="0"/>
                    <w:widowControl/>
                    <w:kinsoku/>
                    <w:wordWrap/>
                    <w:overflowPunct/>
                    <w:topLinePunct w:val="0"/>
                    <w:bidi w:val="0"/>
                    <w:adjustRightInd w:val="0"/>
                    <w:snapToGrid w:val="0"/>
                    <w:spacing w:before="0" w:line="240" w:lineRule="auto"/>
                    <w:ind w:firstLine="420" w:firstLineChars="200"/>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本项目在窗口设置排风扇，将未收集的无组织废气经车间排风扇以无组织的形式排出</w:t>
                  </w:r>
                </w:p>
              </w:tc>
            </w:tr>
            <w:tr w14:paraId="493DF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9" w:hRule="atLeast"/>
                <w:jc w:val="center"/>
              </w:trPr>
              <w:tc>
                <w:tcPr>
                  <w:tcW w:w="451" w:type="pct"/>
                  <w:vMerge w:val="continue"/>
                  <w:tcBorders>
                    <w:left w:val="single" w:color="000000" w:sz="4" w:space="0"/>
                    <w:right w:val="single" w:color="000000" w:sz="4" w:space="0"/>
                  </w:tcBorders>
                  <w:vAlign w:val="center"/>
                </w:tcPr>
                <w:p w14:paraId="145DEADD">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tcBorders>
                    <w:left w:val="single" w:color="000000" w:sz="4" w:space="0"/>
                    <w:right w:val="single" w:color="000000" w:sz="4" w:space="0"/>
                  </w:tcBorders>
                  <w:vAlign w:val="center"/>
                </w:tcPr>
                <w:p w14:paraId="40F46488">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废水治理工程</w:t>
                  </w:r>
                </w:p>
              </w:tc>
              <w:tc>
                <w:tcPr>
                  <w:tcW w:w="3867" w:type="pct"/>
                  <w:tcBorders>
                    <w:top w:val="single" w:color="auto" w:sz="4" w:space="0"/>
                    <w:left w:val="single" w:color="000000" w:sz="4" w:space="0"/>
                    <w:bottom w:val="single" w:color="auto" w:sz="4" w:space="0"/>
                    <w:right w:val="single" w:color="000000" w:sz="4" w:space="0"/>
                  </w:tcBorders>
                  <w:vAlign w:val="center"/>
                </w:tcPr>
                <w:p w14:paraId="43DAEC89">
                  <w:pPr>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印刷机和印版清洗产生的清洗废水通过车间内的1.3m³收集池收集后经新建的2m³/d清洗废水预处理设施（活性炭吸附+过滤）处理后和项目产生的生活污水及车间清洗废水一同进入新兴仁恒40m³/d污水处理站（A/O工艺）处理后回用于新兴仁恒厂区绿化、降尘</w:t>
                  </w:r>
                  <w:r>
                    <w:rPr>
                      <w:rFonts w:hint="default" w:ascii="Times New Roman" w:hAnsi="Times New Roman" w:eastAsia="宋体" w:cs="Times New Roman"/>
                      <w:color w:val="auto"/>
                      <w:szCs w:val="21"/>
                    </w:rPr>
                    <w:t>。</w:t>
                  </w:r>
                </w:p>
              </w:tc>
            </w:tr>
            <w:tr w14:paraId="2C526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451" w:type="pct"/>
                  <w:vMerge w:val="continue"/>
                  <w:tcBorders>
                    <w:left w:val="single" w:color="000000" w:sz="4" w:space="0"/>
                    <w:right w:val="single" w:color="000000" w:sz="4" w:space="0"/>
                  </w:tcBorders>
                  <w:vAlign w:val="center"/>
                </w:tcPr>
                <w:p w14:paraId="2AAAD4CD">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tcBorders>
                    <w:top w:val="single" w:color="000000" w:sz="4" w:space="0"/>
                    <w:left w:val="single" w:color="000000" w:sz="4" w:space="0"/>
                    <w:bottom w:val="single" w:color="000000" w:sz="4" w:space="0"/>
                    <w:right w:val="single" w:color="000000" w:sz="4" w:space="0"/>
                  </w:tcBorders>
                  <w:vAlign w:val="center"/>
                </w:tcPr>
                <w:p w14:paraId="2CA6BE16">
                  <w:pPr>
                    <w:pStyle w:val="7"/>
                    <w:snapToGrid w:val="0"/>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噪声治理工程</w:t>
                  </w:r>
                </w:p>
              </w:tc>
              <w:tc>
                <w:tcPr>
                  <w:tcW w:w="3867" w:type="pct"/>
                  <w:tcBorders>
                    <w:top w:val="single" w:color="000000" w:sz="4" w:space="0"/>
                    <w:left w:val="single" w:color="000000" w:sz="4" w:space="0"/>
                    <w:bottom w:val="single" w:color="000000" w:sz="4" w:space="0"/>
                    <w:right w:val="single" w:color="000000" w:sz="4" w:space="0"/>
                  </w:tcBorders>
                  <w:vAlign w:val="center"/>
                </w:tcPr>
                <w:p w14:paraId="33F8AF50">
                  <w:pPr>
                    <w:pStyle w:val="7"/>
                    <w:snapToGrid w:val="0"/>
                    <w:ind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采用厂房隔声、</w:t>
                  </w:r>
                  <w:r>
                    <w:rPr>
                      <w:rFonts w:hint="default" w:ascii="Times New Roman" w:hAnsi="Times New Roman" w:eastAsia="宋体" w:cs="Times New Roman"/>
                      <w:color w:val="auto"/>
                      <w:szCs w:val="21"/>
                      <w:lang w:val="en-US" w:eastAsia="zh-CN"/>
                    </w:rPr>
                    <w:t>基础</w:t>
                  </w:r>
                  <w:r>
                    <w:rPr>
                      <w:rFonts w:hint="default" w:ascii="Times New Roman" w:hAnsi="Times New Roman" w:eastAsia="宋体" w:cs="Times New Roman"/>
                      <w:color w:val="auto"/>
                      <w:szCs w:val="21"/>
                    </w:rPr>
                    <w:t>减震</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风机安装消声器</w:t>
                  </w:r>
                  <w:r>
                    <w:rPr>
                      <w:rFonts w:hint="default" w:ascii="Times New Roman" w:hAnsi="Times New Roman" w:eastAsia="宋体" w:cs="Times New Roman"/>
                      <w:color w:val="auto"/>
                      <w:szCs w:val="21"/>
                    </w:rPr>
                    <w:t>等措施。</w:t>
                  </w:r>
                </w:p>
              </w:tc>
            </w:tr>
            <w:tr w14:paraId="47A35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451" w:type="pct"/>
                  <w:vMerge w:val="continue"/>
                  <w:tcBorders>
                    <w:left w:val="single" w:color="000000" w:sz="4" w:space="0"/>
                    <w:right w:val="single" w:color="000000" w:sz="4" w:space="0"/>
                  </w:tcBorders>
                  <w:vAlign w:val="center"/>
                </w:tcPr>
                <w:p w14:paraId="1D46F8B6">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vMerge w:val="restart"/>
                  <w:tcBorders>
                    <w:top w:val="single" w:color="000000" w:sz="4" w:space="0"/>
                    <w:left w:val="single" w:color="000000" w:sz="4" w:space="0"/>
                    <w:right w:val="single" w:color="000000" w:sz="4" w:space="0"/>
                  </w:tcBorders>
                  <w:vAlign w:val="center"/>
                </w:tcPr>
                <w:p w14:paraId="1C272AA8">
                  <w:pPr>
                    <w:pStyle w:val="7"/>
                    <w:snapToGrid w:val="0"/>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固废处置工程</w:t>
                  </w:r>
                </w:p>
              </w:tc>
              <w:tc>
                <w:tcPr>
                  <w:tcW w:w="3867" w:type="pct"/>
                  <w:tcBorders>
                    <w:top w:val="single" w:color="000000" w:sz="4" w:space="0"/>
                    <w:left w:val="single" w:color="000000" w:sz="4" w:space="0"/>
                    <w:bottom w:val="single" w:color="auto" w:sz="4" w:space="0"/>
                    <w:right w:val="single" w:color="000000" w:sz="4" w:space="0"/>
                  </w:tcBorders>
                  <w:vAlign w:val="center"/>
                </w:tcPr>
                <w:p w14:paraId="272DA432">
                  <w:pPr>
                    <w:autoSpaceDE w:val="0"/>
                    <w:autoSpaceDN w:val="0"/>
                    <w:adjustRightInd w:val="0"/>
                    <w:ind w:firstLine="420" w:firstLineChars="200"/>
                    <w:jc w:val="left"/>
                    <w:rPr>
                      <w:rFonts w:hint="default" w:ascii="Times New Roman" w:hAnsi="Times New Roman" w:eastAsia="宋体" w:cs="Times New Roman"/>
                      <w:b/>
                      <w:color w:val="auto"/>
                      <w:szCs w:val="21"/>
                    </w:rPr>
                  </w:pPr>
                  <w:r>
                    <w:rPr>
                      <w:rFonts w:hint="default" w:ascii="Times New Roman" w:hAnsi="Times New Roman" w:eastAsia="宋体" w:cs="Times New Roman"/>
                      <w:color w:val="auto"/>
                      <w:sz w:val="21"/>
                      <w:szCs w:val="21"/>
                      <w:lang w:val="en-US" w:eastAsia="zh-CN"/>
                    </w:rPr>
                    <w:t>产品仓库西北角隔间作为一般工业固废暂存间，占地面积约30㎡，用于一般固废收集</w:t>
                  </w:r>
                  <w:r>
                    <w:rPr>
                      <w:rFonts w:hint="default" w:ascii="Times New Roman" w:hAnsi="Times New Roman" w:eastAsia="宋体" w:cs="Times New Roman"/>
                      <w:color w:val="auto"/>
                      <w:sz w:val="21"/>
                      <w:szCs w:val="21"/>
                    </w:rPr>
                    <w:t>后统一出售给物资回收公司回收利用</w:t>
                  </w:r>
                </w:p>
              </w:tc>
            </w:tr>
            <w:tr w14:paraId="4F6D4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451" w:type="pct"/>
                  <w:vMerge w:val="continue"/>
                  <w:tcBorders>
                    <w:left w:val="single" w:color="000000" w:sz="4" w:space="0"/>
                    <w:right w:val="single" w:color="000000" w:sz="4" w:space="0"/>
                  </w:tcBorders>
                  <w:vAlign w:val="center"/>
                </w:tcPr>
                <w:p w14:paraId="00CE9ECF">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vMerge w:val="continue"/>
                  <w:tcBorders>
                    <w:left w:val="single" w:color="000000" w:sz="4" w:space="0"/>
                    <w:right w:val="single" w:color="000000" w:sz="4" w:space="0"/>
                  </w:tcBorders>
                  <w:vAlign w:val="center"/>
                </w:tcPr>
                <w:p w14:paraId="37301D84">
                  <w:pPr>
                    <w:pStyle w:val="7"/>
                    <w:snapToGrid w:val="0"/>
                    <w:ind w:firstLine="0"/>
                    <w:jc w:val="center"/>
                    <w:rPr>
                      <w:rFonts w:hint="default" w:ascii="Times New Roman" w:hAnsi="Times New Roman" w:eastAsia="宋体" w:cs="Times New Roman"/>
                      <w:color w:val="auto"/>
                      <w:szCs w:val="21"/>
                    </w:rPr>
                  </w:pPr>
                </w:p>
              </w:tc>
              <w:tc>
                <w:tcPr>
                  <w:tcW w:w="3867" w:type="pct"/>
                  <w:tcBorders>
                    <w:top w:val="single" w:color="000000" w:sz="4" w:space="0"/>
                    <w:left w:val="single" w:color="000000" w:sz="4" w:space="0"/>
                    <w:bottom w:val="single" w:color="auto" w:sz="4" w:space="0"/>
                    <w:right w:val="single" w:color="000000" w:sz="4" w:space="0"/>
                  </w:tcBorders>
                  <w:vAlign w:val="center"/>
                </w:tcPr>
                <w:p w14:paraId="59630D0C">
                  <w:pPr>
                    <w:autoSpaceDE w:val="0"/>
                    <w:autoSpaceDN w:val="0"/>
                    <w:adjustRightIn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设置若干个生活垃圾收集桶（TS002），生活垃圾收集后，有园区的环卫部门进行清运处置。</w:t>
                  </w:r>
                </w:p>
              </w:tc>
            </w:tr>
            <w:tr w14:paraId="14A64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451" w:type="pct"/>
                  <w:vMerge w:val="continue"/>
                  <w:tcBorders>
                    <w:left w:val="single" w:color="000000" w:sz="4" w:space="0"/>
                    <w:right w:val="single" w:color="000000" w:sz="4" w:space="0"/>
                  </w:tcBorders>
                  <w:vAlign w:val="center"/>
                </w:tcPr>
                <w:p w14:paraId="7CDE65E0">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vMerge w:val="continue"/>
                  <w:tcBorders>
                    <w:left w:val="single" w:color="000000" w:sz="4" w:space="0"/>
                    <w:right w:val="single" w:color="000000" w:sz="4" w:space="0"/>
                  </w:tcBorders>
                  <w:vAlign w:val="center"/>
                </w:tcPr>
                <w:p w14:paraId="7199DECC">
                  <w:pPr>
                    <w:pStyle w:val="7"/>
                    <w:snapToGrid w:val="0"/>
                    <w:ind w:firstLine="0"/>
                    <w:jc w:val="center"/>
                    <w:rPr>
                      <w:rFonts w:hint="default" w:ascii="Times New Roman" w:hAnsi="Times New Roman" w:eastAsia="宋体" w:cs="Times New Roman"/>
                      <w:color w:val="auto"/>
                      <w:szCs w:val="21"/>
                    </w:rPr>
                  </w:pPr>
                </w:p>
              </w:tc>
              <w:tc>
                <w:tcPr>
                  <w:tcW w:w="3867" w:type="pct"/>
                  <w:tcBorders>
                    <w:top w:val="single" w:color="auto" w:sz="4" w:space="0"/>
                    <w:left w:val="single" w:color="000000" w:sz="4" w:space="0"/>
                    <w:bottom w:val="single" w:color="auto" w:sz="4" w:space="0"/>
                    <w:right w:val="single" w:color="000000" w:sz="4" w:space="0"/>
                  </w:tcBorders>
                  <w:vAlign w:val="center"/>
                </w:tcPr>
                <w:p w14:paraId="75FB6759">
                  <w:pPr>
                    <w:autoSpaceDE w:val="0"/>
                    <w:autoSpaceDN w:val="0"/>
                    <w:adjustRightInd w:val="0"/>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项目在油墨暂存间内单独设置1个5㎡的独立房间作为危废暂存间，危废暂存间地面采用环氧树脂进行防渗处理，防渗能力可满足</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sz w:val="21"/>
                      <w:szCs w:val="21"/>
                      <w:lang w:val="en-US" w:eastAsia="zh-CN"/>
                    </w:rPr>
                    <w:t>要求</w:t>
                  </w:r>
                  <w:r>
                    <w:rPr>
                      <w:rFonts w:hint="default" w:ascii="Times New Roman" w:hAnsi="Times New Roman" w:eastAsia="宋体" w:cs="Times New Roman"/>
                      <w:color w:val="auto"/>
                      <w:szCs w:val="21"/>
                    </w:rPr>
                    <w:t>。</w:t>
                  </w:r>
                </w:p>
              </w:tc>
            </w:tr>
            <w:tr w14:paraId="130A6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451" w:type="pct"/>
                  <w:vMerge w:val="restart"/>
                  <w:tcBorders>
                    <w:left w:val="single" w:color="000000" w:sz="4" w:space="0"/>
                    <w:right w:val="single" w:color="000000" w:sz="4" w:space="0"/>
                  </w:tcBorders>
                  <w:vAlign w:val="center"/>
                </w:tcPr>
                <w:p w14:paraId="5B727633">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消防工程</w:t>
                  </w:r>
                </w:p>
              </w:tc>
              <w:tc>
                <w:tcPr>
                  <w:tcW w:w="681" w:type="pct"/>
                  <w:tcBorders>
                    <w:left w:val="single" w:color="000000" w:sz="4" w:space="0"/>
                    <w:bottom w:val="single" w:color="auto" w:sz="4" w:space="0"/>
                    <w:right w:val="single" w:color="000000" w:sz="4" w:space="0"/>
                  </w:tcBorders>
                  <w:vAlign w:val="center"/>
                </w:tcPr>
                <w:p w14:paraId="3322B944">
                  <w:pPr>
                    <w:pStyle w:val="7"/>
                    <w:snapToGrid w:val="0"/>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消防栓及消防水袋</w:t>
                  </w:r>
                </w:p>
              </w:tc>
              <w:tc>
                <w:tcPr>
                  <w:tcW w:w="3867" w:type="pct"/>
                  <w:tcBorders>
                    <w:top w:val="single" w:color="auto" w:sz="4" w:space="0"/>
                    <w:left w:val="single" w:color="000000" w:sz="4" w:space="0"/>
                    <w:bottom w:val="single" w:color="auto" w:sz="4" w:space="0"/>
                    <w:right w:val="single" w:color="000000" w:sz="4" w:space="0"/>
                  </w:tcBorders>
                  <w:vAlign w:val="center"/>
                </w:tcPr>
                <w:p w14:paraId="211C750A">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依托厂房内</w:t>
                  </w:r>
                  <w:r>
                    <w:rPr>
                      <w:rFonts w:hint="default" w:ascii="Times New Roman" w:hAnsi="Times New Roman" w:eastAsia="宋体" w:cs="Times New Roman"/>
                      <w:color w:val="auto"/>
                      <w:sz w:val="21"/>
                      <w:szCs w:val="21"/>
                      <w:lang w:val="en-US" w:eastAsia="zh-CN"/>
                    </w:rPr>
                    <w:t>已有的</w:t>
                  </w:r>
                  <w:r>
                    <w:rPr>
                      <w:rFonts w:hint="default" w:ascii="Times New Roman" w:hAnsi="Times New Roman" w:eastAsia="宋体" w:cs="Times New Roman"/>
                      <w:color w:val="auto"/>
                      <w:sz w:val="21"/>
                      <w:szCs w:val="21"/>
                    </w:rPr>
                    <w:t>消防栓和消防水带。</w:t>
                  </w:r>
                </w:p>
              </w:tc>
            </w:tr>
            <w:tr w14:paraId="18286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451" w:type="pct"/>
                  <w:vMerge w:val="continue"/>
                  <w:tcBorders>
                    <w:left w:val="single" w:color="000000" w:sz="4" w:space="0"/>
                    <w:right w:val="single" w:color="000000" w:sz="4" w:space="0"/>
                  </w:tcBorders>
                  <w:vAlign w:val="center"/>
                </w:tcPr>
                <w:p w14:paraId="13731E79">
                  <w:pPr>
                    <w:autoSpaceDE w:val="0"/>
                    <w:autoSpaceDN w:val="0"/>
                    <w:adjustRightInd w:val="0"/>
                    <w:snapToGrid w:val="0"/>
                    <w:jc w:val="center"/>
                    <w:rPr>
                      <w:rFonts w:hint="default" w:ascii="Times New Roman" w:hAnsi="Times New Roman" w:eastAsia="宋体" w:cs="Times New Roman"/>
                      <w:color w:val="auto"/>
                      <w:szCs w:val="21"/>
                    </w:rPr>
                  </w:pPr>
                </w:p>
              </w:tc>
              <w:tc>
                <w:tcPr>
                  <w:tcW w:w="681" w:type="pct"/>
                  <w:tcBorders>
                    <w:top w:val="single" w:color="auto" w:sz="4" w:space="0"/>
                    <w:left w:val="single" w:color="000000" w:sz="4" w:space="0"/>
                    <w:bottom w:val="single" w:color="000000" w:sz="4" w:space="0"/>
                    <w:right w:val="single" w:color="000000" w:sz="4" w:space="0"/>
                  </w:tcBorders>
                  <w:vAlign w:val="center"/>
                </w:tcPr>
                <w:p w14:paraId="3C3148E4">
                  <w:pPr>
                    <w:pStyle w:val="7"/>
                    <w:snapToGrid w:val="0"/>
                    <w:ind w:firstLine="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灭火器</w:t>
                  </w:r>
                </w:p>
              </w:tc>
              <w:tc>
                <w:tcPr>
                  <w:tcW w:w="3867" w:type="pct"/>
                  <w:tcBorders>
                    <w:top w:val="single" w:color="auto" w:sz="4" w:space="0"/>
                    <w:left w:val="single" w:color="000000" w:sz="4" w:space="0"/>
                    <w:bottom w:val="single" w:color="000000" w:sz="4" w:space="0"/>
                    <w:right w:val="single" w:color="000000" w:sz="4" w:space="0"/>
                  </w:tcBorders>
                  <w:vAlign w:val="center"/>
                </w:tcPr>
                <w:p w14:paraId="6743F434">
                  <w:pPr>
                    <w:keepNext w:val="0"/>
                    <w:keepLines w:val="0"/>
                    <w:pageBreakBefore w:val="0"/>
                    <w:widowControl/>
                    <w:kinsoku/>
                    <w:wordWrap/>
                    <w:overflowPunct/>
                    <w:topLinePunct w:val="0"/>
                    <w:autoSpaceDE w:val="0"/>
                    <w:autoSpaceDN w:val="0"/>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项目厂区内设置干粉灭火器，</w:t>
                  </w:r>
                  <w:r>
                    <w:rPr>
                      <w:rFonts w:hint="default" w:ascii="Times New Roman" w:hAnsi="Times New Roman" w:eastAsia="宋体" w:cs="Times New Roman"/>
                      <w:color w:val="auto"/>
                      <w:sz w:val="21"/>
                      <w:szCs w:val="21"/>
                      <w:lang w:val="en-US" w:eastAsia="zh-CN"/>
                    </w:rPr>
                    <w:t>油墨乳胶</w:t>
                  </w:r>
                  <w:r>
                    <w:rPr>
                      <w:rFonts w:hint="default" w:ascii="Times New Roman" w:hAnsi="Times New Roman" w:eastAsia="宋体" w:cs="Times New Roman"/>
                      <w:color w:val="auto"/>
                      <w:sz w:val="21"/>
                      <w:szCs w:val="21"/>
                    </w:rPr>
                    <w:t>暂存间设置泡沫灭火器。</w:t>
                  </w:r>
                </w:p>
              </w:tc>
            </w:tr>
          </w:tbl>
          <w:p w14:paraId="219B6AB5">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2.1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 xml:space="preserve">.2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color w:val="auto"/>
                <w:lang w:val="en-US" w:eastAsia="zh-CN"/>
              </w:rPr>
              <w:t>产品方案</w:t>
            </w:r>
          </w:p>
          <w:p w14:paraId="62595F0B">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年产400</w:t>
            </w:r>
            <w:r>
              <w:rPr>
                <w:rFonts w:hint="default" w:ascii="Times New Roman" w:hAnsi="Times New Roman" w:eastAsia="宋体" w:cs="Times New Roman"/>
                <w:color w:val="auto"/>
                <w:sz w:val="21"/>
                <w:szCs w:val="21"/>
              </w:rPr>
              <w:t>万支纸箱</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其中粘箱300万支，钉箱100万只</w:t>
            </w:r>
            <w:r>
              <w:rPr>
                <w:rFonts w:hint="default" w:ascii="Times New Roman" w:hAnsi="Times New Roman" w:eastAsia="宋体" w:cs="Times New Roman"/>
                <w:color w:val="auto"/>
                <w:lang w:val="en-US" w:eastAsia="zh-CN"/>
              </w:rPr>
              <w:t>。</w:t>
            </w:r>
          </w:p>
          <w:p w14:paraId="35B91A3F">
            <w:pPr>
              <w:widowControl w:val="0"/>
              <w:bidi w:val="0"/>
              <w:spacing w:line="360" w:lineRule="auto"/>
              <w:ind w:firstLine="0" w:firstLineChars="0"/>
              <w:jc w:val="left"/>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2.18.3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color w:val="auto"/>
                <w:kern w:val="2"/>
                <w:sz w:val="21"/>
                <w:szCs w:val="21"/>
                <w:lang w:val="en-US" w:eastAsia="zh-CN" w:bidi="ar-SA"/>
              </w:rPr>
              <w:t>主要生产设备</w:t>
            </w:r>
          </w:p>
          <w:p w14:paraId="02057F0A">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根据原有项目环评和验收资料，主要生产设备见下表。</w:t>
            </w:r>
          </w:p>
          <w:p w14:paraId="6E253242">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表2-18-2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主要生产设备一览表</w:t>
            </w:r>
          </w:p>
          <w:tbl>
            <w:tblPr>
              <w:tblStyle w:val="26"/>
              <w:tblW w:w="8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500"/>
              <w:gridCol w:w="1569"/>
              <w:gridCol w:w="3991"/>
              <w:gridCol w:w="1165"/>
            </w:tblGrid>
            <w:tr w14:paraId="7F95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914" w:type="dxa"/>
                  <w:vAlign w:val="center"/>
                </w:tcPr>
                <w:p w14:paraId="6F01BF0F">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主要生产单元</w:t>
                  </w:r>
                </w:p>
              </w:tc>
              <w:tc>
                <w:tcPr>
                  <w:tcW w:w="2069" w:type="dxa"/>
                  <w:gridSpan w:val="2"/>
                  <w:vAlign w:val="center"/>
                </w:tcPr>
                <w:p w14:paraId="7B1775D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主要工艺</w:t>
                  </w:r>
                </w:p>
              </w:tc>
              <w:tc>
                <w:tcPr>
                  <w:tcW w:w="3991" w:type="dxa"/>
                  <w:vAlign w:val="center"/>
                </w:tcPr>
                <w:p w14:paraId="2C5B1BC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生产设施</w:t>
                  </w:r>
                </w:p>
              </w:tc>
              <w:tc>
                <w:tcPr>
                  <w:tcW w:w="1165" w:type="dxa"/>
                  <w:vAlign w:val="center"/>
                </w:tcPr>
                <w:p w14:paraId="6DD43A6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数量（台、套、个）</w:t>
                  </w:r>
                </w:p>
              </w:tc>
            </w:tr>
            <w:tr w14:paraId="1F05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914" w:type="dxa"/>
                  <w:vMerge w:val="restart"/>
                  <w:vAlign w:val="center"/>
                </w:tcPr>
                <w:p w14:paraId="486C824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纸箱生产线</w:t>
                  </w:r>
                </w:p>
              </w:tc>
              <w:tc>
                <w:tcPr>
                  <w:tcW w:w="2069" w:type="dxa"/>
                  <w:gridSpan w:val="2"/>
                  <w:shd w:val="clear" w:color="auto" w:fill="auto"/>
                  <w:vAlign w:val="center"/>
                </w:tcPr>
                <w:p w14:paraId="679FCC5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分纸</w:t>
                  </w:r>
                </w:p>
              </w:tc>
              <w:tc>
                <w:tcPr>
                  <w:tcW w:w="3991" w:type="dxa"/>
                  <w:shd w:val="clear" w:color="auto" w:fill="auto"/>
                  <w:vAlign w:val="center"/>
                </w:tcPr>
                <w:p w14:paraId="5D63E69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碰线机</w:t>
                  </w:r>
                </w:p>
              </w:tc>
              <w:tc>
                <w:tcPr>
                  <w:tcW w:w="1165" w:type="dxa"/>
                  <w:shd w:val="clear" w:color="auto" w:fill="auto"/>
                  <w:vAlign w:val="center"/>
                </w:tcPr>
                <w:p w14:paraId="1E9F966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未建设</w:t>
                  </w:r>
                </w:p>
              </w:tc>
            </w:tr>
            <w:tr w14:paraId="47C8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630A739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069" w:type="dxa"/>
                  <w:gridSpan w:val="2"/>
                  <w:vAlign w:val="center"/>
                </w:tcPr>
                <w:p w14:paraId="1795460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印刷模切</w:t>
                  </w:r>
                </w:p>
              </w:tc>
              <w:tc>
                <w:tcPr>
                  <w:tcW w:w="3991" w:type="dxa"/>
                  <w:vAlign w:val="center"/>
                </w:tcPr>
                <w:p w14:paraId="2B57481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高速</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色</w:t>
                  </w:r>
                  <w:r>
                    <w:rPr>
                      <w:rFonts w:hint="default" w:ascii="Times New Roman" w:hAnsi="Times New Roman" w:eastAsia="宋体" w:cs="Times New Roman"/>
                      <w:bCs/>
                      <w:color w:val="auto"/>
                      <w:sz w:val="21"/>
                      <w:szCs w:val="21"/>
                      <w:lang w:val="en-US" w:eastAsia="zh-CN"/>
                    </w:rPr>
                    <w:t>印刷模切开槽机</w:t>
                  </w:r>
                </w:p>
              </w:tc>
              <w:tc>
                <w:tcPr>
                  <w:tcW w:w="1165" w:type="dxa"/>
                  <w:vAlign w:val="center"/>
                </w:tcPr>
                <w:p w14:paraId="7CD1D65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439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2A8DEBF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069" w:type="dxa"/>
                  <w:gridSpan w:val="2"/>
                  <w:vAlign w:val="center"/>
                </w:tcPr>
                <w:p w14:paraId="2945469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钉</w:t>
                  </w:r>
                  <w:r>
                    <w:rPr>
                      <w:rFonts w:hint="default" w:ascii="Times New Roman" w:hAnsi="Times New Roman" w:eastAsia="宋体" w:cs="Times New Roman"/>
                      <w:color w:val="auto"/>
                      <w:szCs w:val="21"/>
                      <w:lang w:val="en-US" w:eastAsia="zh-CN"/>
                    </w:rPr>
                    <w:t>箱</w:t>
                  </w:r>
                </w:p>
              </w:tc>
              <w:tc>
                <w:tcPr>
                  <w:tcW w:w="3991" w:type="dxa"/>
                  <w:vAlign w:val="center"/>
                </w:tcPr>
                <w:p w14:paraId="68FED7E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双伺服钉箱机</w:t>
                  </w:r>
                </w:p>
              </w:tc>
              <w:tc>
                <w:tcPr>
                  <w:tcW w:w="1165" w:type="dxa"/>
                  <w:vAlign w:val="center"/>
                </w:tcPr>
                <w:p w14:paraId="439D2BDF">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r>
            <w:tr w14:paraId="0307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1497950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069" w:type="dxa"/>
                  <w:gridSpan w:val="2"/>
                  <w:vAlign w:val="center"/>
                </w:tcPr>
                <w:p w14:paraId="31345F3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粘箱</w:t>
                  </w:r>
                </w:p>
              </w:tc>
              <w:tc>
                <w:tcPr>
                  <w:tcW w:w="3991" w:type="dxa"/>
                  <w:vAlign w:val="center"/>
                </w:tcPr>
                <w:p w14:paraId="7F1FB38C">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全自动</w:t>
                  </w:r>
                  <w:r>
                    <w:rPr>
                      <w:rFonts w:hint="default" w:ascii="Times New Roman" w:hAnsi="Times New Roman" w:eastAsia="宋体" w:cs="Times New Roman"/>
                      <w:color w:val="auto"/>
                      <w:szCs w:val="21"/>
                      <w:lang w:val="en-US" w:eastAsia="zh-CN"/>
                    </w:rPr>
                    <w:t>粘箱</w:t>
                  </w:r>
                  <w:r>
                    <w:rPr>
                      <w:rFonts w:hint="default" w:ascii="Times New Roman" w:hAnsi="Times New Roman" w:eastAsia="宋体" w:cs="Times New Roman"/>
                      <w:color w:val="auto"/>
                      <w:szCs w:val="21"/>
                    </w:rPr>
                    <w:t>机</w:t>
                  </w:r>
                </w:p>
              </w:tc>
              <w:tc>
                <w:tcPr>
                  <w:tcW w:w="1165" w:type="dxa"/>
                  <w:vAlign w:val="center"/>
                </w:tcPr>
                <w:p w14:paraId="65919AB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496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restart"/>
                  <w:vAlign w:val="center"/>
                </w:tcPr>
                <w:p w14:paraId="3A66DB2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辅助单元</w:t>
                  </w:r>
                </w:p>
              </w:tc>
              <w:tc>
                <w:tcPr>
                  <w:tcW w:w="2069" w:type="dxa"/>
                  <w:gridSpan w:val="2"/>
                  <w:vMerge w:val="restart"/>
                  <w:vAlign w:val="center"/>
                </w:tcPr>
                <w:p w14:paraId="546261A1">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装卸</w:t>
                  </w:r>
                </w:p>
              </w:tc>
              <w:tc>
                <w:tcPr>
                  <w:tcW w:w="3991" w:type="dxa"/>
                  <w:vAlign w:val="center"/>
                </w:tcPr>
                <w:p w14:paraId="4D3A612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叉车</w:t>
                  </w:r>
                </w:p>
              </w:tc>
              <w:tc>
                <w:tcPr>
                  <w:tcW w:w="1165" w:type="dxa"/>
                  <w:vAlign w:val="center"/>
                </w:tcPr>
                <w:p w14:paraId="16B9350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5757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914" w:type="dxa"/>
                  <w:vMerge w:val="continue"/>
                  <w:vAlign w:val="center"/>
                </w:tcPr>
                <w:p w14:paraId="4E8E0A0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069" w:type="dxa"/>
                  <w:gridSpan w:val="2"/>
                  <w:vMerge w:val="continue"/>
                  <w:vAlign w:val="center"/>
                </w:tcPr>
                <w:p w14:paraId="25233314">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3991" w:type="dxa"/>
                  <w:vAlign w:val="center"/>
                </w:tcPr>
                <w:p w14:paraId="575CF76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抱车</w:t>
                  </w:r>
                </w:p>
              </w:tc>
              <w:tc>
                <w:tcPr>
                  <w:tcW w:w="1165" w:type="dxa"/>
                  <w:vAlign w:val="center"/>
                </w:tcPr>
                <w:p w14:paraId="048F092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729A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restart"/>
                  <w:vAlign w:val="center"/>
                </w:tcPr>
                <w:p w14:paraId="3FC1B80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环保设施</w:t>
                  </w:r>
                </w:p>
              </w:tc>
              <w:tc>
                <w:tcPr>
                  <w:tcW w:w="500" w:type="dxa"/>
                  <w:vAlign w:val="center"/>
                </w:tcPr>
                <w:p w14:paraId="4452A46F">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569" w:type="dxa"/>
                  <w:vAlign w:val="center"/>
                </w:tcPr>
                <w:p w14:paraId="55AC89D3">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有机废气</w:t>
                  </w:r>
                </w:p>
              </w:tc>
              <w:tc>
                <w:tcPr>
                  <w:tcW w:w="3991" w:type="dxa"/>
                  <w:vAlign w:val="center"/>
                </w:tcPr>
                <w:p w14:paraId="0ED78C67">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集气罩</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隔断间+“</w:t>
                  </w:r>
                  <w:r>
                    <w:rPr>
                      <w:rFonts w:hint="default" w:ascii="Times New Roman" w:hAnsi="Times New Roman" w:eastAsia="宋体" w:cs="Times New Roman"/>
                      <w:color w:val="auto"/>
                      <w:kern w:val="0"/>
                      <w:sz w:val="21"/>
                      <w:szCs w:val="21"/>
                      <w:lang w:eastAsia="zh-CN"/>
                    </w:rPr>
                    <w:t>两级活性炭</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5m排气筒</w:t>
                  </w:r>
                </w:p>
              </w:tc>
              <w:tc>
                <w:tcPr>
                  <w:tcW w:w="1165" w:type="dxa"/>
                  <w:vAlign w:val="center"/>
                </w:tcPr>
                <w:p w14:paraId="63B3955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442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1651C38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2069" w:type="dxa"/>
                  <w:gridSpan w:val="2"/>
                  <w:vAlign w:val="center"/>
                </w:tcPr>
                <w:p w14:paraId="772BF99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3991" w:type="dxa"/>
                  <w:vAlign w:val="center"/>
                </w:tcPr>
                <w:p w14:paraId="5F0F5EBE">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减震垫、厂房隔声、风机安装消声器，等降噪措施</w:t>
                  </w:r>
                </w:p>
              </w:tc>
              <w:tc>
                <w:tcPr>
                  <w:tcW w:w="1165" w:type="dxa"/>
                  <w:vAlign w:val="center"/>
                </w:tcPr>
                <w:p w14:paraId="3724559A">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D05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14" w:type="dxa"/>
                  <w:vMerge w:val="continue"/>
                  <w:vAlign w:val="center"/>
                </w:tcPr>
                <w:p w14:paraId="6842A02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restart"/>
                  <w:vAlign w:val="center"/>
                </w:tcPr>
                <w:p w14:paraId="45C16E34">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1569" w:type="dxa"/>
                  <w:vAlign w:val="center"/>
                </w:tcPr>
                <w:p w14:paraId="44D2AC13">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化粪池</w:t>
                  </w:r>
                </w:p>
              </w:tc>
              <w:tc>
                <w:tcPr>
                  <w:tcW w:w="3991" w:type="dxa"/>
                  <w:vAlign w:val="center"/>
                </w:tcPr>
                <w:p w14:paraId="0DDC8FC8">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m³化粪池</w:t>
                  </w:r>
                  <w:r>
                    <w:rPr>
                      <w:rFonts w:hint="default" w:ascii="Times New Roman" w:hAnsi="Times New Roman" w:eastAsia="宋体" w:cs="Times New Roman"/>
                      <w:bCs/>
                      <w:color w:val="auto"/>
                    </w:rPr>
                    <w:t>（TW001）</w:t>
                  </w:r>
                </w:p>
              </w:tc>
              <w:tc>
                <w:tcPr>
                  <w:tcW w:w="1165" w:type="dxa"/>
                  <w:vAlign w:val="center"/>
                </w:tcPr>
                <w:p w14:paraId="716C1B30">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125C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14" w:type="dxa"/>
                  <w:vMerge w:val="continue"/>
                  <w:vAlign w:val="center"/>
                </w:tcPr>
                <w:p w14:paraId="05C5F9E6">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5C9AD888">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1569" w:type="dxa"/>
                  <w:vAlign w:val="center"/>
                </w:tcPr>
                <w:p w14:paraId="7E7F92B0">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生产废水预处理</w:t>
                  </w:r>
                </w:p>
              </w:tc>
              <w:tc>
                <w:tcPr>
                  <w:tcW w:w="3991" w:type="dxa"/>
                  <w:vAlign w:val="center"/>
                </w:tcPr>
                <w:p w14:paraId="5A15F40D">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1.3m³收集池收集+</w:t>
                  </w:r>
                  <w:r>
                    <w:rPr>
                      <w:rFonts w:hint="default" w:ascii="Times New Roman" w:hAnsi="Times New Roman" w:eastAsia="宋体" w:cs="Times New Roman"/>
                      <w:color w:val="auto"/>
                      <w:lang w:val="en-US" w:eastAsia="zh-CN"/>
                    </w:rPr>
                    <w:t>2m³/d</w:t>
                  </w:r>
                  <w:r>
                    <w:rPr>
                      <w:rFonts w:hint="default" w:ascii="Times New Roman" w:hAnsi="Times New Roman" w:eastAsia="宋体" w:cs="Times New Roman"/>
                      <w:color w:val="auto"/>
                      <w:sz w:val="21"/>
                      <w:szCs w:val="21"/>
                      <w:lang w:val="en-US" w:eastAsia="zh-CN"/>
                    </w:rPr>
                    <w:t>清洗废水预处理设施（活性炭吸附+过滤）</w:t>
                  </w:r>
                </w:p>
              </w:tc>
              <w:tc>
                <w:tcPr>
                  <w:tcW w:w="1165" w:type="dxa"/>
                  <w:vAlign w:val="center"/>
                </w:tcPr>
                <w:p w14:paraId="56E31C8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14:paraId="4CD5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14" w:type="dxa"/>
                  <w:vMerge w:val="continue"/>
                  <w:vAlign w:val="center"/>
                </w:tcPr>
                <w:p w14:paraId="39886972">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24562EA5">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1569" w:type="dxa"/>
                  <w:vAlign w:val="center"/>
                </w:tcPr>
                <w:p w14:paraId="40B03D6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污水处理</w:t>
                  </w:r>
                </w:p>
              </w:tc>
              <w:tc>
                <w:tcPr>
                  <w:tcW w:w="3991" w:type="dxa"/>
                  <w:vAlign w:val="center"/>
                </w:tcPr>
                <w:p w14:paraId="5F7C4014">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40m³/d污水处理站（A/O工艺）</w:t>
                  </w:r>
                </w:p>
              </w:tc>
              <w:tc>
                <w:tcPr>
                  <w:tcW w:w="1165" w:type="dxa"/>
                  <w:vAlign w:val="center"/>
                </w:tcPr>
                <w:p w14:paraId="0E69A9E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14:paraId="3847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252EEEB5">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restart"/>
                  <w:vAlign w:val="center"/>
                </w:tcPr>
                <w:p w14:paraId="4C9F51F3">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569" w:type="dxa"/>
                  <w:vAlign w:val="center"/>
                </w:tcPr>
                <w:p w14:paraId="2118B1E4">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3991" w:type="dxa"/>
                  <w:vAlign w:val="center"/>
                </w:tcPr>
                <w:p w14:paraId="1259FB81">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垃圾桶（TS002）</w:t>
                  </w:r>
                </w:p>
              </w:tc>
              <w:tc>
                <w:tcPr>
                  <w:tcW w:w="1165" w:type="dxa"/>
                  <w:vAlign w:val="center"/>
                </w:tcPr>
                <w:p w14:paraId="3AD035F8">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rPr>
                    <w:t>若干</w:t>
                  </w:r>
                </w:p>
              </w:tc>
            </w:tr>
            <w:tr w14:paraId="33FB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2CB4352E">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226D4E57">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1569" w:type="dxa"/>
                  <w:vAlign w:val="center"/>
                </w:tcPr>
                <w:p w14:paraId="10F7CCA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一般工业固废</w:t>
                  </w:r>
                </w:p>
              </w:tc>
              <w:tc>
                <w:tcPr>
                  <w:tcW w:w="3991" w:type="dxa"/>
                  <w:vAlign w:val="center"/>
                </w:tcPr>
                <w:p w14:paraId="0A1AA0F2">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50㎡的一般固废暂存间（TS001）</w:t>
                  </w:r>
                </w:p>
              </w:tc>
              <w:tc>
                <w:tcPr>
                  <w:tcW w:w="1165" w:type="dxa"/>
                  <w:vAlign w:val="center"/>
                </w:tcPr>
                <w:p w14:paraId="42B4462C">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r>
            <w:tr w14:paraId="4F06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14" w:type="dxa"/>
                  <w:vMerge w:val="continue"/>
                  <w:vAlign w:val="center"/>
                </w:tcPr>
                <w:p w14:paraId="710199D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p>
              </w:tc>
              <w:tc>
                <w:tcPr>
                  <w:tcW w:w="500" w:type="dxa"/>
                  <w:vMerge w:val="continue"/>
                  <w:vAlign w:val="center"/>
                </w:tcPr>
                <w:p w14:paraId="21E6A01B">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p>
              </w:tc>
              <w:tc>
                <w:tcPr>
                  <w:tcW w:w="1569" w:type="dxa"/>
                  <w:vAlign w:val="center"/>
                </w:tcPr>
                <w:p w14:paraId="381FD718">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tc>
              <w:tc>
                <w:tcPr>
                  <w:tcW w:w="3991" w:type="dxa"/>
                  <w:vAlign w:val="center"/>
                </w:tcPr>
                <w:p w14:paraId="6B486EDC">
                  <w:pPr>
                    <w:pStyle w:val="32"/>
                    <w:keepNext w:val="0"/>
                    <w:keepLines w:val="0"/>
                    <w:pageBreakBefore w:val="0"/>
                    <w:widowControl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的危废暂存间（TS003）</w:t>
                  </w:r>
                </w:p>
              </w:tc>
              <w:tc>
                <w:tcPr>
                  <w:tcW w:w="1165" w:type="dxa"/>
                  <w:vAlign w:val="center"/>
                </w:tcPr>
                <w:p w14:paraId="59D91353">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bl>
          <w:p w14:paraId="4F11B562">
            <w:pPr>
              <w:widowControl w:val="0"/>
              <w:bidi w:val="0"/>
              <w:spacing w:line="360" w:lineRule="auto"/>
              <w:ind w:firstLine="0" w:firstLineChars="0"/>
              <w:jc w:val="left"/>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2.18.4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color w:val="auto"/>
                <w:kern w:val="2"/>
                <w:sz w:val="21"/>
                <w:szCs w:val="21"/>
                <w:lang w:val="en-US" w:eastAsia="zh-CN" w:bidi="ar-SA"/>
              </w:rPr>
              <w:t>主要原辅料及能源</w:t>
            </w:r>
          </w:p>
          <w:p w14:paraId="52DA86BF">
            <w:pPr>
              <w:pStyle w:val="31"/>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表2-</w:t>
            </w:r>
            <w:r>
              <w:rPr>
                <w:rFonts w:hint="default" w:ascii="Times New Roman" w:hAnsi="Times New Roman" w:eastAsia="宋体" w:cs="Times New Roman"/>
                <w:b/>
                <w:bCs/>
                <w:color w:val="auto"/>
                <w:lang w:val="en-US" w:eastAsia="zh-CN"/>
              </w:rPr>
              <w:t>18</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rPr>
              <w:t>原辅材料及能源消耗情况表</w:t>
            </w:r>
          </w:p>
          <w:tbl>
            <w:tblPr>
              <w:tblStyle w:val="26"/>
              <w:tblW w:w="8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91"/>
              <w:gridCol w:w="1213"/>
              <w:gridCol w:w="1166"/>
              <w:gridCol w:w="1271"/>
              <w:gridCol w:w="1168"/>
              <w:gridCol w:w="1691"/>
            </w:tblGrid>
            <w:tr w14:paraId="0014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94" w:type="dxa"/>
                  <w:vAlign w:val="center"/>
                </w:tcPr>
                <w:p w14:paraId="036C9619">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序号</w:t>
                  </w:r>
                </w:p>
              </w:tc>
              <w:tc>
                <w:tcPr>
                  <w:tcW w:w="1091" w:type="dxa"/>
                  <w:vAlign w:val="center"/>
                </w:tcPr>
                <w:p w14:paraId="764EE4D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名称</w:t>
                  </w:r>
                </w:p>
              </w:tc>
              <w:tc>
                <w:tcPr>
                  <w:tcW w:w="1213" w:type="dxa"/>
                  <w:vAlign w:val="center"/>
                </w:tcPr>
                <w:p w14:paraId="6B456BD5">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年消耗量</w:t>
                  </w:r>
                </w:p>
              </w:tc>
              <w:tc>
                <w:tcPr>
                  <w:tcW w:w="1166" w:type="dxa"/>
                  <w:vAlign w:val="center"/>
                </w:tcPr>
                <w:p w14:paraId="2AFAC47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厂内最大储存量</w:t>
                  </w:r>
                </w:p>
              </w:tc>
              <w:tc>
                <w:tcPr>
                  <w:tcW w:w="1271" w:type="dxa"/>
                  <w:vAlign w:val="center"/>
                </w:tcPr>
                <w:p w14:paraId="0346EEEB">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储存位置</w:t>
                  </w:r>
                </w:p>
              </w:tc>
              <w:tc>
                <w:tcPr>
                  <w:tcW w:w="1168" w:type="dxa"/>
                  <w:vAlign w:val="center"/>
                </w:tcPr>
                <w:p w14:paraId="789DF83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包装方式</w:t>
                  </w:r>
                </w:p>
              </w:tc>
              <w:tc>
                <w:tcPr>
                  <w:tcW w:w="1691" w:type="dxa"/>
                  <w:vAlign w:val="center"/>
                </w:tcPr>
                <w:p w14:paraId="4CAD6199">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备注</w:t>
                  </w:r>
                </w:p>
              </w:tc>
            </w:tr>
            <w:tr w14:paraId="271E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94" w:type="dxa"/>
                  <w:gridSpan w:val="7"/>
                  <w:vAlign w:val="center"/>
                </w:tcPr>
                <w:p w14:paraId="7494FA80">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原辅料</w:t>
                  </w:r>
                </w:p>
              </w:tc>
            </w:tr>
            <w:tr w14:paraId="3664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94" w:type="dxa"/>
                  <w:vAlign w:val="center"/>
                </w:tcPr>
                <w:p w14:paraId="596B866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91" w:type="dxa"/>
                  <w:vAlign w:val="center"/>
                </w:tcPr>
                <w:p w14:paraId="2558ABA1">
                  <w:pPr>
                    <w:pStyle w:val="21"/>
                    <w:keepNext w:val="0"/>
                    <w:keepLines w:val="0"/>
                    <w:pageBreakBefore w:val="0"/>
                    <w:kinsoku/>
                    <w:wordWrap/>
                    <w:overflowPunct/>
                    <w:topLinePunct w:val="0"/>
                    <w:autoSpaceDE/>
                    <w:autoSpaceDN/>
                    <w:bidi w:val="0"/>
                    <w:snapToGrid w:val="0"/>
                    <w:spacing w:before="95" w:beforeLines="30" w:beforeAutospacing="0" w:after="95" w:afterLines="3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rPr>
                    <w:t>瓦楞纸</w:t>
                  </w:r>
                </w:p>
              </w:tc>
              <w:tc>
                <w:tcPr>
                  <w:tcW w:w="1213" w:type="dxa"/>
                  <w:vAlign w:val="center"/>
                </w:tcPr>
                <w:p w14:paraId="0DB1DE9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020</w:t>
                  </w:r>
                  <w:r>
                    <w:rPr>
                      <w:rFonts w:hint="default" w:ascii="Times New Roman" w:hAnsi="Times New Roman" w:eastAsia="宋体" w:cs="Times New Roman"/>
                      <w:color w:val="auto"/>
                      <w:szCs w:val="21"/>
                      <w:lang w:val="en-US" w:eastAsia="zh-CN"/>
                    </w:rPr>
                    <w:t>t</w:t>
                  </w:r>
                </w:p>
              </w:tc>
              <w:tc>
                <w:tcPr>
                  <w:tcW w:w="1166" w:type="dxa"/>
                  <w:vAlign w:val="center"/>
                </w:tcPr>
                <w:p w14:paraId="3BDE99D2">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600t</w:t>
                  </w:r>
                </w:p>
              </w:tc>
              <w:tc>
                <w:tcPr>
                  <w:tcW w:w="1271" w:type="dxa"/>
                  <w:vAlign w:val="center"/>
                </w:tcPr>
                <w:p w14:paraId="37FA13A5">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原料仓库</w:t>
                  </w:r>
                </w:p>
              </w:tc>
              <w:tc>
                <w:tcPr>
                  <w:tcW w:w="1168" w:type="dxa"/>
                  <w:vAlign w:val="center"/>
                </w:tcPr>
                <w:p w14:paraId="2561596C">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卷</w:t>
                  </w:r>
                </w:p>
              </w:tc>
              <w:tc>
                <w:tcPr>
                  <w:tcW w:w="1691" w:type="dxa"/>
                  <w:vAlign w:val="center"/>
                </w:tcPr>
                <w:p w14:paraId="08D304A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外购成品纸</w:t>
                  </w:r>
                </w:p>
              </w:tc>
            </w:tr>
            <w:tr w14:paraId="4882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94" w:type="dxa"/>
                  <w:vAlign w:val="center"/>
                </w:tcPr>
                <w:p w14:paraId="438D5CB8">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091" w:type="dxa"/>
                  <w:vAlign w:val="center"/>
                </w:tcPr>
                <w:p w14:paraId="06EEE450">
                  <w:pPr>
                    <w:pStyle w:val="21"/>
                    <w:keepNext w:val="0"/>
                    <w:keepLines w:val="0"/>
                    <w:pageBreakBefore w:val="0"/>
                    <w:kinsoku/>
                    <w:wordWrap/>
                    <w:overflowPunct/>
                    <w:topLinePunct w:val="0"/>
                    <w:autoSpaceDE/>
                    <w:autoSpaceDN/>
                    <w:bidi w:val="0"/>
                    <w:snapToGrid w:val="0"/>
                    <w:spacing w:before="95" w:beforeLines="30" w:beforeAutospacing="0" w:after="95" w:afterLines="3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钉</w:t>
                  </w:r>
                </w:p>
              </w:tc>
              <w:tc>
                <w:tcPr>
                  <w:tcW w:w="1213" w:type="dxa"/>
                  <w:vAlign w:val="center"/>
                </w:tcPr>
                <w:p w14:paraId="24930A38">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0.5t</w:t>
                  </w:r>
                </w:p>
              </w:tc>
              <w:tc>
                <w:tcPr>
                  <w:tcW w:w="1166" w:type="dxa"/>
                  <w:vAlign w:val="center"/>
                </w:tcPr>
                <w:p w14:paraId="6DF99EFD">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0.1t</w:t>
                  </w:r>
                </w:p>
              </w:tc>
              <w:tc>
                <w:tcPr>
                  <w:tcW w:w="1271" w:type="dxa"/>
                  <w:vAlign w:val="center"/>
                </w:tcPr>
                <w:p w14:paraId="3A994C19">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原料仓库</w:t>
                  </w:r>
                </w:p>
              </w:tc>
              <w:tc>
                <w:tcPr>
                  <w:tcW w:w="1168" w:type="dxa"/>
                  <w:vAlign w:val="center"/>
                </w:tcPr>
                <w:p w14:paraId="0EB2A545">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包</w:t>
                  </w:r>
                </w:p>
              </w:tc>
              <w:tc>
                <w:tcPr>
                  <w:tcW w:w="1691" w:type="dxa"/>
                  <w:vAlign w:val="center"/>
                </w:tcPr>
                <w:p w14:paraId="09CEBBD0">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外购成品</w:t>
                  </w:r>
                </w:p>
              </w:tc>
            </w:tr>
            <w:tr w14:paraId="1968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94" w:type="dxa"/>
                  <w:vAlign w:val="center"/>
                </w:tcPr>
                <w:p w14:paraId="7A8B078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091" w:type="dxa"/>
                  <w:vAlign w:val="center"/>
                </w:tcPr>
                <w:p w14:paraId="44FE7B9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水性油墨</w:t>
                  </w:r>
                </w:p>
              </w:tc>
              <w:tc>
                <w:tcPr>
                  <w:tcW w:w="1213" w:type="dxa"/>
                  <w:vAlign w:val="center"/>
                </w:tcPr>
                <w:p w14:paraId="238D7FB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t</w:t>
                  </w:r>
                </w:p>
              </w:tc>
              <w:tc>
                <w:tcPr>
                  <w:tcW w:w="1166" w:type="dxa"/>
                  <w:vAlign w:val="center"/>
                </w:tcPr>
                <w:p w14:paraId="0B726C0F">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0.2</w:t>
                  </w:r>
                  <w:r>
                    <w:rPr>
                      <w:rFonts w:hint="default" w:ascii="Times New Roman" w:hAnsi="Times New Roman" w:eastAsia="宋体" w:cs="Times New Roman"/>
                      <w:color w:val="auto"/>
                      <w:szCs w:val="21"/>
                    </w:rPr>
                    <w:t>t</w:t>
                  </w:r>
                </w:p>
              </w:tc>
              <w:tc>
                <w:tcPr>
                  <w:tcW w:w="1271" w:type="dxa"/>
                  <w:vAlign w:val="center"/>
                </w:tcPr>
                <w:p w14:paraId="5A67752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油墨间</w:t>
                  </w:r>
                </w:p>
              </w:tc>
              <w:tc>
                <w:tcPr>
                  <w:tcW w:w="1168" w:type="dxa"/>
                  <w:vAlign w:val="center"/>
                </w:tcPr>
                <w:p w14:paraId="5B058530">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密闭桶装</w:t>
                  </w:r>
                </w:p>
              </w:tc>
              <w:tc>
                <w:tcPr>
                  <w:tcW w:w="1691" w:type="dxa"/>
                  <w:vAlign w:val="center"/>
                </w:tcPr>
                <w:p w14:paraId="5750BC9B">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用于凹印</w:t>
                  </w:r>
                </w:p>
              </w:tc>
            </w:tr>
            <w:tr w14:paraId="74CE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94" w:type="dxa"/>
                  <w:vAlign w:val="center"/>
                </w:tcPr>
                <w:p w14:paraId="22503E1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4</w:t>
                  </w:r>
                </w:p>
              </w:tc>
              <w:tc>
                <w:tcPr>
                  <w:tcW w:w="1091" w:type="dxa"/>
                  <w:vAlign w:val="center"/>
                </w:tcPr>
                <w:p w14:paraId="7B6A2B07">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乳胶</w:t>
                  </w:r>
                </w:p>
              </w:tc>
              <w:tc>
                <w:tcPr>
                  <w:tcW w:w="1213" w:type="dxa"/>
                  <w:vAlign w:val="center"/>
                </w:tcPr>
                <w:p w14:paraId="33019A5D">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7</w:t>
                  </w:r>
                  <w:r>
                    <w:rPr>
                      <w:rFonts w:hint="default" w:ascii="Times New Roman" w:hAnsi="Times New Roman" w:eastAsia="宋体" w:cs="Times New Roman"/>
                      <w:color w:val="auto"/>
                      <w:szCs w:val="21"/>
                    </w:rPr>
                    <w:t>t</w:t>
                  </w:r>
                </w:p>
              </w:tc>
              <w:tc>
                <w:tcPr>
                  <w:tcW w:w="1166" w:type="dxa"/>
                  <w:vAlign w:val="center"/>
                </w:tcPr>
                <w:p w14:paraId="5F8BAE2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0.5</w:t>
                  </w:r>
                  <w:r>
                    <w:rPr>
                      <w:rFonts w:hint="default" w:ascii="Times New Roman" w:hAnsi="Times New Roman" w:eastAsia="宋体" w:cs="Times New Roman"/>
                      <w:color w:val="auto"/>
                      <w:szCs w:val="21"/>
                    </w:rPr>
                    <w:t>t</w:t>
                  </w:r>
                </w:p>
              </w:tc>
              <w:tc>
                <w:tcPr>
                  <w:tcW w:w="1271" w:type="dxa"/>
                  <w:vAlign w:val="center"/>
                </w:tcPr>
                <w:p w14:paraId="0CA4521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油墨间</w:t>
                  </w:r>
                </w:p>
              </w:tc>
              <w:tc>
                <w:tcPr>
                  <w:tcW w:w="1168" w:type="dxa"/>
                  <w:vAlign w:val="center"/>
                </w:tcPr>
                <w:p w14:paraId="16ED892F">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密闭桶装</w:t>
                  </w:r>
                </w:p>
              </w:tc>
              <w:tc>
                <w:tcPr>
                  <w:tcW w:w="1691" w:type="dxa"/>
                  <w:vAlign w:val="center"/>
                </w:tcPr>
                <w:p w14:paraId="31B4813A">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外购成品胶</w:t>
                  </w:r>
                </w:p>
              </w:tc>
            </w:tr>
            <w:tr w14:paraId="09A3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094" w:type="dxa"/>
                  <w:gridSpan w:val="7"/>
                  <w:vAlign w:val="center"/>
                </w:tcPr>
                <w:p w14:paraId="6065167D">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能源</w:t>
                  </w:r>
                </w:p>
              </w:tc>
            </w:tr>
            <w:tr w14:paraId="32F3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94" w:type="dxa"/>
                  <w:vAlign w:val="center"/>
                </w:tcPr>
                <w:p w14:paraId="3261725B">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091" w:type="dxa"/>
                  <w:vAlign w:val="center"/>
                </w:tcPr>
                <w:p w14:paraId="2354C0F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213" w:type="dxa"/>
                  <w:vAlign w:val="center"/>
                </w:tcPr>
                <w:p w14:paraId="591FB81E">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30</w:t>
                  </w:r>
                  <w:r>
                    <w:rPr>
                      <w:rFonts w:hint="default" w:ascii="Times New Roman" w:hAnsi="Times New Roman" w:eastAsia="宋体" w:cs="Times New Roman"/>
                      <w:color w:val="auto"/>
                      <w:szCs w:val="21"/>
                    </w:rPr>
                    <w:t>0万kWh</w:t>
                  </w:r>
                </w:p>
              </w:tc>
              <w:tc>
                <w:tcPr>
                  <w:tcW w:w="1166" w:type="dxa"/>
                  <w:vAlign w:val="center"/>
                </w:tcPr>
                <w:p w14:paraId="72E10340">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1" w:type="dxa"/>
                  <w:vAlign w:val="center"/>
                </w:tcPr>
                <w:p w14:paraId="6D22C44C">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68" w:type="dxa"/>
                  <w:vAlign w:val="center"/>
                </w:tcPr>
                <w:p w14:paraId="048637AA">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91" w:type="dxa"/>
                  <w:vAlign w:val="center"/>
                </w:tcPr>
                <w:p w14:paraId="40A1950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rPr>
                    <w:t>园区电网供电</w:t>
                  </w:r>
                </w:p>
              </w:tc>
            </w:tr>
            <w:tr w14:paraId="511F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94" w:type="dxa"/>
                  <w:vAlign w:val="center"/>
                </w:tcPr>
                <w:p w14:paraId="448E4C6B">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091" w:type="dxa"/>
                  <w:vAlign w:val="center"/>
                </w:tcPr>
                <w:p w14:paraId="219B59C4">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自来水</w:t>
                  </w:r>
                </w:p>
              </w:tc>
              <w:tc>
                <w:tcPr>
                  <w:tcW w:w="1213" w:type="dxa"/>
                  <w:vAlign w:val="center"/>
                </w:tcPr>
                <w:p w14:paraId="08F9F883">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282</w:t>
                  </w:r>
                </w:p>
              </w:tc>
              <w:tc>
                <w:tcPr>
                  <w:tcW w:w="1166" w:type="dxa"/>
                  <w:vAlign w:val="center"/>
                </w:tcPr>
                <w:p w14:paraId="0CA5DAFC">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1" w:type="dxa"/>
                  <w:vAlign w:val="center"/>
                </w:tcPr>
                <w:p w14:paraId="0AC75B76">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68" w:type="dxa"/>
                  <w:vAlign w:val="center"/>
                </w:tcPr>
                <w:p w14:paraId="5C7BBAFE">
                  <w:pPr>
                    <w:pStyle w:val="32"/>
                    <w:keepNext w:val="0"/>
                    <w:keepLines w:val="0"/>
                    <w:pageBreakBefore w:val="0"/>
                    <w:kinsoku/>
                    <w:wordWrap/>
                    <w:overflowPunct/>
                    <w:topLinePunct w:val="0"/>
                    <w:autoSpaceDE/>
                    <w:autoSpaceDN/>
                    <w:bidi w:val="0"/>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91" w:type="dxa"/>
                  <w:vAlign w:val="center"/>
                </w:tcPr>
                <w:p w14:paraId="18692B90">
                  <w:pPr>
                    <w:keepNext w:val="0"/>
                    <w:keepLines w:val="0"/>
                    <w:pageBreakBefore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园区水网供水</w:t>
                  </w:r>
                </w:p>
              </w:tc>
            </w:tr>
          </w:tbl>
          <w:p w14:paraId="4224B8FD">
            <w:pPr>
              <w:widowControl w:val="0"/>
              <w:bidi w:val="0"/>
              <w:spacing w:line="360" w:lineRule="auto"/>
              <w:ind w:firstLine="0" w:firstLineChars="0"/>
              <w:jc w:val="left"/>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2.18.5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color w:val="auto"/>
                <w:kern w:val="2"/>
                <w:sz w:val="21"/>
                <w:szCs w:val="21"/>
                <w:lang w:val="en-US" w:eastAsia="zh-CN" w:bidi="ar-SA"/>
              </w:rPr>
              <w:t>劳动定员及工作制度</w:t>
            </w:r>
          </w:p>
          <w:p w14:paraId="10D1F31E">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原有项目劳动定员35人，年工作300天，一天两班，每天16h。</w:t>
            </w:r>
          </w:p>
          <w:p w14:paraId="03FF6358">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2.19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废气排放情况</w:t>
            </w:r>
          </w:p>
          <w:p w14:paraId="10E31EBC">
            <w:pPr>
              <w:pStyle w:val="31"/>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根据</w:t>
            </w:r>
            <w:r>
              <w:rPr>
                <w:rFonts w:hint="default" w:ascii="Times New Roman" w:hAnsi="Times New Roman" w:eastAsia="宋体" w:cs="Times New Roman"/>
                <w:color w:val="auto"/>
                <w:kern w:val="2"/>
                <w:sz w:val="21"/>
                <w:szCs w:val="21"/>
                <w:lang w:val="en-US" w:eastAsia="zh-CN" w:bidi="ar-SA"/>
              </w:rPr>
              <w:t>《云南兴恒包装瓦楞纸箱生产线搬改建设项目竣工环境保护验收监测报告表》，2025年08月14日至15日云南清源环境科技有限公司对项目有组织废气和无组织废气进行了监测，结果如下：</w:t>
            </w:r>
          </w:p>
          <w:p w14:paraId="0AF66325">
            <w:pPr>
              <w:pStyle w:val="31"/>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（1）有组织废气</w:t>
            </w:r>
          </w:p>
          <w:p w14:paraId="6DDB2EB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所使用的水洗油墨和乳胶不含苯系物，油墨、乳胶设置一个封闭房间进行储存，房间顶部安装集气通道将油墨、乳胶存放过程挥发的有机气体收集后与印刷机顶部集气罩收集的印刷废气一同进入两级活性炭吸附装置处理后通过1根15m</w:t>
            </w:r>
            <w:r>
              <w:rPr>
                <w:rFonts w:hint="default" w:ascii="Times New Roman" w:hAnsi="Times New Roman" w:eastAsia="宋体" w:cs="Times New Roman"/>
                <w:color w:val="auto"/>
                <w:sz w:val="21"/>
                <w:szCs w:val="21"/>
              </w:rPr>
              <w:t>高的排气筒（DA00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根据检测结果，有机废气排放口（DA003）废气非甲烷总烃排放浓度为9.46-12.8mg/m³，满足《印刷工业大气污染物排放标准》（GB41616-2022）表1标准限值。</w:t>
            </w:r>
          </w:p>
          <w:p w14:paraId="026B6CBD">
            <w:pPr>
              <w:pStyle w:val="31"/>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（2）无组织废气</w:t>
            </w:r>
          </w:p>
          <w:p w14:paraId="328ADA78">
            <w:pPr>
              <w:pStyle w:val="31"/>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①有机废气</w:t>
            </w:r>
          </w:p>
          <w:p w14:paraId="3B3A490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运营过程中少量未被收集到的有机废气通过车间设置的换气扇从不同方向排出车间，经大气进行稀释排放。本项目厂区内无组织非甲烷总烃2025年08月14日监测结果为0.34mg/m³-0.82mg/m³，2025年08月15日监测结果为0.44mg/m³-0.72mg/m³，满足</w:t>
            </w:r>
            <w:r>
              <w:rPr>
                <w:rFonts w:hint="default" w:ascii="Times New Roman" w:hAnsi="Times New Roman" w:eastAsia="宋体" w:cs="Times New Roman"/>
                <w:color w:val="auto"/>
                <w:kern w:val="2"/>
                <w:sz w:val="21"/>
                <w:szCs w:val="21"/>
                <w:highlight w:val="none"/>
                <w:lang w:val="en-US" w:eastAsia="zh-CN"/>
              </w:rPr>
              <w:t>《印刷工业大气污染物排放标准》(GB41616-2022)中表A.1标准限值要求</w:t>
            </w:r>
            <w:r>
              <w:rPr>
                <w:rFonts w:hint="default" w:ascii="Times New Roman" w:hAnsi="Times New Roman" w:eastAsia="宋体" w:cs="Times New Roman"/>
                <w:color w:val="auto"/>
                <w:sz w:val="21"/>
                <w:szCs w:val="21"/>
                <w:lang w:val="en-US" w:eastAsia="zh-CN"/>
              </w:rPr>
              <w:t>。本项目厂界无组织废气非甲烷总烃2025年08月14日监测结果为＜0.07mg/m³-0.46mg/m³，2025年08月15日监测结果为＜0.07mg/m³-0.46mg/m³，满足《大气污染物综合排放标准》(GB16297-1996)表2无组织排放标准限值。</w:t>
            </w:r>
          </w:p>
          <w:p w14:paraId="4DB2CFF5">
            <w:pPr>
              <w:pStyle w:val="31"/>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②生产车间产生的异味</w:t>
            </w:r>
          </w:p>
          <w:p w14:paraId="3DB7608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生产车间在运行过程中产生的异味通过车间设置的换气扇从不同方向排出车间，经大气进行稀释排放。经检测，本项目厂界无组织臭气2025年08月14日监测结果为＜10无量纲，2025年08月15日监测结果为＜10无量纲，满足《恶臭污染物排放标准》(GB14554-93)表1中二级标准要求。</w:t>
            </w:r>
          </w:p>
          <w:p w14:paraId="4FADD775">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2.20</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废水产排情况</w:t>
            </w:r>
          </w:p>
          <w:p w14:paraId="0B643ACF">
            <w:pPr>
              <w:keepNext w:val="0"/>
              <w:keepLines w:val="0"/>
              <w:pageBreakBefore w:val="0"/>
              <w:widowControl/>
              <w:kinsoku/>
              <w:wordWrap/>
              <w:overflowPunct/>
              <w:topLinePunct w:val="0"/>
              <w:autoSpaceDE/>
              <w:autoSpaceDN/>
              <w:bidi w:val="0"/>
              <w:adjustRightInd w:val="0"/>
              <w:snapToGrid/>
              <w:spacing w:after="0" w:line="360" w:lineRule="auto"/>
              <w:ind w:firstLine="420" w:firstLineChars="200"/>
              <w:jc w:val="both"/>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原有项目生产过程中废水主要为生活污水和生产废水</w:t>
            </w:r>
            <w:r>
              <w:rPr>
                <w:rFonts w:hint="default" w:ascii="Times New Roman" w:hAnsi="Times New Roman" w:eastAsia="宋体" w:cs="Times New Roman"/>
                <w:color w:val="auto"/>
                <w:lang w:val="en-US" w:eastAsia="zh-CN"/>
              </w:rPr>
              <w:t>。生产废水为车间清洁废水、印刷机和印版清洗废水。生活污水和车间清洁废水经新兴仁恒的15m³化粪池和40m³/d污水处理站处理后回用于新兴仁恒厂内绿化、降尘。印刷机和印版清洗废水经清洗废水预处理设施</w:t>
            </w:r>
            <w:r>
              <w:rPr>
                <w:rFonts w:hint="default" w:ascii="Times New Roman" w:hAnsi="Times New Roman" w:eastAsia="宋体" w:cs="Times New Roman"/>
                <w:color w:val="auto"/>
                <w:sz w:val="21"/>
                <w:szCs w:val="21"/>
                <w:lang w:val="en-US" w:eastAsia="zh-CN"/>
              </w:rPr>
              <w:t>（活性炭吸附+过滤</w:t>
            </w:r>
            <w:r>
              <w:rPr>
                <w:rFonts w:hint="default" w:ascii="Times New Roman" w:hAnsi="Times New Roman" w:eastAsia="宋体" w:cs="Times New Roman"/>
                <w:color w:val="auto"/>
                <w:lang w:val="en-US" w:eastAsia="zh-CN"/>
              </w:rPr>
              <w:t>）处理后依托新兴仁恒40m³/d污水处理站（A/O工艺）处理后回用于新兴仁恒厂内绿化、降尘。</w:t>
            </w:r>
          </w:p>
          <w:p w14:paraId="2A0380DE">
            <w:pPr>
              <w:widowControl w:val="0"/>
              <w:bidi w:val="0"/>
              <w:spacing w:line="360" w:lineRule="auto"/>
              <w:ind w:firstLine="420" w:firstLineChars="200"/>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原有项目水平衡见下图。</w:t>
            </w:r>
          </w:p>
          <w:p w14:paraId="5BE99A43">
            <w:pPr>
              <w:widowControl w:val="0"/>
              <w:bidi w:val="0"/>
              <w:spacing w:line="360" w:lineRule="auto"/>
              <w:jc w:val="both"/>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rPr>
              <w:drawing>
                <wp:inline distT="0" distB="0" distL="114300" distR="114300">
                  <wp:extent cx="5203825" cy="2712720"/>
                  <wp:effectExtent l="0" t="0" r="1587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5203825" cy="2712720"/>
                          </a:xfrm>
                          <a:prstGeom prst="rect">
                            <a:avLst/>
                          </a:prstGeom>
                          <a:noFill/>
                          <a:ln>
                            <a:noFill/>
                          </a:ln>
                        </pic:spPr>
                      </pic:pic>
                    </a:graphicData>
                  </a:graphic>
                </wp:inline>
              </w:drawing>
            </w:r>
          </w:p>
          <w:p w14:paraId="2941722A">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图2-15  原有项目水平衡图  单位：m³/d</w:t>
            </w:r>
          </w:p>
          <w:p w14:paraId="3162EE3E">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根据《云南兴恒包装瓦楞纸箱生产线搬改建设项目竣工环境保护验收监测报告表》，2025年08月14日至15日云南清源环境科技有限公司对项目污水处理系统出水进行了监测，出水浓度</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rPr>
              <w:t>《城市污水再生利用 城市杂用水水质》（GB/T 18920-2020）“表1城市杂用水水质基本控制项目及限值</w:t>
            </w:r>
            <w:r>
              <w:rPr>
                <w:rFonts w:hint="default" w:ascii="Times New Roman" w:hAnsi="Times New Roman" w:eastAsia="宋体" w:cs="Times New Roman"/>
                <w:color w:val="auto"/>
                <w:sz w:val="21"/>
                <w:szCs w:val="21"/>
                <w:lang w:val="en-US" w:eastAsia="zh-CN"/>
              </w:rPr>
              <w:t>城市绿化限值</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val="en-US" w:eastAsia="zh-CN" w:bidi="ar-SA"/>
              </w:rPr>
              <w:t>。</w:t>
            </w:r>
          </w:p>
          <w:p w14:paraId="0CB8F50D">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2.21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噪声排放情况</w:t>
            </w:r>
          </w:p>
          <w:p w14:paraId="71693A5C">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原有项目噪声源主要为生产设备，主要采取的措施为厂房密封隔声，设备定期保养检修，基础减振，安装消声器，合理安排生产工段，夜间禁止作业等方式，降低噪声影响。</w:t>
            </w:r>
          </w:p>
          <w:p w14:paraId="7DC1FB1A">
            <w:pPr>
              <w:pStyle w:val="31"/>
              <w:ind w:firstLine="42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w:t>
            </w:r>
            <w:r>
              <w:rPr>
                <w:rFonts w:hint="default" w:ascii="Times New Roman" w:hAnsi="Times New Roman" w:eastAsia="宋体" w:cs="Times New Roman"/>
                <w:color w:val="auto"/>
                <w:kern w:val="2"/>
                <w:sz w:val="21"/>
                <w:szCs w:val="21"/>
                <w:lang w:val="en-US" w:eastAsia="zh-CN" w:bidi="ar-SA"/>
              </w:rPr>
              <w:t>《云南兴恒包装瓦楞纸箱生产线搬改建设项目竣工环境保护验收监测报告表》</w:t>
            </w:r>
            <w:r>
              <w:rPr>
                <w:rFonts w:hint="default" w:ascii="Times New Roman" w:hAnsi="Times New Roman" w:eastAsia="宋体" w:cs="Times New Roman"/>
                <w:color w:val="auto"/>
                <w:sz w:val="21"/>
                <w:szCs w:val="21"/>
                <w:lang w:val="en-US" w:eastAsia="zh-CN"/>
              </w:rPr>
              <w:t>，本项目噪声来源主要是四色</w:t>
            </w:r>
            <w:r>
              <w:rPr>
                <w:rFonts w:hint="default" w:ascii="Times New Roman" w:hAnsi="Times New Roman" w:eastAsia="宋体" w:cs="Times New Roman"/>
                <w:color w:val="auto"/>
                <w:sz w:val="21"/>
                <w:szCs w:val="21"/>
              </w:rPr>
              <w:t>印刷模切</w:t>
            </w:r>
            <w:r>
              <w:rPr>
                <w:rFonts w:hint="default" w:ascii="Times New Roman" w:hAnsi="Times New Roman" w:eastAsia="宋体" w:cs="Times New Roman"/>
                <w:color w:val="auto"/>
                <w:sz w:val="21"/>
                <w:szCs w:val="21"/>
                <w:lang w:val="en-US" w:eastAsia="zh-CN"/>
              </w:rPr>
              <w:t>机</w:t>
            </w:r>
            <w:r>
              <w:rPr>
                <w:rFonts w:hint="default" w:ascii="Times New Roman" w:hAnsi="Times New Roman" w:eastAsia="宋体" w:cs="Times New Roman"/>
                <w:color w:val="auto"/>
                <w:sz w:val="21"/>
                <w:szCs w:val="21"/>
              </w:rPr>
              <w:t>、风机等</w:t>
            </w:r>
            <w:r>
              <w:rPr>
                <w:rFonts w:hint="default" w:ascii="Times New Roman" w:hAnsi="Times New Roman" w:eastAsia="宋体" w:cs="Times New Roman"/>
                <w:color w:val="auto"/>
                <w:sz w:val="21"/>
                <w:szCs w:val="21"/>
                <w:lang w:val="en-US" w:eastAsia="zh-CN"/>
              </w:rPr>
              <w:t>。建设单位通过安装减震垫、厂房隔声等措施控制噪声传播影响。经现场监测，项目2025年8月14日厂界噪声（</w:t>
            </w:r>
            <w:r>
              <w:rPr>
                <w:rFonts w:hint="default" w:ascii="Times New Roman" w:hAnsi="Times New Roman" w:eastAsia="宋体" w:cs="Times New Roman"/>
                <w:b/>
                <w:bCs/>
                <w:color w:val="auto"/>
                <w:sz w:val="21"/>
                <w:szCs w:val="21"/>
                <w:highlight w:val="none"/>
                <w:lang w:val="en-US" w:eastAsia="zh-CN"/>
              </w:rPr>
              <w:t>L</w:t>
            </w:r>
            <w:r>
              <w:rPr>
                <w:rFonts w:hint="default" w:ascii="Times New Roman" w:hAnsi="Times New Roman" w:eastAsia="宋体" w:cs="Times New Roman"/>
                <w:b/>
                <w:bCs/>
                <w:color w:val="auto"/>
                <w:sz w:val="21"/>
                <w:szCs w:val="21"/>
                <w:highlight w:val="none"/>
                <w:vertAlign w:val="subscript"/>
                <w:lang w:val="en-US" w:eastAsia="zh-CN"/>
              </w:rPr>
              <w:t>Aeq,T</w:t>
            </w:r>
            <w:r>
              <w:rPr>
                <w:rFonts w:hint="default" w:ascii="Times New Roman" w:hAnsi="Times New Roman" w:eastAsia="宋体" w:cs="Times New Roman"/>
                <w:color w:val="auto"/>
                <w:sz w:val="21"/>
                <w:szCs w:val="21"/>
                <w:lang w:val="en-US" w:eastAsia="zh-CN"/>
              </w:rPr>
              <w:t>）昼间：52.5dB（A）-58.7dB（A），夜间：42.75dB（A）-46.1dB（A）；2025年8月15日厂界噪声（</w:t>
            </w:r>
            <w:r>
              <w:rPr>
                <w:rFonts w:hint="default" w:ascii="Times New Roman" w:hAnsi="Times New Roman" w:eastAsia="宋体" w:cs="Times New Roman"/>
                <w:b/>
                <w:bCs/>
                <w:color w:val="auto"/>
                <w:sz w:val="21"/>
                <w:szCs w:val="21"/>
                <w:highlight w:val="none"/>
                <w:lang w:val="en-US" w:eastAsia="zh-CN"/>
              </w:rPr>
              <w:t>L</w:t>
            </w:r>
            <w:r>
              <w:rPr>
                <w:rFonts w:hint="default" w:ascii="Times New Roman" w:hAnsi="Times New Roman" w:eastAsia="宋体" w:cs="Times New Roman"/>
                <w:b/>
                <w:bCs/>
                <w:color w:val="auto"/>
                <w:sz w:val="21"/>
                <w:szCs w:val="21"/>
                <w:highlight w:val="none"/>
                <w:vertAlign w:val="subscript"/>
                <w:lang w:val="en-US" w:eastAsia="zh-CN"/>
              </w:rPr>
              <w:t>Aeq,T</w:t>
            </w:r>
            <w:r>
              <w:rPr>
                <w:rFonts w:hint="default" w:ascii="Times New Roman" w:hAnsi="Times New Roman" w:eastAsia="宋体" w:cs="Times New Roman"/>
                <w:color w:val="auto"/>
                <w:sz w:val="21"/>
                <w:szCs w:val="21"/>
                <w:lang w:val="en-US" w:eastAsia="zh-CN"/>
              </w:rPr>
              <w:t>）昼间：52.3dB（A）-57.7dB（A），夜间：42.6dB（A）-46.2dB（A）。满足《工业企业厂界环境噪声排放标准》（GB12348-2008）2类标准</w:t>
            </w:r>
            <w:r>
              <w:rPr>
                <w:rFonts w:hint="default" w:ascii="Times New Roman" w:hAnsi="Times New Roman" w:eastAsia="宋体" w:cs="Times New Roman"/>
                <w:color w:val="auto"/>
                <w:kern w:val="2"/>
                <w:sz w:val="21"/>
                <w:szCs w:val="21"/>
                <w:lang w:val="en-US" w:eastAsia="zh-CN" w:bidi="ar-SA"/>
              </w:rPr>
              <w:t>。</w:t>
            </w:r>
          </w:p>
          <w:p w14:paraId="6ABB57B2">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2.22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固废产生处置情况</w:t>
            </w:r>
          </w:p>
          <w:p w14:paraId="17E73FEF">
            <w:pPr>
              <w:pStyle w:val="64"/>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（1）生活垃圾</w:t>
            </w:r>
          </w:p>
          <w:p w14:paraId="42D7CD5A">
            <w:pPr>
              <w:pStyle w:val="31"/>
              <w:ind w:firstLine="42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项目生活垃圾</w:t>
            </w:r>
            <w:r>
              <w:rPr>
                <w:rFonts w:hint="default" w:ascii="Times New Roman" w:hAnsi="Times New Roman" w:eastAsia="宋体" w:cs="Times New Roman"/>
                <w:color w:val="auto"/>
                <w:sz w:val="21"/>
                <w:szCs w:val="21"/>
                <w:highlight w:val="none"/>
                <w:lang w:val="en-US" w:eastAsia="zh-CN"/>
              </w:rPr>
              <w:t>一收集后</w:t>
            </w:r>
            <w:r>
              <w:rPr>
                <w:rFonts w:hint="default" w:ascii="Times New Roman" w:hAnsi="Times New Roman" w:eastAsia="宋体" w:cs="Times New Roman"/>
                <w:color w:val="auto"/>
                <w:sz w:val="21"/>
                <w:szCs w:val="21"/>
                <w:highlight w:val="none"/>
              </w:rPr>
              <w:t>，委托环卫部门清运处置。</w:t>
            </w:r>
          </w:p>
          <w:p w14:paraId="727403B9">
            <w:pPr>
              <w:pStyle w:val="64"/>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（2）一般工业固废</w:t>
            </w:r>
          </w:p>
          <w:p w14:paraId="3F2CE15B">
            <w:pPr>
              <w:pStyle w:val="31"/>
              <w:ind w:firstLine="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①废包装材料</w:t>
            </w:r>
          </w:p>
          <w:p w14:paraId="401DF062">
            <w:pPr>
              <w:pStyle w:val="31"/>
              <w:ind w:firstLine="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运营过程产生的</w:t>
            </w:r>
            <w:r>
              <w:rPr>
                <w:rFonts w:hint="default" w:ascii="Times New Roman" w:hAnsi="Times New Roman" w:eastAsia="宋体" w:cs="Times New Roman"/>
                <w:color w:val="auto"/>
                <w:highlight w:val="none"/>
              </w:rPr>
              <w:t>废包装材料分类收集后暂存于一般固废暂存间，定期</w:t>
            </w:r>
            <w:r>
              <w:rPr>
                <w:rFonts w:hint="default" w:ascii="Times New Roman" w:hAnsi="Times New Roman" w:eastAsia="宋体" w:cs="Times New Roman"/>
                <w:color w:val="auto"/>
                <w:highlight w:val="none"/>
                <w:lang w:val="en-US" w:eastAsia="zh-CN"/>
              </w:rPr>
              <w:t>交由瓦楞纸供应商回收利用</w:t>
            </w:r>
            <w:r>
              <w:rPr>
                <w:rFonts w:hint="default" w:ascii="Times New Roman" w:hAnsi="Times New Roman" w:eastAsia="宋体" w:cs="Times New Roman"/>
                <w:color w:val="auto"/>
                <w:highlight w:val="none"/>
              </w:rPr>
              <w:t>。</w:t>
            </w:r>
          </w:p>
          <w:p w14:paraId="7AD5370B">
            <w:pPr>
              <w:pStyle w:val="31"/>
              <w:ind w:firstLine="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②边角料和不合格产品</w:t>
            </w:r>
          </w:p>
          <w:p w14:paraId="489405BA">
            <w:pPr>
              <w:pStyle w:val="31"/>
              <w:ind w:firstLine="4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项目运营过程中会产生的废边角料和不合格产品，统一收集后暂存于一般固废暂存间，定期</w:t>
            </w:r>
            <w:r>
              <w:rPr>
                <w:rFonts w:hint="default" w:ascii="Times New Roman" w:hAnsi="Times New Roman" w:eastAsia="宋体" w:cs="Times New Roman"/>
                <w:color w:val="auto"/>
                <w:highlight w:val="none"/>
                <w:lang w:val="en-US" w:eastAsia="zh-CN"/>
              </w:rPr>
              <w:t>交由瓦楞纸供应商回收利用</w:t>
            </w:r>
            <w:r>
              <w:rPr>
                <w:rFonts w:hint="default" w:ascii="Times New Roman" w:hAnsi="Times New Roman" w:eastAsia="宋体" w:cs="Times New Roman"/>
                <w:color w:val="auto"/>
                <w:highlight w:val="none"/>
              </w:rPr>
              <w:t>。</w:t>
            </w:r>
          </w:p>
          <w:p w14:paraId="3D6DD9DA">
            <w:pPr>
              <w:pStyle w:val="31"/>
              <w:ind w:firstLine="42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③废乳胶渣</w:t>
            </w:r>
          </w:p>
          <w:p w14:paraId="19060687">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项目运营过程中使用</w:t>
            </w:r>
            <w:r>
              <w:rPr>
                <w:rFonts w:hint="default" w:ascii="Times New Roman" w:hAnsi="Times New Roman" w:eastAsia="宋体" w:cs="Times New Roman"/>
                <w:color w:val="auto"/>
                <w:lang w:val="en-US" w:eastAsia="zh-CN"/>
              </w:rPr>
              <w:t>乳胶</w:t>
            </w:r>
            <w:r>
              <w:rPr>
                <w:rFonts w:hint="default" w:ascii="Times New Roman" w:hAnsi="Times New Roman" w:eastAsia="宋体" w:cs="Times New Roman"/>
                <w:color w:val="auto"/>
              </w:rPr>
              <w:t>，会产生少量废胶渣，</w:t>
            </w:r>
            <w:r>
              <w:rPr>
                <w:rFonts w:hint="default" w:ascii="Times New Roman" w:hAnsi="Times New Roman" w:eastAsia="宋体" w:cs="Times New Roman"/>
                <w:color w:val="auto"/>
                <w:lang w:val="en-US" w:eastAsia="zh-CN"/>
              </w:rPr>
              <w:t>根据建设单位提供的乳胶检验报告，项目使用的乳胶为水基胶（玉溪卷烟厂指定胶），根据</w:t>
            </w:r>
            <w:r>
              <w:rPr>
                <w:rFonts w:hint="default" w:ascii="Times New Roman" w:hAnsi="Times New Roman" w:eastAsia="宋体" w:cs="Times New Roman"/>
                <w:color w:val="auto"/>
              </w:rPr>
              <w:t>《国家危险废物名录》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不属于危险废物，产生的少量废胶渣并入生活垃圾处理。产生的少量废胶渣并入生活垃圾处理。</w:t>
            </w:r>
          </w:p>
          <w:p w14:paraId="33518B77">
            <w:pPr>
              <w:snapToGrid w:val="0"/>
              <w:spacing w:line="360" w:lineRule="auto"/>
              <w:ind w:firstLine="42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危险废物</w:t>
            </w:r>
          </w:p>
          <w:p w14:paraId="1A493BCB">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项目运营过程中产生的危险废物主要为危险废物包括废润滑油、废润滑油桶、废活性炭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包含废气治理及废水治理的活性炭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、废水性油墨桶、破损的</w:t>
            </w:r>
            <w:r>
              <w:rPr>
                <w:rFonts w:hint="default" w:ascii="Times New Roman" w:hAnsi="Times New Roman" w:eastAsia="宋体" w:cs="Times New Roman"/>
                <w:color w:val="auto"/>
                <w:lang w:eastAsia="zh-CN"/>
              </w:rPr>
              <w:t>乳胶</w:t>
            </w:r>
            <w:r>
              <w:rPr>
                <w:rFonts w:hint="default" w:ascii="Times New Roman" w:hAnsi="Times New Roman" w:eastAsia="宋体" w:cs="Times New Roman"/>
                <w:color w:val="auto"/>
              </w:rPr>
              <w:t>桶</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收集至危废暂存间由云南大地丰源环保有限公司清运处置。</w:t>
            </w:r>
          </w:p>
          <w:p w14:paraId="233FADDC">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2.23 现有项目污染排放情况汇总</w:t>
            </w:r>
          </w:p>
          <w:p w14:paraId="5A33930C">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现有瓦楞纸箱生产线</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color w:val="auto"/>
                <w:kern w:val="2"/>
                <w:sz w:val="21"/>
                <w:szCs w:val="21"/>
                <w:lang w:val="en-US" w:eastAsia="zh-CN" w:bidi="ar-SA"/>
              </w:rPr>
              <w:t>污染排放情况汇总见下表。</w:t>
            </w:r>
          </w:p>
          <w:p w14:paraId="5F375896">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表2-16  </w:t>
            </w:r>
            <w:r>
              <w:rPr>
                <w:rFonts w:hint="default" w:ascii="Times New Roman" w:hAnsi="Times New Roman" w:eastAsia="宋体" w:cs="Times New Roman"/>
                <w:b/>
                <w:bCs/>
                <w:color w:val="auto"/>
                <w:sz w:val="21"/>
                <w:szCs w:val="21"/>
                <w:lang w:val="en-US" w:eastAsia="zh-CN"/>
              </w:rPr>
              <w:t>现有瓦楞纸箱生产线</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kern w:val="2"/>
                <w:sz w:val="21"/>
                <w:szCs w:val="21"/>
                <w:lang w:val="en-US" w:eastAsia="zh-CN" w:bidi="ar-SA"/>
              </w:rPr>
              <w:t>污染排放情况汇总表</w:t>
            </w:r>
          </w:p>
          <w:tbl>
            <w:tblPr>
              <w:tblStyle w:val="26"/>
              <w:tblW w:w="8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1099"/>
              <w:gridCol w:w="6000"/>
              <w:gridCol w:w="639"/>
            </w:tblGrid>
            <w:tr w14:paraId="4ACD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dxa"/>
                  <w:gridSpan w:val="2"/>
                  <w:vAlign w:val="center"/>
                </w:tcPr>
                <w:p w14:paraId="5D427AE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000" w:type="dxa"/>
                  <w:vAlign w:val="center"/>
                </w:tcPr>
                <w:p w14:paraId="486D780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排放情况</w:t>
                  </w:r>
                </w:p>
              </w:tc>
              <w:tc>
                <w:tcPr>
                  <w:tcW w:w="639" w:type="dxa"/>
                  <w:vAlign w:val="center"/>
                </w:tcPr>
                <w:p w14:paraId="46167E0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备注</w:t>
                  </w:r>
                </w:p>
              </w:tc>
            </w:tr>
            <w:tr w14:paraId="6F59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dxa"/>
                  <w:gridSpan w:val="2"/>
                  <w:vAlign w:val="center"/>
                </w:tcPr>
                <w:p w14:paraId="15C68A2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w:t>
                  </w:r>
                </w:p>
              </w:tc>
              <w:tc>
                <w:tcPr>
                  <w:tcW w:w="6000" w:type="dxa"/>
                  <w:vAlign w:val="center"/>
                </w:tcPr>
                <w:p w14:paraId="34B40F9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①</w:t>
                  </w:r>
                  <w:r>
                    <w:rPr>
                      <w:rFonts w:hint="default" w:ascii="Times New Roman" w:hAnsi="Times New Roman" w:eastAsia="宋体" w:cs="Times New Roman"/>
                      <w:color w:val="auto"/>
                      <w:sz w:val="21"/>
                      <w:szCs w:val="21"/>
                      <w:lang w:val="en-US" w:eastAsia="zh-CN"/>
                    </w:rPr>
                    <w:t>本项目印刷机产生的有机废气和油墨乳胶暂存间产生的有机废气通过1台新建的两级活性炭吸附装置（TA001）处理后通过1根15m高的排气筒（DA001）进行排放</w:t>
                  </w:r>
                  <w:r>
                    <w:rPr>
                      <w:rFonts w:hint="default" w:ascii="Times New Roman" w:hAnsi="Times New Roman" w:eastAsia="宋体" w:cs="Times New Roman"/>
                      <w:color w:val="auto"/>
                      <w:kern w:val="0"/>
                      <w:sz w:val="21"/>
                      <w:szCs w:val="21"/>
                      <w:lang w:val="en-US" w:eastAsia="zh-CN" w:bidi="ar-SA"/>
                    </w:rPr>
                    <w:t>；</w:t>
                  </w:r>
                </w:p>
                <w:p w14:paraId="25BA9C1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②印刷车间有机废气及气味通过加强通风进行处理。</w:t>
                  </w:r>
                </w:p>
              </w:tc>
              <w:tc>
                <w:tcPr>
                  <w:tcW w:w="639" w:type="dxa"/>
                  <w:vMerge w:val="restart"/>
                  <w:vAlign w:val="center"/>
                </w:tcPr>
                <w:p w14:paraId="0CAD464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已完成验收</w:t>
                  </w:r>
                </w:p>
              </w:tc>
            </w:tr>
            <w:tr w14:paraId="44D5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dxa"/>
                  <w:gridSpan w:val="2"/>
                  <w:vAlign w:val="center"/>
                </w:tcPr>
                <w:p w14:paraId="3E3BC49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6000" w:type="dxa"/>
                  <w:vAlign w:val="center"/>
                </w:tcPr>
                <w:p w14:paraId="79A2C35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原有项目生产过程中废水主要为生活污水和生产废水</w:t>
                  </w:r>
                  <w:r>
                    <w:rPr>
                      <w:rFonts w:hint="default" w:ascii="Times New Roman" w:hAnsi="Times New Roman" w:eastAsia="宋体" w:cs="Times New Roman"/>
                      <w:color w:val="auto"/>
                      <w:lang w:val="en-US" w:eastAsia="zh-CN"/>
                    </w:rPr>
                    <w:t>。生产废水为车间清洁废水、印刷机和印版清洗废水。生活污水和车间清洁废水经新兴仁恒的15m³化粪池和40m³/d污水处理站处理后回用于新兴仁恒厂内绿化、降尘。印刷机和印版清洗废水经清洗废水预处理设施处理后依托新兴仁恒40m³/d污水处理站处理后回用于新兴仁恒厂内绿化、降尘</w:t>
                  </w:r>
                  <w:r>
                    <w:rPr>
                      <w:rFonts w:hint="default" w:ascii="Times New Roman" w:hAnsi="Times New Roman" w:eastAsia="宋体" w:cs="Times New Roman"/>
                      <w:color w:val="auto"/>
                      <w:kern w:val="0"/>
                      <w:sz w:val="21"/>
                      <w:szCs w:val="21"/>
                      <w:lang w:val="en-US" w:eastAsia="zh-CN" w:bidi="ar-SA"/>
                    </w:rPr>
                    <w:t>。</w:t>
                  </w:r>
                </w:p>
              </w:tc>
              <w:tc>
                <w:tcPr>
                  <w:tcW w:w="639" w:type="dxa"/>
                  <w:vMerge w:val="continue"/>
                  <w:vAlign w:val="center"/>
                </w:tcPr>
                <w:p w14:paraId="20AB05A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5117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dxa"/>
                  <w:gridSpan w:val="2"/>
                  <w:vAlign w:val="center"/>
                </w:tcPr>
                <w:p w14:paraId="21699EB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噪声</w:t>
                  </w:r>
                </w:p>
              </w:tc>
              <w:tc>
                <w:tcPr>
                  <w:tcW w:w="6000" w:type="dxa"/>
                  <w:vAlign w:val="center"/>
                </w:tcPr>
                <w:p w14:paraId="7C582D1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采用厂房密封隔声，设备定期保养检修，基础减振，安装消声器，合理安排生产工段，夜间禁止作业等措施。</w:t>
                  </w:r>
                </w:p>
              </w:tc>
              <w:tc>
                <w:tcPr>
                  <w:tcW w:w="639" w:type="dxa"/>
                  <w:vMerge w:val="continue"/>
                  <w:vAlign w:val="center"/>
                </w:tcPr>
                <w:p w14:paraId="537C9EA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66CC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restart"/>
                  <w:vAlign w:val="center"/>
                </w:tcPr>
                <w:p w14:paraId="28B57D2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固废</w:t>
                  </w:r>
                </w:p>
              </w:tc>
              <w:tc>
                <w:tcPr>
                  <w:tcW w:w="1099" w:type="dxa"/>
                  <w:vAlign w:val="center"/>
                </w:tcPr>
                <w:p w14:paraId="258E030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生活垃圾</w:t>
                  </w:r>
                </w:p>
              </w:tc>
              <w:tc>
                <w:tcPr>
                  <w:tcW w:w="6000" w:type="dxa"/>
                  <w:vAlign w:val="center"/>
                </w:tcPr>
                <w:p w14:paraId="437421A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定点收集，送垃圾填埋场。</w:t>
                  </w:r>
                </w:p>
              </w:tc>
              <w:tc>
                <w:tcPr>
                  <w:tcW w:w="639" w:type="dxa"/>
                  <w:vMerge w:val="continue"/>
                  <w:vAlign w:val="center"/>
                </w:tcPr>
                <w:p w14:paraId="181EEC5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E81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Merge w:val="continue"/>
                  <w:vAlign w:val="center"/>
                </w:tcPr>
                <w:p w14:paraId="03784C3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99" w:type="dxa"/>
                  <w:vAlign w:val="center"/>
                </w:tcPr>
                <w:p w14:paraId="1BD49DC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一般工业固废</w:t>
                  </w:r>
                </w:p>
              </w:tc>
              <w:tc>
                <w:tcPr>
                  <w:tcW w:w="6000" w:type="dxa"/>
                  <w:vAlign w:val="center"/>
                </w:tcPr>
                <w:p w14:paraId="5165B93B">
                  <w:pPr>
                    <w:pStyle w:val="64"/>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（1）一般工业固废</w:t>
                  </w:r>
                </w:p>
                <w:p w14:paraId="07D28A5D">
                  <w:pPr>
                    <w:pStyle w:val="31"/>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①废包装材料</w:t>
                  </w:r>
                </w:p>
                <w:p w14:paraId="6C2E7942">
                  <w:pPr>
                    <w:pStyle w:val="31"/>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运营过程产生的</w:t>
                  </w:r>
                  <w:r>
                    <w:rPr>
                      <w:rFonts w:hint="default" w:ascii="Times New Roman" w:hAnsi="Times New Roman" w:eastAsia="宋体" w:cs="Times New Roman"/>
                      <w:color w:val="auto"/>
                      <w:highlight w:val="none"/>
                    </w:rPr>
                    <w:t>废包装材料分类收集后暂存于一般固废暂存间，定期</w:t>
                  </w:r>
                  <w:r>
                    <w:rPr>
                      <w:rFonts w:hint="default" w:ascii="Times New Roman" w:hAnsi="Times New Roman" w:eastAsia="宋体" w:cs="Times New Roman"/>
                      <w:color w:val="auto"/>
                      <w:highlight w:val="none"/>
                      <w:lang w:val="en-US" w:eastAsia="zh-CN"/>
                    </w:rPr>
                    <w:t>交由瓦楞纸供应商回收利用</w:t>
                  </w:r>
                  <w:r>
                    <w:rPr>
                      <w:rFonts w:hint="default" w:ascii="Times New Roman" w:hAnsi="Times New Roman" w:eastAsia="宋体" w:cs="Times New Roman"/>
                      <w:color w:val="auto"/>
                      <w:highlight w:val="none"/>
                    </w:rPr>
                    <w:t>。</w:t>
                  </w:r>
                </w:p>
                <w:p w14:paraId="4893517B">
                  <w:pPr>
                    <w:pStyle w:val="31"/>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②边角料和不合格产品</w:t>
                  </w:r>
                </w:p>
                <w:p w14:paraId="37BDF4C6">
                  <w:pPr>
                    <w:pStyle w:val="31"/>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项目运营过程中会产生的废边角料和不合格产品，统一收集后暂存于一般固废暂存间，定期</w:t>
                  </w:r>
                  <w:r>
                    <w:rPr>
                      <w:rFonts w:hint="default" w:ascii="Times New Roman" w:hAnsi="Times New Roman" w:eastAsia="宋体" w:cs="Times New Roman"/>
                      <w:color w:val="auto"/>
                      <w:highlight w:val="none"/>
                      <w:lang w:val="en-US" w:eastAsia="zh-CN"/>
                    </w:rPr>
                    <w:t>交由瓦楞纸供应商回收利用</w:t>
                  </w:r>
                  <w:r>
                    <w:rPr>
                      <w:rFonts w:hint="default" w:ascii="Times New Roman" w:hAnsi="Times New Roman" w:eastAsia="宋体" w:cs="Times New Roman"/>
                      <w:color w:val="auto"/>
                      <w:highlight w:val="none"/>
                    </w:rPr>
                    <w:t>。</w:t>
                  </w:r>
                </w:p>
                <w:p w14:paraId="1B6AC996">
                  <w:pPr>
                    <w:pStyle w:val="31"/>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③废胶渣</w:t>
                  </w:r>
                </w:p>
                <w:p w14:paraId="671948C5">
                  <w:pPr>
                    <w:pStyle w:val="31"/>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项目运营过程中使用</w:t>
                  </w:r>
                  <w:r>
                    <w:rPr>
                      <w:rFonts w:hint="default" w:ascii="Times New Roman" w:hAnsi="Times New Roman" w:eastAsia="宋体" w:cs="Times New Roman"/>
                      <w:color w:val="auto"/>
                      <w:lang w:val="en-US" w:eastAsia="zh-CN"/>
                    </w:rPr>
                    <w:t>乳胶</w:t>
                  </w:r>
                  <w:r>
                    <w:rPr>
                      <w:rFonts w:hint="default" w:ascii="Times New Roman" w:hAnsi="Times New Roman" w:eastAsia="宋体" w:cs="Times New Roman"/>
                      <w:color w:val="auto"/>
                    </w:rPr>
                    <w:t>，会产生少量废胶渣</w:t>
                  </w:r>
                  <w:r>
                    <w:rPr>
                      <w:rFonts w:hint="default" w:ascii="Times New Roman" w:hAnsi="Times New Roman" w:eastAsia="宋体" w:cs="Times New Roman"/>
                      <w:color w:val="auto"/>
                      <w:lang w:val="en-US" w:eastAsia="zh-CN"/>
                    </w:rPr>
                    <w:t>并入生活垃圾处理。</w:t>
                  </w:r>
                </w:p>
                <w:p w14:paraId="5BD9DCD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危险废物</w:t>
                  </w:r>
                </w:p>
                <w:p w14:paraId="21A3E13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项目运营过程中产生的危险废物主要为危险废物包括废润滑油、废润滑油桶、废活性炭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包含废气治理及废水治理的活性炭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、废水性油墨桶、破损的</w:t>
                  </w:r>
                  <w:r>
                    <w:rPr>
                      <w:rFonts w:hint="default" w:ascii="Times New Roman" w:hAnsi="Times New Roman" w:eastAsia="宋体" w:cs="Times New Roman"/>
                      <w:color w:val="auto"/>
                      <w:lang w:eastAsia="zh-CN"/>
                    </w:rPr>
                    <w:t>乳胶</w:t>
                  </w:r>
                  <w:r>
                    <w:rPr>
                      <w:rFonts w:hint="default" w:ascii="Times New Roman" w:hAnsi="Times New Roman" w:eastAsia="宋体" w:cs="Times New Roman"/>
                      <w:color w:val="auto"/>
                    </w:rPr>
                    <w:t>桶</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收集至危废暂存间由云南大地丰源环保有限公司清运处置</w:t>
                  </w:r>
                  <w:r>
                    <w:rPr>
                      <w:rFonts w:hint="default" w:ascii="Times New Roman" w:hAnsi="Times New Roman" w:eastAsia="宋体" w:cs="Times New Roman"/>
                      <w:color w:val="auto"/>
                      <w:kern w:val="2"/>
                      <w:sz w:val="21"/>
                      <w:szCs w:val="21"/>
                      <w:lang w:val="en-US" w:eastAsia="zh-CN" w:bidi="ar-SA"/>
                    </w:rPr>
                    <w:t>。</w:t>
                  </w:r>
                </w:p>
              </w:tc>
              <w:tc>
                <w:tcPr>
                  <w:tcW w:w="639" w:type="dxa"/>
                  <w:vMerge w:val="continue"/>
                  <w:vAlign w:val="center"/>
                </w:tcPr>
                <w:p w14:paraId="45B95B1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14:paraId="19A0192B">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w:t>
            </w:r>
            <w:r>
              <w:rPr>
                <w:rFonts w:hint="default" w:ascii="Times New Roman" w:hAnsi="Times New Roman" w:eastAsia="宋体" w:cs="Times New Roman"/>
                <w:b/>
                <w:bCs/>
                <w:color w:val="auto"/>
                <w:szCs w:val="21"/>
                <w:lang w:val="en-US" w:eastAsia="zh-CN"/>
              </w:rPr>
              <w:t>24</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kern w:val="2"/>
                <w:sz w:val="21"/>
                <w:szCs w:val="21"/>
                <w:lang w:val="en-US" w:eastAsia="zh-CN" w:bidi="ar-SA"/>
              </w:rPr>
              <w:t>云南新兴仁恒包装材料有限公司</w:t>
            </w:r>
            <w:r>
              <w:rPr>
                <w:rFonts w:hint="default" w:ascii="Times New Roman" w:hAnsi="Times New Roman" w:eastAsia="宋体" w:cs="Times New Roman"/>
                <w:b/>
                <w:bCs/>
                <w:color w:val="auto"/>
                <w:szCs w:val="21"/>
                <w:lang w:val="en-US" w:eastAsia="zh-CN"/>
              </w:rPr>
              <w:t>4A车间</w:t>
            </w:r>
            <w:r>
              <w:rPr>
                <w:rFonts w:hint="default" w:ascii="Times New Roman" w:hAnsi="Times New Roman" w:eastAsia="宋体" w:cs="Times New Roman"/>
                <w:b/>
                <w:bCs/>
                <w:color w:val="auto"/>
                <w:szCs w:val="21"/>
              </w:rPr>
              <w:t>存在的主要环境问题</w:t>
            </w:r>
          </w:p>
          <w:p w14:paraId="2D422E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根据现场踏勘，本项目租赁</w:t>
            </w:r>
            <w:r>
              <w:rPr>
                <w:rFonts w:hint="default" w:ascii="Times New Roman" w:hAnsi="Times New Roman" w:eastAsia="宋体" w:cs="Times New Roman"/>
                <w:color w:val="auto"/>
                <w:szCs w:val="21"/>
                <w:lang w:val="en-US" w:eastAsia="zh-CN"/>
              </w:rPr>
              <w:t>现</w:t>
            </w:r>
            <w:r>
              <w:rPr>
                <w:rFonts w:hint="default" w:ascii="Times New Roman" w:hAnsi="Times New Roman" w:eastAsia="宋体" w:cs="Times New Roman"/>
                <w:color w:val="auto"/>
                <w:szCs w:val="21"/>
              </w:rPr>
              <w:t>有项目</w:t>
            </w:r>
            <w:r>
              <w:rPr>
                <w:rFonts w:hint="default" w:ascii="Times New Roman" w:hAnsi="Times New Roman" w:eastAsia="宋体" w:cs="Times New Roman"/>
                <w:color w:val="auto"/>
                <w:szCs w:val="21"/>
                <w:lang w:val="en-US" w:eastAsia="zh-CN"/>
              </w:rPr>
              <w:t>4A车间</w:t>
            </w:r>
            <w:r>
              <w:rPr>
                <w:rFonts w:hint="default" w:ascii="Times New Roman" w:hAnsi="Times New Roman" w:eastAsia="宋体" w:cs="Times New Roman"/>
                <w:color w:val="auto"/>
                <w:szCs w:val="21"/>
              </w:rPr>
              <w:t>，内部有少量</w:t>
            </w:r>
            <w:r>
              <w:rPr>
                <w:rFonts w:hint="default" w:ascii="Times New Roman" w:hAnsi="Times New Roman" w:eastAsia="宋体" w:cs="Times New Roman"/>
                <w:color w:val="auto"/>
                <w:szCs w:val="21"/>
                <w:lang w:val="en-US" w:eastAsia="zh-CN"/>
              </w:rPr>
              <w:t>设备和原材料</w:t>
            </w:r>
            <w:r>
              <w:rPr>
                <w:rFonts w:hint="default" w:ascii="Times New Roman" w:hAnsi="Times New Roman" w:eastAsia="宋体" w:cs="Times New Roman"/>
                <w:color w:val="auto"/>
                <w:szCs w:val="21"/>
              </w:rPr>
              <w:t>，地面无水渍印，</w:t>
            </w:r>
            <w:r>
              <w:rPr>
                <w:rFonts w:hint="default" w:ascii="Times New Roman" w:hAnsi="Times New Roman" w:eastAsia="宋体" w:cs="Times New Roman"/>
                <w:color w:val="auto"/>
                <w:szCs w:val="21"/>
                <w:lang w:val="en-US" w:eastAsia="zh-CN"/>
              </w:rPr>
              <w:t>原4A车间主要作为分切、产品仓库使用，</w:t>
            </w:r>
            <w:r>
              <w:rPr>
                <w:rFonts w:hint="default" w:ascii="Times New Roman" w:hAnsi="Times New Roman" w:eastAsia="宋体" w:cs="Times New Roman"/>
                <w:color w:val="auto"/>
                <w:szCs w:val="21"/>
              </w:rPr>
              <w:t>不存在原有环境污染问题。</w:t>
            </w:r>
          </w:p>
          <w:p w14:paraId="1001FE4D">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2.25</w:t>
            </w:r>
            <w:r>
              <w:rPr>
                <w:rFonts w:hint="default" w:ascii="Times New Roman" w:hAnsi="Times New Roman" w:eastAsia="宋体" w:cs="Times New Roman"/>
                <w:b/>
                <w:bCs/>
                <w:color w:val="auto"/>
                <w:lang w:val="en-US" w:eastAsia="zh-CN"/>
              </w:rPr>
              <w:t>原有</w:t>
            </w:r>
            <w:r>
              <w:rPr>
                <w:rFonts w:hint="default" w:ascii="Times New Roman" w:hAnsi="Times New Roman" w:eastAsia="宋体" w:cs="Times New Roman"/>
                <w:b/>
                <w:bCs/>
                <w:color w:val="auto"/>
                <w:szCs w:val="21"/>
                <w:lang w:val="en-US" w:eastAsia="zh-CN"/>
              </w:rPr>
              <w:t>瓦楞纸板生产</w:t>
            </w:r>
            <w:r>
              <w:rPr>
                <w:rFonts w:hint="default" w:ascii="Times New Roman" w:hAnsi="Times New Roman" w:eastAsia="宋体" w:cs="Times New Roman"/>
                <w:b/>
                <w:bCs/>
                <w:color w:val="auto"/>
                <w:szCs w:val="21"/>
              </w:rPr>
              <w:t>项目</w:t>
            </w:r>
            <w:r>
              <w:rPr>
                <w:rFonts w:hint="default" w:ascii="Times New Roman" w:hAnsi="Times New Roman" w:eastAsia="宋体" w:cs="Times New Roman"/>
                <w:b/>
                <w:bCs/>
                <w:color w:val="auto"/>
                <w:sz w:val="21"/>
                <w:szCs w:val="21"/>
                <w:lang w:val="en-US" w:eastAsia="zh-CN"/>
              </w:rPr>
              <w:t>存在问题</w:t>
            </w:r>
          </w:p>
          <w:p w14:paraId="0958B70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b w:val="0"/>
                <w:bCs w:val="0"/>
                <w:color w:val="auto"/>
                <w:lang w:val="en-US" w:eastAsia="zh-CN"/>
              </w:rPr>
              <w:t>原有</w:t>
            </w:r>
            <w:r>
              <w:rPr>
                <w:rFonts w:hint="default" w:ascii="Times New Roman" w:hAnsi="Times New Roman" w:eastAsia="宋体" w:cs="Times New Roman"/>
                <w:b w:val="0"/>
                <w:bCs w:val="0"/>
                <w:color w:val="auto"/>
                <w:szCs w:val="21"/>
                <w:lang w:val="en-US" w:eastAsia="zh-CN"/>
              </w:rPr>
              <w:t>瓦楞纸板生产</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color w:val="auto"/>
                <w:kern w:val="0"/>
                <w:sz w:val="21"/>
                <w:szCs w:val="21"/>
              </w:rPr>
              <w:t>涉及的</w:t>
            </w:r>
            <w:r>
              <w:rPr>
                <w:rFonts w:hint="default" w:ascii="Times New Roman" w:hAnsi="Times New Roman" w:eastAsia="宋体" w:cs="Times New Roman"/>
                <w:color w:val="auto"/>
                <w:kern w:val="0"/>
                <w:sz w:val="21"/>
                <w:szCs w:val="21"/>
                <w:lang w:val="en-US" w:eastAsia="zh-CN"/>
              </w:rPr>
              <w:t>6t/h生物质锅炉属于燃煤改燃生物质锅炉，属于</w:t>
            </w:r>
            <w:r>
              <w:rPr>
                <w:rFonts w:hint="default" w:ascii="Times New Roman" w:hAnsi="Times New Roman" w:eastAsia="宋体" w:cs="Times New Roman"/>
                <w:b w:val="0"/>
                <w:bCs w:val="0"/>
                <w:color w:val="auto"/>
                <w:sz w:val="21"/>
                <w:szCs w:val="21"/>
                <w:u w:val="none"/>
                <w:lang w:val="en-US" w:eastAsia="zh-CN"/>
              </w:rPr>
              <w:t>《高污染燃料目录》（2017年版）中的“（三）Ⅲ类-3．非专用锅炉或未配置高效除尘设施的专用锅炉燃用的生物质成型燃料。”</w:t>
            </w:r>
          </w:p>
          <w:p w14:paraId="5E0306CC">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u w:val="none"/>
              </w:rPr>
              <w:t>本项目所在地属于高污染燃料禁燃区</w:t>
            </w:r>
            <w:r>
              <w:rPr>
                <w:rFonts w:hint="default"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lang w:val="en-US" w:eastAsia="zh-CN"/>
              </w:rPr>
              <w:t>必须</w:t>
            </w:r>
            <w:r>
              <w:rPr>
                <w:rFonts w:hint="default" w:ascii="Times New Roman" w:hAnsi="Times New Roman" w:eastAsia="宋体" w:cs="Times New Roman"/>
                <w:color w:val="auto"/>
                <w:sz w:val="21"/>
                <w:szCs w:val="21"/>
                <w:lang w:val="en-US" w:eastAsia="zh-CN"/>
              </w:rPr>
              <w:t>使用生物质专用锅炉，因此</w:t>
            </w:r>
            <w:r>
              <w:rPr>
                <w:rFonts w:hint="default" w:ascii="Times New Roman" w:hAnsi="Times New Roman" w:eastAsia="宋体" w:cs="Times New Roman"/>
                <w:b w:val="0"/>
                <w:bCs w:val="0"/>
                <w:color w:val="auto"/>
                <w:lang w:val="en-US" w:eastAsia="zh-CN"/>
              </w:rPr>
              <w:t>原有</w:t>
            </w:r>
            <w:r>
              <w:rPr>
                <w:rFonts w:hint="default" w:ascii="Times New Roman" w:hAnsi="Times New Roman" w:eastAsia="宋体" w:cs="Times New Roman"/>
                <w:b w:val="0"/>
                <w:bCs w:val="0"/>
                <w:color w:val="auto"/>
                <w:szCs w:val="21"/>
                <w:lang w:val="en-US" w:eastAsia="zh-CN"/>
              </w:rPr>
              <w:t>瓦楞纸板生产</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b w:val="0"/>
                <w:bCs w:val="0"/>
                <w:color w:val="auto"/>
                <w:szCs w:val="21"/>
                <w:lang w:eastAsia="zh-CN"/>
              </w:rPr>
              <w:t>的</w:t>
            </w:r>
            <w:r>
              <w:rPr>
                <w:rFonts w:hint="default" w:ascii="Times New Roman" w:hAnsi="Times New Roman" w:eastAsia="宋体" w:cs="Times New Roman"/>
                <w:b w:val="0"/>
                <w:bCs w:val="0"/>
                <w:color w:val="auto"/>
                <w:szCs w:val="21"/>
                <w:lang w:val="en-US" w:eastAsia="zh-CN"/>
              </w:rPr>
              <w:t>6t/h生物质锅炉不得在本项目中利旧，需要拆除。</w:t>
            </w:r>
          </w:p>
          <w:p w14:paraId="257E9FC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b w:val="0"/>
                <w:bCs w:val="0"/>
                <w:color w:val="auto"/>
                <w:lang w:val="en-US" w:eastAsia="zh-CN"/>
              </w:rPr>
              <w:t>原有</w:t>
            </w:r>
            <w:r>
              <w:rPr>
                <w:rFonts w:hint="default" w:ascii="Times New Roman" w:hAnsi="Times New Roman" w:eastAsia="宋体" w:cs="Times New Roman"/>
                <w:b w:val="0"/>
                <w:bCs w:val="0"/>
                <w:color w:val="auto"/>
                <w:szCs w:val="21"/>
                <w:lang w:val="en-US" w:eastAsia="zh-CN"/>
              </w:rPr>
              <w:t>瓦楞纸板生产</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color w:val="auto"/>
                <w:kern w:val="0"/>
                <w:sz w:val="21"/>
                <w:szCs w:val="21"/>
              </w:rPr>
              <w:t>涉及的</w:t>
            </w:r>
            <w:r>
              <w:rPr>
                <w:rFonts w:hint="default" w:ascii="Times New Roman" w:hAnsi="Times New Roman" w:eastAsia="宋体" w:cs="Times New Roman"/>
                <w:color w:val="auto"/>
                <w:kern w:val="0"/>
                <w:sz w:val="21"/>
                <w:szCs w:val="21"/>
                <w:lang w:val="en-US" w:eastAsia="zh-CN"/>
              </w:rPr>
              <w:t>6t/h生物质锅炉采取水膜除尘的方式进行锅炉废气中的颗粒物去除，不属于</w:t>
            </w:r>
            <w:r>
              <w:rPr>
                <w:rFonts w:hint="default" w:ascii="Times New Roman" w:hAnsi="Times New Roman" w:eastAsia="宋体" w:cs="Times New Roman"/>
                <w:b w:val="0"/>
                <w:bCs w:val="0"/>
                <w:color w:val="auto"/>
                <w:sz w:val="21"/>
                <w:szCs w:val="21"/>
                <w:u w:val="none"/>
                <w:lang w:val="en-US" w:eastAsia="zh-CN"/>
              </w:rPr>
              <w:t>《高污染燃料目录》（2017年版）中的“（三）Ⅲ类-3．非专用锅炉或未配置高效除尘设施的专用锅炉燃用的生物质成型燃料。”</w:t>
            </w:r>
          </w:p>
          <w:p w14:paraId="0F6B629E">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因此，</w:t>
            </w:r>
            <w:r>
              <w:rPr>
                <w:rFonts w:hint="default" w:ascii="Times New Roman" w:hAnsi="Times New Roman" w:eastAsia="宋体" w:cs="Times New Roman"/>
                <w:b w:val="0"/>
                <w:bCs w:val="0"/>
                <w:color w:val="auto"/>
                <w:lang w:val="en-US" w:eastAsia="zh-CN"/>
              </w:rPr>
              <w:t>原有</w:t>
            </w:r>
            <w:r>
              <w:rPr>
                <w:rFonts w:hint="default" w:ascii="Times New Roman" w:hAnsi="Times New Roman" w:eastAsia="宋体" w:cs="Times New Roman"/>
                <w:b w:val="0"/>
                <w:bCs w:val="0"/>
                <w:color w:val="auto"/>
                <w:szCs w:val="21"/>
                <w:lang w:val="en-US" w:eastAsia="zh-CN"/>
              </w:rPr>
              <w:t>瓦楞纸板生产</w:t>
            </w:r>
            <w:r>
              <w:rPr>
                <w:rFonts w:hint="default" w:ascii="Times New Roman" w:hAnsi="Times New Roman" w:eastAsia="宋体" w:cs="Times New Roman"/>
                <w:b w:val="0"/>
                <w:bCs w:val="0"/>
                <w:color w:val="auto"/>
                <w:szCs w:val="21"/>
              </w:rPr>
              <w:t>项目</w:t>
            </w:r>
            <w:r>
              <w:rPr>
                <w:rFonts w:hint="default" w:ascii="Times New Roman" w:hAnsi="Times New Roman" w:eastAsia="宋体" w:cs="Times New Roman"/>
                <w:b w:val="0"/>
                <w:bCs w:val="0"/>
                <w:color w:val="auto"/>
                <w:szCs w:val="21"/>
                <w:lang w:eastAsia="zh-CN"/>
              </w:rPr>
              <w:t>的</w:t>
            </w:r>
            <w:r>
              <w:rPr>
                <w:rFonts w:hint="default" w:ascii="Times New Roman" w:hAnsi="Times New Roman" w:eastAsia="宋体" w:cs="Times New Roman"/>
                <w:b w:val="0"/>
                <w:bCs w:val="0"/>
                <w:color w:val="auto"/>
                <w:szCs w:val="21"/>
                <w:lang w:val="en-US" w:eastAsia="zh-CN"/>
              </w:rPr>
              <w:t>水膜除尘器不得在本项目中利旧，需要拆除。</w:t>
            </w:r>
          </w:p>
          <w:p w14:paraId="7167F6B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2.26“以新带老”措施</w:t>
            </w:r>
          </w:p>
          <w:p w14:paraId="0A7A3BD8">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1、本项目将新购置1套4t/h的生物质专用锅炉。</w:t>
            </w:r>
          </w:p>
          <w:p w14:paraId="2DA94763">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2、本项目将采用多管除尘+布袋除尘的高效除尘系统。</w:t>
            </w:r>
          </w:p>
          <w:p w14:paraId="0FD35061">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2.27“三本账”</w:t>
            </w:r>
          </w:p>
          <w:p w14:paraId="6167DEEA">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原有项目污染物排放量根据《七层瓦楞纸板制品生产线项目环境影响报告表》《云南兴恒包装有限公司新建七层瓦楞纸板制品生产线项目竣工环境保护验收监测报告表》（玉环监字[2005]154号）；现有项目污染物排放量根据《云南兴恒包装瓦楞纸箱生产线搬迁环境影响报告表》（玉红环审[2025]17号）及其自主验收报告</w:t>
            </w:r>
            <w:r>
              <w:rPr>
                <w:rFonts w:hint="default" w:ascii="Times New Roman" w:hAnsi="Times New Roman" w:eastAsia="宋体" w:cs="Times New Roman"/>
                <w:b w:val="0"/>
                <w:bCs w:val="0"/>
                <w:color w:val="auto"/>
                <w:szCs w:val="21"/>
                <w:lang w:eastAsia="zh-CN"/>
              </w:rPr>
              <w:t>，</w:t>
            </w:r>
            <w:r>
              <w:rPr>
                <w:rFonts w:hint="default" w:ascii="Times New Roman" w:hAnsi="Times New Roman" w:eastAsia="宋体" w:cs="Times New Roman"/>
                <w:b w:val="0"/>
                <w:bCs w:val="0"/>
                <w:color w:val="auto"/>
                <w:szCs w:val="21"/>
                <w:lang w:val="en-US" w:eastAsia="zh-CN"/>
              </w:rPr>
              <w:t>可得到本项目</w:t>
            </w:r>
            <w:r>
              <w:rPr>
                <w:rFonts w:hint="default" w:ascii="Times New Roman" w:hAnsi="Times New Roman" w:eastAsia="宋体" w:cs="Times New Roman"/>
                <w:b w:val="0"/>
                <w:bCs w:val="0"/>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三本账”如下表：</w:t>
            </w:r>
          </w:p>
          <w:p w14:paraId="0C7D665A">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imes New Roman" w:hAnsi="Times New Roman" w:eastAsia="宋体" w:cs="Times New Roman"/>
                <w:b/>
                <w:bCs/>
                <w:i w:val="0"/>
                <w:i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lang w:val="en-US" w:eastAsia="zh-CN"/>
              </w:rPr>
              <w:t>表2-23  本项目“三本账”</w:t>
            </w:r>
          </w:p>
          <w:tbl>
            <w:tblPr>
              <w:tblStyle w:val="26"/>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48"/>
              <w:gridCol w:w="1089"/>
              <w:gridCol w:w="1088"/>
              <w:gridCol w:w="1045"/>
              <w:gridCol w:w="926"/>
              <w:gridCol w:w="989"/>
              <w:gridCol w:w="996"/>
            </w:tblGrid>
            <w:tr w14:paraId="150C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63" w:type="dxa"/>
                  <w:vAlign w:val="center"/>
                </w:tcPr>
                <w:p w14:paraId="4500D37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污染物类别</w:t>
                  </w:r>
                </w:p>
              </w:tc>
              <w:tc>
                <w:tcPr>
                  <w:tcW w:w="1248" w:type="dxa"/>
                  <w:vAlign w:val="center"/>
                </w:tcPr>
                <w:p w14:paraId="48FC32C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污染物名称</w:t>
                  </w:r>
                </w:p>
              </w:tc>
              <w:tc>
                <w:tcPr>
                  <w:tcW w:w="1089" w:type="dxa"/>
                  <w:vAlign w:val="center"/>
                </w:tcPr>
                <w:p w14:paraId="0E0CA78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原有</w:t>
                  </w:r>
                  <w:r>
                    <w:rPr>
                      <w:rFonts w:hint="default" w:ascii="Times New Roman" w:hAnsi="Times New Roman" w:eastAsia="宋体" w:cs="Times New Roman"/>
                      <w:b w:val="0"/>
                      <w:bCs w:val="0"/>
                      <w:color w:val="auto"/>
                      <w:sz w:val="21"/>
                      <w:szCs w:val="21"/>
                      <w:lang w:val="en-US" w:eastAsia="zh-CN"/>
                    </w:rPr>
                    <w:t>瓦楞纸板生产线</w:t>
                  </w:r>
                  <w:r>
                    <w:rPr>
                      <w:rFonts w:hint="default" w:ascii="Times New Roman" w:hAnsi="Times New Roman" w:eastAsia="宋体" w:cs="Times New Roman"/>
                      <w:b w:val="0"/>
                      <w:bCs w:val="0"/>
                      <w:color w:val="auto"/>
                      <w:sz w:val="21"/>
                      <w:szCs w:val="21"/>
                    </w:rPr>
                    <w:t>项目</w:t>
                  </w:r>
                </w:p>
              </w:tc>
              <w:tc>
                <w:tcPr>
                  <w:tcW w:w="1088" w:type="dxa"/>
                  <w:vAlign w:val="center"/>
                </w:tcPr>
                <w:p w14:paraId="5D172F3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现有瓦楞纸箱生产线</w:t>
                  </w:r>
                  <w:r>
                    <w:rPr>
                      <w:rFonts w:hint="default" w:ascii="Times New Roman" w:hAnsi="Times New Roman" w:eastAsia="宋体" w:cs="Times New Roman"/>
                      <w:b w:val="0"/>
                      <w:bCs w:val="0"/>
                      <w:color w:val="auto"/>
                      <w:sz w:val="21"/>
                      <w:szCs w:val="21"/>
                    </w:rPr>
                    <w:t>项目</w:t>
                  </w:r>
                </w:p>
              </w:tc>
              <w:tc>
                <w:tcPr>
                  <w:tcW w:w="1045" w:type="dxa"/>
                  <w:vAlign w:val="center"/>
                </w:tcPr>
                <w:p w14:paraId="223560C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以新带老</w:t>
                  </w:r>
                </w:p>
              </w:tc>
              <w:tc>
                <w:tcPr>
                  <w:tcW w:w="926" w:type="dxa"/>
                  <w:vAlign w:val="center"/>
                </w:tcPr>
                <w:p w14:paraId="226C7B8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本项目排放量</w:t>
                  </w:r>
                </w:p>
              </w:tc>
              <w:tc>
                <w:tcPr>
                  <w:tcW w:w="989" w:type="dxa"/>
                  <w:vAlign w:val="center"/>
                </w:tcPr>
                <w:p w14:paraId="0475C45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全厂合计</w:t>
                  </w:r>
                </w:p>
              </w:tc>
              <w:tc>
                <w:tcPr>
                  <w:tcW w:w="996" w:type="dxa"/>
                  <w:vAlign w:val="center"/>
                </w:tcPr>
                <w:p w14:paraId="5D93523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变化量</w:t>
                  </w:r>
                </w:p>
              </w:tc>
            </w:tr>
            <w:tr w14:paraId="6B5F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vAlign w:val="center"/>
                </w:tcPr>
                <w:p w14:paraId="775B9E4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废气</w:t>
                  </w:r>
                </w:p>
              </w:tc>
              <w:tc>
                <w:tcPr>
                  <w:tcW w:w="1248" w:type="dxa"/>
                  <w:vAlign w:val="center"/>
                </w:tcPr>
                <w:p w14:paraId="3238224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颗粒物</w:t>
                  </w:r>
                </w:p>
              </w:tc>
              <w:tc>
                <w:tcPr>
                  <w:tcW w:w="1089" w:type="dxa"/>
                  <w:vAlign w:val="center"/>
                </w:tcPr>
                <w:p w14:paraId="73AE5B2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4.128</w:t>
                  </w:r>
                  <w:r>
                    <w:rPr>
                      <w:rFonts w:hint="default" w:ascii="Times New Roman" w:hAnsi="Times New Roman" w:eastAsia="宋体" w:cs="Times New Roman"/>
                      <w:b w:val="0"/>
                      <w:bCs/>
                      <w:color w:val="auto"/>
                      <w:sz w:val="21"/>
                      <w:szCs w:val="21"/>
                      <w:lang w:val="en-US" w:eastAsia="zh-CN"/>
                    </w:rPr>
                    <w:t>t/a</w:t>
                  </w:r>
                </w:p>
              </w:tc>
              <w:tc>
                <w:tcPr>
                  <w:tcW w:w="1088" w:type="dxa"/>
                  <w:vAlign w:val="center"/>
                </w:tcPr>
                <w:p w14:paraId="119E310A">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2C65A3E9">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4.128</w:t>
                  </w:r>
                  <w:r>
                    <w:rPr>
                      <w:rFonts w:hint="default" w:ascii="Times New Roman" w:hAnsi="Times New Roman" w:eastAsia="宋体" w:cs="Times New Roman"/>
                      <w:b w:val="0"/>
                      <w:bCs/>
                      <w:color w:val="auto"/>
                      <w:sz w:val="21"/>
                      <w:szCs w:val="21"/>
                      <w:lang w:val="en-US" w:eastAsia="zh-CN"/>
                    </w:rPr>
                    <w:t>t/a</w:t>
                  </w:r>
                </w:p>
              </w:tc>
              <w:tc>
                <w:tcPr>
                  <w:tcW w:w="926" w:type="dxa"/>
                  <w:vAlign w:val="center"/>
                </w:tcPr>
                <w:p w14:paraId="2A12328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0.46t/a</w:t>
                  </w:r>
                </w:p>
              </w:tc>
              <w:tc>
                <w:tcPr>
                  <w:tcW w:w="989" w:type="dxa"/>
                  <w:vAlign w:val="center"/>
                </w:tcPr>
                <w:p w14:paraId="1740F2D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0.46t/a</w:t>
                  </w:r>
                </w:p>
              </w:tc>
              <w:tc>
                <w:tcPr>
                  <w:tcW w:w="996" w:type="dxa"/>
                  <w:vAlign w:val="center"/>
                </w:tcPr>
                <w:p w14:paraId="59F321B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-3.668t/a</w:t>
                  </w:r>
                </w:p>
              </w:tc>
            </w:tr>
            <w:tr w14:paraId="68AB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2A7A9E5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p>
              </w:tc>
              <w:tc>
                <w:tcPr>
                  <w:tcW w:w="1248" w:type="dxa"/>
                  <w:vAlign w:val="center"/>
                </w:tcPr>
                <w:p w14:paraId="04D24A0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二氧化硫</w:t>
                  </w:r>
                </w:p>
              </w:tc>
              <w:tc>
                <w:tcPr>
                  <w:tcW w:w="1089" w:type="dxa"/>
                  <w:vAlign w:val="center"/>
                </w:tcPr>
                <w:p w14:paraId="14B0307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1.248</w:t>
                  </w:r>
                  <w:r>
                    <w:rPr>
                      <w:rFonts w:hint="default" w:ascii="Times New Roman" w:hAnsi="Times New Roman" w:eastAsia="宋体" w:cs="Times New Roman"/>
                      <w:b w:val="0"/>
                      <w:bCs/>
                      <w:color w:val="auto"/>
                      <w:sz w:val="21"/>
                      <w:szCs w:val="21"/>
                      <w:lang w:val="en-US" w:eastAsia="zh-CN"/>
                    </w:rPr>
                    <w:t>t/a</w:t>
                  </w:r>
                </w:p>
              </w:tc>
              <w:tc>
                <w:tcPr>
                  <w:tcW w:w="1088" w:type="dxa"/>
                  <w:vAlign w:val="center"/>
                </w:tcPr>
                <w:p w14:paraId="40A53410">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4E0D61E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1.248</w:t>
                  </w:r>
                  <w:r>
                    <w:rPr>
                      <w:rFonts w:hint="default" w:ascii="Times New Roman" w:hAnsi="Times New Roman" w:eastAsia="宋体" w:cs="Times New Roman"/>
                      <w:b w:val="0"/>
                      <w:bCs/>
                      <w:color w:val="auto"/>
                      <w:sz w:val="21"/>
                      <w:szCs w:val="21"/>
                      <w:lang w:val="en-US" w:eastAsia="zh-CN"/>
                    </w:rPr>
                    <w:t>t/a</w:t>
                  </w:r>
                </w:p>
              </w:tc>
              <w:tc>
                <w:tcPr>
                  <w:tcW w:w="926" w:type="dxa"/>
                  <w:vAlign w:val="center"/>
                </w:tcPr>
                <w:p w14:paraId="7711E37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lang w:val="en-US" w:eastAsia="zh-CN"/>
                    </w:rPr>
                    <w:t>0.27</w:t>
                  </w:r>
                  <w:r>
                    <w:rPr>
                      <w:rFonts w:hint="default" w:ascii="Times New Roman" w:hAnsi="Times New Roman" w:eastAsia="宋体" w:cs="Times New Roman"/>
                      <w:color w:val="auto"/>
                      <w:sz w:val="21"/>
                      <w:szCs w:val="21"/>
                      <w:lang w:val="en-US" w:eastAsia="zh-CN"/>
                    </w:rPr>
                    <w:t>t/a</w:t>
                  </w:r>
                </w:p>
              </w:tc>
              <w:tc>
                <w:tcPr>
                  <w:tcW w:w="989" w:type="dxa"/>
                  <w:vAlign w:val="center"/>
                </w:tcPr>
                <w:p w14:paraId="781C44E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0.27</w:t>
                  </w:r>
                  <w:r>
                    <w:rPr>
                      <w:rFonts w:hint="default" w:ascii="Times New Roman" w:hAnsi="Times New Roman" w:eastAsia="宋体" w:cs="Times New Roman"/>
                      <w:color w:val="auto"/>
                      <w:sz w:val="21"/>
                      <w:szCs w:val="21"/>
                      <w:lang w:val="en-US" w:eastAsia="zh-CN"/>
                    </w:rPr>
                    <w:t>t/a</w:t>
                  </w:r>
                </w:p>
              </w:tc>
              <w:tc>
                <w:tcPr>
                  <w:tcW w:w="996" w:type="dxa"/>
                  <w:vAlign w:val="center"/>
                </w:tcPr>
                <w:p w14:paraId="355F6D6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-0.978t/a</w:t>
                  </w:r>
                </w:p>
              </w:tc>
            </w:tr>
            <w:tr w14:paraId="69AC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362CDC9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p>
              </w:tc>
              <w:tc>
                <w:tcPr>
                  <w:tcW w:w="1248" w:type="dxa"/>
                  <w:vAlign w:val="center"/>
                </w:tcPr>
                <w:p w14:paraId="04F1B87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氮氧化物</w:t>
                  </w:r>
                </w:p>
              </w:tc>
              <w:tc>
                <w:tcPr>
                  <w:tcW w:w="1089" w:type="dxa"/>
                  <w:vAlign w:val="center"/>
                </w:tcPr>
                <w:p w14:paraId="75AEF02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13.344</w:t>
                  </w:r>
                  <w:r>
                    <w:rPr>
                      <w:rFonts w:hint="default" w:ascii="Times New Roman" w:hAnsi="Times New Roman" w:eastAsia="宋体" w:cs="Times New Roman"/>
                      <w:b w:val="0"/>
                      <w:bCs/>
                      <w:color w:val="auto"/>
                      <w:sz w:val="21"/>
                      <w:szCs w:val="21"/>
                      <w:lang w:val="en-US" w:eastAsia="zh-CN"/>
                    </w:rPr>
                    <w:t>t/a</w:t>
                  </w:r>
                </w:p>
              </w:tc>
              <w:tc>
                <w:tcPr>
                  <w:tcW w:w="1088" w:type="dxa"/>
                  <w:vAlign w:val="center"/>
                </w:tcPr>
                <w:p w14:paraId="126D84D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2B55C0B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13.344</w:t>
                  </w:r>
                  <w:r>
                    <w:rPr>
                      <w:rFonts w:hint="default" w:ascii="Times New Roman" w:hAnsi="Times New Roman" w:eastAsia="宋体" w:cs="Times New Roman"/>
                      <w:b w:val="0"/>
                      <w:bCs/>
                      <w:color w:val="auto"/>
                      <w:sz w:val="21"/>
                      <w:szCs w:val="21"/>
                      <w:lang w:val="en-US" w:eastAsia="zh-CN"/>
                    </w:rPr>
                    <w:t>t/a</w:t>
                  </w:r>
                </w:p>
              </w:tc>
              <w:tc>
                <w:tcPr>
                  <w:tcW w:w="926" w:type="dxa"/>
                  <w:vAlign w:val="center"/>
                </w:tcPr>
                <w:p w14:paraId="7C5AC5C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lang w:val="en-US" w:eastAsia="zh-CN"/>
                    </w:rPr>
                    <w:t>1.81</w:t>
                  </w:r>
                  <w:r>
                    <w:rPr>
                      <w:rFonts w:hint="default" w:ascii="Times New Roman" w:hAnsi="Times New Roman" w:eastAsia="宋体" w:cs="Times New Roman"/>
                      <w:color w:val="auto"/>
                      <w:sz w:val="21"/>
                      <w:szCs w:val="21"/>
                      <w:lang w:val="en-US" w:eastAsia="zh-CN"/>
                    </w:rPr>
                    <w:t>t/a</w:t>
                  </w:r>
                </w:p>
              </w:tc>
              <w:tc>
                <w:tcPr>
                  <w:tcW w:w="989" w:type="dxa"/>
                  <w:vAlign w:val="center"/>
                </w:tcPr>
                <w:p w14:paraId="5FD1C2A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1.81</w:t>
                  </w:r>
                  <w:r>
                    <w:rPr>
                      <w:rFonts w:hint="default" w:ascii="Times New Roman" w:hAnsi="Times New Roman" w:eastAsia="宋体" w:cs="Times New Roman"/>
                      <w:color w:val="auto"/>
                      <w:sz w:val="21"/>
                      <w:szCs w:val="21"/>
                      <w:lang w:val="en-US" w:eastAsia="zh-CN"/>
                    </w:rPr>
                    <w:t>t/a</w:t>
                  </w:r>
                </w:p>
              </w:tc>
              <w:tc>
                <w:tcPr>
                  <w:tcW w:w="996" w:type="dxa"/>
                  <w:vAlign w:val="center"/>
                </w:tcPr>
                <w:p w14:paraId="16A7E9C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-11.534t/a</w:t>
                  </w:r>
                </w:p>
              </w:tc>
            </w:tr>
            <w:tr w14:paraId="18CC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3A1E037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p>
              </w:tc>
              <w:tc>
                <w:tcPr>
                  <w:tcW w:w="1248" w:type="dxa"/>
                  <w:vAlign w:val="center"/>
                </w:tcPr>
                <w:p w14:paraId="62618D5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非甲烷总烃</w:t>
                  </w:r>
                </w:p>
              </w:tc>
              <w:tc>
                <w:tcPr>
                  <w:tcW w:w="1089" w:type="dxa"/>
                  <w:vAlign w:val="center"/>
                </w:tcPr>
                <w:p w14:paraId="322AA70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88" w:type="dxa"/>
                  <w:vAlign w:val="center"/>
                </w:tcPr>
                <w:p w14:paraId="53CFED8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0.0</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3t/a</w:t>
                  </w:r>
                </w:p>
              </w:tc>
              <w:tc>
                <w:tcPr>
                  <w:tcW w:w="1045" w:type="dxa"/>
                  <w:vAlign w:val="center"/>
                </w:tcPr>
                <w:p w14:paraId="3856A79F">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926" w:type="dxa"/>
                  <w:vAlign w:val="center"/>
                </w:tcPr>
                <w:p w14:paraId="4CD3596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7741BC9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0.0</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3t/a</w:t>
                  </w:r>
                </w:p>
              </w:tc>
              <w:tc>
                <w:tcPr>
                  <w:tcW w:w="996" w:type="dxa"/>
                  <w:vAlign w:val="center"/>
                </w:tcPr>
                <w:p w14:paraId="516EBC5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r w14:paraId="0049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63" w:type="dxa"/>
                  <w:vMerge w:val="restart"/>
                  <w:vAlign w:val="center"/>
                </w:tcPr>
                <w:p w14:paraId="0796D20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废水（生产及生活污水）</w:t>
                  </w:r>
                </w:p>
              </w:tc>
              <w:tc>
                <w:tcPr>
                  <w:tcW w:w="1248" w:type="dxa"/>
                  <w:vAlign w:val="center"/>
                </w:tcPr>
                <w:p w14:paraId="4289D4C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总量</w:t>
                  </w:r>
                </w:p>
              </w:tc>
              <w:tc>
                <w:tcPr>
                  <w:tcW w:w="1089" w:type="dxa"/>
                  <w:vAlign w:val="center"/>
                </w:tcPr>
                <w:p w14:paraId="60A2F04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2970t/a</w:t>
                  </w:r>
                </w:p>
              </w:tc>
              <w:tc>
                <w:tcPr>
                  <w:tcW w:w="1088" w:type="dxa"/>
                  <w:vAlign w:val="center"/>
                </w:tcPr>
                <w:p w14:paraId="5365849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0610CC8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2970t/a</w:t>
                  </w:r>
                </w:p>
              </w:tc>
              <w:tc>
                <w:tcPr>
                  <w:tcW w:w="926" w:type="dxa"/>
                  <w:vAlign w:val="center"/>
                </w:tcPr>
                <w:p w14:paraId="32B1CD2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67C7AEB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70B5837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-2970t/a</w:t>
                  </w:r>
                </w:p>
              </w:tc>
            </w:tr>
            <w:tr w14:paraId="246B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63" w:type="dxa"/>
                  <w:vMerge w:val="continue"/>
                  <w:vAlign w:val="center"/>
                </w:tcPr>
                <w:p w14:paraId="115EFBE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0EC8ACE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val="0"/>
                      <w:color w:val="auto"/>
                      <w:kern w:val="2"/>
                      <w:sz w:val="21"/>
                      <w:szCs w:val="21"/>
                      <w:vertAlign w:val="baseline"/>
                      <w:lang w:val="en-US" w:eastAsia="zh-CN" w:bidi="ar-SA"/>
                    </w:rPr>
                    <w:t>CODcr</w:t>
                  </w:r>
                </w:p>
              </w:tc>
              <w:tc>
                <w:tcPr>
                  <w:tcW w:w="1089" w:type="dxa"/>
                  <w:vAlign w:val="center"/>
                </w:tcPr>
                <w:p w14:paraId="6C69063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0.0891kg/a</w:t>
                  </w:r>
                </w:p>
              </w:tc>
              <w:tc>
                <w:tcPr>
                  <w:tcW w:w="1088" w:type="dxa"/>
                  <w:vAlign w:val="center"/>
                </w:tcPr>
                <w:p w14:paraId="608342B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1045" w:type="dxa"/>
                  <w:vAlign w:val="center"/>
                </w:tcPr>
                <w:p w14:paraId="144A8D4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0.0891kg/a</w:t>
                  </w:r>
                </w:p>
              </w:tc>
              <w:tc>
                <w:tcPr>
                  <w:tcW w:w="926" w:type="dxa"/>
                  <w:vAlign w:val="center"/>
                </w:tcPr>
                <w:p w14:paraId="14B22EB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0C8065F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7261A04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-0.0891kg/a</w:t>
                  </w:r>
                </w:p>
              </w:tc>
            </w:tr>
            <w:tr w14:paraId="76CE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763" w:type="dxa"/>
                  <w:vMerge w:val="continue"/>
                  <w:vAlign w:val="center"/>
                </w:tcPr>
                <w:p w14:paraId="2D6C039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1A29F5E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val="0"/>
                      <w:color w:val="auto"/>
                      <w:kern w:val="2"/>
                      <w:sz w:val="21"/>
                      <w:szCs w:val="21"/>
                      <w:vertAlign w:val="baseline"/>
                      <w:lang w:val="en-US" w:eastAsia="zh-CN" w:bidi="ar-SA"/>
                    </w:rPr>
                    <w:t>色度</w:t>
                  </w:r>
                </w:p>
              </w:tc>
              <w:tc>
                <w:tcPr>
                  <w:tcW w:w="1089" w:type="dxa"/>
                  <w:vAlign w:val="center"/>
                </w:tcPr>
                <w:p w14:paraId="55B83D7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c>
                <w:tcPr>
                  <w:tcW w:w="1088" w:type="dxa"/>
                  <w:vAlign w:val="center"/>
                </w:tcPr>
                <w:p w14:paraId="369A010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1045" w:type="dxa"/>
                  <w:vAlign w:val="center"/>
                </w:tcPr>
                <w:p w14:paraId="675C2EE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c>
                <w:tcPr>
                  <w:tcW w:w="926" w:type="dxa"/>
                  <w:vAlign w:val="center"/>
                </w:tcPr>
                <w:p w14:paraId="5D4AE46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4A42656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53C9970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r>
            <w:tr w14:paraId="0803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63" w:type="dxa"/>
                  <w:vMerge w:val="continue"/>
                  <w:vAlign w:val="center"/>
                </w:tcPr>
                <w:p w14:paraId="06F5145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431EE2F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val="0"/>
                      <w:color w:val="auto"/>
                      <w:kern w:val="2"/>
                      <w:sz w:val="21"/>
                      <w:szCs w:val="21"/>
                      <w:vertAlign w:val="baseline"/>
                      <w:lang w:val="en-US" w:eastAsia="zh-CN" w:bidi="ar-SA"/>
                    </w:rPr>
                    <w:t>SS</w:t>
                  </w:r>
                </w:p>
              </w:tc>
              <w:tc>
                <w:tcPr>
                  <w:tcW w:w="1089" w:type="dxa"/>
                  <w:vAlign w:val="center"/>
                </w:tcPr>
                <w:p w14:paraId="01EE39E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0.2584kg/a</w:t>
                  </w:r>
                </w:p>
              </w:tc>
              <w:tc>
                <w:tcPr>
                  <w:tcW w:w="1088" w:type="dxa"/>
                  <w:vAlign w:val="center"/>
                </w:tcPr>
                <w:p w14:paraId="5A450C9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1045" w:type="dxa"/>
                  <w:vAlign w:val="center"/>
                </w:tcPr>
                <w:p w14:paraId="3E9E197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0.2584kg/a</w:t>
                  </w:r>
                </w:p>
              </w:tc>
              <w:tc>
                <w:tcPr>
                  <w:tcW w:w="926" w:type="dxa"/>
                  <w:vAlign w:val="center"/>
                </w:tcPr>
                <w:p w14:paraId="47F3F88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2794BFB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06CB72C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-0.2584kg/a</w:t>
                  </w:r>
                </w:p>
              </w:tc>
            </w:tr>
            <w:tr w14:paraId="7FB0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763" w:type="dxa"/>
                  <w:vMerge w:val="continue"/>
                  <w:vAlign w:val="center"/>
                </w:tcPr>
                <w:p w14:paraId="780C69E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68EAE7B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val="0"/>
                      <w:color w:val="auto"/>
                      <w:kern w:val="2"/>
                      <w:sz w:val="21"/>
                      <w:szCs w:val="21"/>
                      <w:vertAlign w:val="baseline"/>
                      <w:lang w:val="en-US" w:eastAsia="zh-CN" w:bidi="ar-SA"/>
                    </w:rPr>
                    <w:t>S</w:t>
                  </w:r>
                  <w:r>
                    <w:rPr>
                      <w:rFonts w:hint="default" w:ascii="Times New Roman" w:hAnsi="Times New Roman" w:eastAsia="宋体" w:cs="Times New Roman"/>
                      <w:b w:val="0"/>
                      <w:bCs w:val="0"/>
                      <w:color w:val="auto"/>
                      <w:kern w:val="2"/>
                      <w:sz w:val="21"/>
                      <w:szCs w:val="21"/>
                      <w:vertAlign w:val="superscript"/>
                      <w:lang w:val="en-US" w:eastAsia="zh-CN" w:bidi="ar-SA"/>
                    </w:rPr>
                    <w:t>2-</w:t>
                  </w:r>
                </w:p>
              </w:tc>
              <w:tc>
                <w:tcPr>
                  <w:tcW w:w="1089" w:type="dxa"/>
                  <w:vAlign w:val="center"/>
                </w:tcPr>
                <w:p w14:paraId="3CDDC0D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0.00006kg/a</w:t>
                  </w:r>
                </w:p>
              </w:tc>
              <w:tc>
                <w:tcPr>
                  <w:tcW w:w="1088" w:type="dxa"/>
                  <w:vAlign w:val="center"/>
                </w:tcPr>
                <w:p w14:paraId="79F153E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1045" w:type="dxa"/>
                  <w:vAlign w:val="center"/>
                </w:tcPr>
                <w:p w14:paraId="10FF2BF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0.00006kg/a</w:t>
                  </w:r>
                </w:p>
              </w:tc>
              <w:tc>
                <w:tcPr>
                  <w:tcW w:w="926" w:type="dxa"/>
                  <w:vAlign w:val="center"/>
                </w:tcPr>
                <w:p w14:paraId="565BD38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3E966E3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53FB930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-0.00006kg/a</w:t>
                  </w:r>
                </w:p>
              </w:tc>
            </w:tr>
            <w:tr w14:paraId="6192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vAlign w:val="center"/>
                </w:tcPr>
                <w:p w14:paraId="760CD52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一般固体废弃物</w:t>
                  </w:r>
                </w:p>
              </w:tc>
              <w:tc>
                <w:tcPr>
                  <w:tcW w:w="1248" w:type="dxa"/>
                  <w:vAlign w:val="center"/>
                </w:tcPr>
                <w:p w14:paraId="2E3E893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水膜除尘渣和沉淀池污泥</w:t>
                  </w:r>
                </w:p>
              </w:tc>
              <w:tc>
                <w:tcPr>
                  <w:tcW w:w="1089" w:type="dxa"/>
                  <w:vAlign w:val="center"/>
                </w:tcPr>
                <w:p w14:paraId="2F1E39D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43t/a</w:t>
                  </w:r>
                </w:p>
              </w:tc>
              <w:tc>
                <w:tcPr>
                  <w:tcW w:w="1088" w:type="dxa"/>
                  <w:vAlign w:val="center"/>
                </w:tcPr>
                <w:p w14:paraId="6F490807">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4E95D53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43t/a</w:t>
                  </w:r>
                </w:p>
              </w:tc>
              <w:tc>
                <w:tcPr>
                  <w:tcW w:w="926" w:type="dxa"/>
                  <w:vAlign w:val="center"/>
                </w:tcPr>
                <w:p w14:paraId="0BC45B4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1EA7DC6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6D7DEEB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-43t/a</w:t>
                  </w:r>
                </w:p>
              </w:tc>
            </w:tr>
            <w:tr w14:paraId="1977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1E383D7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36A6916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炉渣</w:t>
                  </w:r>
                </w:p>
              </w:tc>
              <w:tc>
                <w:tcPr>
                  <w:tcW w:w="1089" w:type="dxa"/>
                  <w:vAlign w:val="center"/>
                </w:tcPr>
                <w:p w14:paraId="4C44D7C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36t/a</w:t>
                  </w:r>
                </w:p>
              </w:tc>
              <w:tc>
                <w:tcPr>
                  <w:tcW w:w="1088" w:type="dxa"/>
                  <w:vAlign w:val="center"/>
                </w:tcPr>
                <w:p w14:paraId="7BE3265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3A420EC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36t/a</w:t>
                  </w:r>
                </w:p>
              </w:tc>
              <w:tc>
                <w:tcPr>
                  <w:tcW w:w="926" w:type="dxa"/>
                  <w:vAlign w:val="center"/>
                </w:tcPr>
                <w:p w14:paraId="352C493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63FE0C4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96" w:type="dxa"/>
                  <w:vAlign w:val="center"/>
                </w:tcPr>
                <w:p w14:paraId="53716D87">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-36t/a</w:t>
                  </w:r>
                </w:p>
              </w:tc>
            </w:tr>
            <w:tr w14:paraId="6966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29C1038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1033B26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多管除尘渣、布袋除尘渣/</w:t>
                  </w:r>
                </w:p>
              </w:tc>
              <w:tc>
                <w:tcPr>
                  <w:tcW w:w="1089" w:type="dxa"/>
                  <w:vAlign w:val="center"/>
                </w:tcPr>
                <w:p w14:paraId="4494641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1088" w:type="dxa"/>
                  <w:vAlign w:val="center"/>
                </w:tcPr>
                <w:p w14:paraId="5BB717F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04E4364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926" w:type="dxa"/>
                  <w:vAlign w:val="center"/>
                </w:tcPr>
                <w:p w14:paraId="0F8A1D4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kern w:val="2"/>
                      <w:sz w:val="21"/>
                      <w:szCs w:val="21"/>
                      <w:highlight w:val="none"/>
                      <w:lang w:val="en-US" w:eastAsia="zh-CN" w:bidi="ar-SA"/>
                    </w:rPr>
                    <w:t>44.04t/a</w:t>
                  </w:r>
                </w:p>
              </w:tc>
              <w:tc>
                <w:tcPr>
                  <w:tcW w:w="989" w:type="dxa"/>
                  <w:vAlign w:val="center"/>
                </w:tcPr>
                <w:p w14:paraId="1B896E4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44.04t/a</w:t>
                  </w:r>
                </w:p>
              </w:tc>
              <w:tc>
                <w:tcPr>
                  <w:tcW w:w="996" w:type="dxa"/>
                  <w:vAlign w:val="center"/>
                </w:tcPr>
                <w:p w14:paraId="079498B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color w:val="auto"/>
                      <w:kern w:val="2"/>
                      <w:sz w:val="21"/>
                      <w:szCs w:val="21"/>
                      <w:highlight w:val="none"/>
                      <w:lang w:val="en-US" w:eastAsia="zh-CN" w:bidi="ar-SA"/>
                    </w:rPr>
                    <w:t>44.04t/a</w:t>
                  </w:r>
                </w:p>
              </w:tc>
            </w:tr>
            <w:tr w14:paraId="677D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4CC288C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6BEA5323">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rPr>
                    <w:t>废包装材料</w:t>
                  </w:r>
                </w:p>
              </w:tc>
              <w:tc>
                <w:tcPr>
                  <w:tcW w:w="1089" w:type="dxa"/>
                  <w:vAlign w:val="center"/>
                </w:tcPr>
                <w:p w14:paraId="374073AD">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t/a</w:t>
                  </w:r>
                </w:p>
              </w:tc>
              <w:tc>
                <w:tcPr>
                  <w:tcW w:w="1088" w:type="dxa"/>
                  <w:vAlign w:val="center"/>
                </w:tcPr>
                <w:p w14:paraId="1DD5414C">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w:t>
                  </w:r>
                </w:p>
              </w:tc>
              <w:tc>
                <w:tcPr>
                  <w:tcW w:w="1045" w:type="dxa"/>
                  <w:vAlign w:val="center"/>
                </w:tcPr>
                <w:p w14:paraId="2AD5272B">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t/a</w:t>
                  </w:r>
                </w:p>
              </w:tc>
              <w:tc>
                <w:tcPr>
                  <w:tcW w:w="926" w:type="dxa"/>
                  <w:vAlign w:val="center"/>
                </w:tcPr>
                <w:p w14:paraId="7A436C8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8t/a</w:t>
                  </w:r>
                </w:p>
              </w:tc>
              <w:tc>
                <w:tcPr>
                  <w:tcW w:w="989" w:type="dxa"/>
                  <w:vAlign w:val="center"/>
                </w:tcPr>
                <w:p w14:paraId="7390D74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14t/a</w:t>
                  </w:r>
                </w:p>
              </w:tc>
              <w:tc>
                <w:tcPr>
                  <w:tcW w:w="996" w:type="dxa"/>
                  <w:vAlign w:val="center"/>
                </w:tcPr>
                <w:p w14:paraId="11294857">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+8t/a</w:t>
                  </w:r>
                </w:p>
              </w:tc>
            </w:tr>
            <w:tr w14:paraId="21A2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2F1D031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72A654F1">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废乳胶渣</w:t>
                  </w:r>
                </w:p>
              </w:tc>
              <w:tc>
                <w:tcPr>
                  <w:tcW w:w="1089" w:type="dxa"/>
                  <w:vAlign w:val="center"/>
                </w:tcPr>
                <w:p w14:paraId="4444094A">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t/a</w:t>
                  </w:r>
                </w:p>
              </w:tc>
              <w:tc>
                <w:tcPr>
                  <w:tcW w:w="1088" w:type="dxa"/>
                  <w:vAlign w:val="center"/>
                </w:tcPr>
                <w:p w14:paraId="214F0550">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0.035</w:t>
                  </w:r>
                  <w:r>
                    <w:rPr>
                      <w:rFonts w:hint="default" w:ascii="Times New Roman" w:hAnsi="Times New Roman" w:eastAsia="宋体" w:cs="Times New Roman"/>
                      <w:color w:val="auto"/>
                      <w:sz w:val="21"/>
                      <w:szCs w:val="21"/>
                    </w:rPr>
                    <w:t>t/a</w:t>
                  </w:r>
                </w:p>
              </w:tc>
              <w:tc>
                <w:tcPr>
                  <w:tcW w:w="1045" w:type="dxa"/>
                  <w:vAlign w:val="center"/>
                </w:tcPr>
                <w:p w14:paraId="2BF6B1C2">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t/a</w:t>
                  </w:r>
                </w:p>
              </w:tc>
              <w:tc>
                <w:tcPr>
                  <w:tcW w:w="926" w:type="dxa"/>
                  <w:vAlign w:val="center"/>
                </w:tcPr>
                <w:p w14:paraId="78425D5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t/a</w:t>
                  </w:r>
                </w:p>
              </w:tc>
              <w:tc>
                <w:tcPr>
                  <w:tcW w:w="989" w:type="dxa"/>
                  <w:vAlign w:val="center"/>
                </w:tcPr>
                <w:p w14:paraId="2846B86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0.035</w:t>
                  </w:r>
                  <w:r>
                    <w:rPr>
                      <w:rFonts w:hint="default" w:ascii="Times New Roman" w:hAnsi="Times New Roman" w:eastAsia="宋体" w:cs="Times New Roman"/>
                      <w:color w:val="auto"/>
                      <w:sz w:val="21"/>
                      <w:szCs w:val="21"/>
                    </w:rPr>
                    <w:t>t/a</w:t>
                  </w:r>
                </w:p>
              </w:tc>
              <w:tc>
                <w:tcPr>
                  <w:tcW w:w="996" w:type="dxa"/>
                  <w:vAlign w:val="center"/>
                </w:tcPr>
                <w:p w14:paraId="5FEDF7A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r w14:paraId="1826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50FD711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5917FE5A">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lang w:val="en-US" w:eastAsia="zh-CN"/>
                    </w:rPr>
                    <w:t>废淀粉胶渣</w:t>
                  </w:r>
                </w:p>
              </w:tc>
              <w:tc>
                <w:tcPr>
                  <w:tcW w:w="1089" w:type="dxa"/>
                  <w:vAlign w:val="center"/>
                </w:tcPr>
                <w:p w14:paraId="13FEC45E">
                  <w:pPr>
                    <w:pStyle w:val="32"/>
                    <w:spacing w:before="60" w:after="6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10t/a</w:t>
                  </w:r>
                </w:p>
              </w:tc>
              <w:tc>
                <w:tcPr>
                  <w:tcW w:w="1088" w:type="dxa"/>
                  <w:vAlign w:val="center"/>
                </w:tcPr>
                <w:p w14:paraId="5F3934BB">
                  <w:pPr>
                    <w:pStyle w:val="32"/>
                    <w:spacing w:before="60" w:after="6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dxa"/>
                  <w:vAlign w:val="center"/>
                </w:tcPr>
                <w:p w14:paraId="44D6A31A">
                  <w:pPr>
                    <w:pStyle w:val="32"/>
                    <w:spacing w:before="60" w:after="6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6" w:type="dxa"/>
                  <w:vAlign w:val="center"/>
                </w:tcPr>
                <w:p w14:paraId="6CAC5D7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8t/a</w:t>
                  </w:r>
                </w:p>
              </w:tc>
              <w:tc>
                <w:tcPr>
                  <w:tcW w:w="989" w:type="dxa"/>
                  <w:vAlign w:val="center"/>
                </w:tcPr>
                <w:p w14:paraId="5EDC74C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8t/a</w:t>
                  </w:r>
                </w:p>
              </w:tc>
              <w:tc>
                <w:tcPr>
                  <w:tcW w:w="996" w:type="dxa"/>
                  <w:vAlign w:val="center"/>
                </w:tcPr>
                <w:p w14:paraId="4EE827C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-2t/a</w:t>
                  </w:r>
                </w:p>
              </w:tc>
            </w:tr>
            <w:tr w14:paraId="7235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2A4640D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p>
              </w:tc>
              <w:tc>
                <w:tcPr>
                  <w:tcW w:w="1248" w:type="dxa"/>
                  <w:vAlign w:val="center"/>
                </w:tcPr>
                <w:p w14:paraId="78ED3DE2">
                  <w:pPr>
                    <w:pStyle w:val="32"/>
                    <w:spacing w:before="60" w:after="60"/>
                    <w:ind w:firstLine="0" w:firstLineChars="0"/>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rPr>
                    <w:t>边角料和不合格产品</w:t>
                  </w:r>
                </w:p>
              </w:tc>
              <w:tc>
                <w:tcPr>
                  <w:tcW w:w="1089" w:type="dxa"/>
                  <w:vAlign w:val="center"/>
                </w:tcPr>
                <w:p w14:paraId="08913CFE">
                  <w:pPr>
                    <w:pStyle w:val="32"/>
                    <w:spacing w:before="60" w:after="60"/>
                    <w:ind w:firstLine="0" w:firstLineChars="0"/>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rPr>
                    <w:t>t/a</w:t>
                  </w:r>
                </w:p>
              </w:tc>
              <w:tc>
                <w:tcPr>
                  <w:tcW w:w="1088" w:type="dxa"/>
                  <w:vAlign w:val="center"/>
                </w:tcPr>
                <w:p w14:paraId="7C599AF6">
                  <w:pPr>
                    <w:pStyle w:val="32"/>
                    <w:spacing w:before="60" w:after="60"/>
                    <w:ind w:firstLine="0" w:firstLine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240</w:t>
                  </w:r>
                  <w:r>
                    <w:rPr>
                      <w:rFonts w:hint="default" w:ascii="Times New Roman" w:hAnsi="Times New Roman" w:eastAsia="宋体" w:cs="Times New Roman"/>
                      <w:color w:val="auto"/>
                      <w:sz w:val="21"/>
                      <w:szCs w:val="21"/>
                    </w:rPr>
                    <w:t>t/a</w:t>
                  </w:r>
                </w:p>
              </w:tc>
              <w:tc>
                <w:tcPr>
                  <w:tcW w:w="1045" w:type="dxa"/>
                  <w:vAlign w:val="center"/>
                </w:tcPr>
                <w:p w14:paraId="7D7FCDB4">
                  <w:pPr>
                    <w:pStyle w:val="32"/>
                    <w:spacing w:before="60" w:after="60"/>
                    <w:ind w:firstLine="0" w:firstLineChars="0"/>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rPr>
                    <w:t>t/a</w:t>
                  </w:r>
                </w:p>
              </w:tc>
              <w:tc>
                <w:tcPr>
                  <w:tcW w:w="926" w:type="dxa"/>
                  <w:vAlign w:val="center"/>
                </w:tcPr>
                <w:p w14:paraId="22DC82B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240t/a</w:t>
                  </w:r>
                </w:p>
              </w:tc>
              <w:tc>
                <w:tcPr>
                  <w:tcW w:w="989" w:type="dxa"/>
                  <w:vAlign w:val="center"/>
                </w:tcPr>
                <w:p w14:paraId="19A9C8D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480t/a</w:t>
                  </w:r>
                </w:p>
              </w:tc>
              <w:tc>
                <w:tcPr>
                  <w:tcW w:w="996" w:type="dxa"/>
                  <w:vAlign w:val="center"/>
                </w:tcPr>
                <w:p w14:paraId="13456AB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-60t/a</w:t>
                  </w:r>
                </w:p>
              </w:tc>
            </w:tr>
            <w:tr w14:paraId="1864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799718D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p>
              </w:tc>
              <w:tc>
                <w:tcPr>
                  <w:tcW w:w="1248" w:type="dxa"/>
                  <w:vAlign w:val="center"/>
                </w:tcPr>
                <w:p w14:paraId="5A7A000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val="0"/>
                      <w:color w:val="auto"/>
                      <w:sz w:val="21"/>
                      <w:szCs w:val="21"/>
                      <w:lang w:val="en-US" w:eastAsia="zh-CN"/>
                    </w:rPr>
                    <w:t>软水制备产生的废石英砂和活性炭</w:t>
                  </w:r>
                </w:p>
              </w:tc>
              <w:tc>
                <w:tcPr>
                  <w:tcW w:w="1089" w:type="dxa"/>
                  <w:vAlign w:val="center"/>
                </w:tcPr>
                <w:p w14:paraId="03CBB70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0.8t/a</w:t>
                  </w:r>
                </w:p>
              </w:tc>
              <w:tc>
                <w:tcPr>
                  <w:tcW w:w="1088" w:type="dxa"/>
                  <w:vAlign w:val="center"/>
                </w:tcPr>
                <w:p w14:paraId="5E2FC70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65CB80B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0.8t/a</w:t>
                  </w:r>
                </w:p>
              </w:tc>
              <w:tc>
                <w:tcPr>
                  <w:tcW w:w="926" w:type="dxa"/>
                  <w:vAlign w:val="center"/>
                </w:tcPr>
                <w:p w14:paraId="42A5564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0.5t/a</w:t>
                  </w:r>
                </w:p>
              </w:tc>
              <w:tc>
                <w:tcPr>
                  <w:tcW w:w="989" w:type="dxa"/>
                  <w:vAlign w:val="center"/>
                </w:tcPr>
                <w:p w14:paraId="26E5B3A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0.5t/a</w:t>
                  </w:r>
                </w:p>
              </w:tc>
              <w:tc>
                <w:tcPr>
                  <w:tcW w:w="996" w:type="dxa"/>
                  <w:vAlign w:val="center"/>
                </w:tcPr>
                <w:p w14:paraId="1C18A77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-0.3t/a</w:t>
                  </w:r>
                </w:p>
              </w:tc>
            </w:tr>
            <w:tr w14:paraId="0620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451FA28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eastAsia="zh-CN"/>
                    </w:rPr>
                  </w:pPr>
                </w:p>
              </w:tc>
              <w:tc>
                <w:tcPr>
                  <w:tcW w:w="1248" w:type="dxa"/>
                  <w:vAlign w:val="center"/>
                </w:tcPr>
                <w:p w14:paraId="006D89C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val="0"/>
                      <w:color w:val="auto"/>
                      <w:sz w:val="21"/>
                      <w:szCs w:val="21"/>
                      <w:lang w:val="en-US" w:eastAsia="zh-CN"/>
                    </w:rPr>
                    <w:t>软水制备产生的</w:t>
                  </w:r>
                  <w:r>
                    <w:rPr>
                      <w:rFonts w:hint="default" w:ascii="Times New Roman" w:hAnsi="Times New Roman" w:eastAsia="宋体" w:cs="Times New Roman"/>
                      <w:b w:val="0"/>
                      <w:bCs/>
                      <w:color w:val="auto"/>
                      <w:sz w:val="21"/>
                      <w:szCs w:val="21"/>
                      <w:lang w:val="en-US" w:eastAsia="zh-CN"/>
                    </w:rPr>
                    <w:t>废离子交换树脂</w:t>
                  </w:r>
                </w:p>
              </w:tc>
              <w:tc>
                <w:tcPr>
                  <w:tcW w:w="1089" w:type="dxa"/>
                  <w:vAlign w:val="center"/>
                </w:tcPr>
                <w:p w14:paraId="56D5A5C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0.8t/a</w:t>
                  </w:r>
                </w:p>
              </w:tc>
              <w:tc>
                <w:tcPr>
                  <w:tcW w:w="1088" w:type="dxa"/>
                  <w:vAlign w:val="center"/>
                </w:tcPr>
                <w:p w14:paraId="29A34AD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45" w:type="dxa"/>
                  <w:vAlign w:val="center"/>
                </w:tcPr>
                <w:p w14:paraId="38D591C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0.8t/a</w:t>
                  </w:r>
                </w:p>
              </w:tc>
              <w:tc>
                <w:tcPr>
                  <w:tcW w:w="926" w:type="dxa"/>
                  <w:vAlign w:val="center"/>
                </w:tcPr>
                <w:p w14:paraId="08B130B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0.5t/a</w:t>
                  </w:r>
                </w:p>
              </w:tc>
              <w:tc>
                <w:tcPr>
                  <w:tcW w:w="989" w:type="dxa"/>
                  <w:vAlign w:val="center"/>
                </w:tcPr>
                <w:p w14:paraId="295C8EF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0.5t/a</w:t>
                  </w:r>
                </w:p>
              </w:tc>
              <w:tc>
                <w:tcPr>
                  <w:tcW w:w="996" w:type="dxa"/>
                  <w:vAlign w:val="center"/>
                </w:tcPr>
                <w:p w14:paraId="5582E71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-0.3t/a</w:t>
                  </w:r>
                </w:p>
              </w:tc>
            </w:tr>
            <w:tr w14:paraId="242A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vAlign w:val="center"/>
                </w:tcPr>
                <w:p w14:paraId="60BCBE4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危险废物</w:t>
                  </w:r>
                </w:p>
              </w:tc>
              <w:tc>
                <w:tcPr>
                  <w:tcW w:w="1248" w:type="dxa"/>
                  <w:vAlign w:val="center"/>
                </w:tcPr>
                <w:p w14:paraId="2F818A3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b w:val="0"/>
                      <w:bCs/>
                      <w:color w:val="auto"/>
                      <w:sz w:val="21"/>
                      <w:szCs w:val="21"/>
                      <w:lang w:eastAsia="zh-CN"/>
                    </w:rPr>
                    <w:t>废润滑油</w:t>
                  </w:r>
                  <w:r>
                    <w:rPr>
                      <w:rFonts w:hint="default" w:ascii="Times New Roman" w:hAnsi="Times New Roman" w:eastAsia="宋体" w:cs="Times New Roman"/>
                      <w:b w:val="0"/>
                      <w:bCs/>
                      <w:color w:val="auto"/>
                      <w:sz w:val="21"/>
                      <w:szCs w:val="21"/>
                      <w:lang w:val="en-US" w:eastAsia="zh-CN"/>
                    </w:rPr>
                    <w:t>及废润滑油桶</w:t>
                  </w:r>
                </w:p>
              </w:tc>
              <w:tc>
                <w:tcPr>
                  <w:tcW w:w="1089" w:type="dxa"/>
                  <w:vAlign w:val="center"/>
                </w:tcPr>
                <w:p w14:paraId="085022E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0.2t/a</w:t>
                  </w:r>
                </w:p>
              </w:tc>
              <w:tc>
                <w:tcPr>
                  <w:tcW w:w="1088" w:type="dxa"/>
                  <w:vAlign w:val="center"/>
                </w:tcPr>
                <w:p w14:paraId="45BFE10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0.15t/a</w:t>
                  </w:r>
                </w:p>
              </w:tc>
              <w:tc>
                <w:tcPr>
                  <w:tcW w:w="1045" w:type="dxa"/>
                  <w:vAlign w:val="center"/>
                </w:tcPr>
                <w:p w14:paraId="7904C2F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0.2t/a</w:t>
                  </w:r>
                </w:p>
              </w:tc>
              <w:tc>
                <w:tcPr>
                  <w:tcW w:w="926" w:type="dxa"/>
                  <w:vAlign w:val="center"/>
                </w:tcPr>
                <w:p w14:paraId="2EC9C12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0.15t/a</w:t>
                  </w:r>
                </w:p>
              </w:tc>
              <w:tc>
                <w:tcPr>
                  <w:tcW w:w="989" w:type="dxa"/>
                  <w:vAlign w:val="center"/>
                </w:tcPr>
                <w:p w14:paraId="77377E6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0.3t/a</w:t>
                  </w:r>
                </w:p>
              </w:tc>
              <w:tc>
                <w:tcPr>
                  <w:tcW w:w="996" w:type="dxa"/>
                  <w:vAlign w:val="center"/>
                </w:tcPr>
                <w:p w14:paraId="0439A95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b w:val="0"/>
                      <w:bCs/>
                      <w:color w:val="auto"/>
                      <w:sz w:val="21"/>
                      <w:szCs w:val="21"/>
                      <w:lang w:val="en-US" w:eastAsia="zh-CN"/>
                    </w:rPr>
                    <w:t>+0.05t/a</w:t>
                  </w:r>
                </w:p>
              </w:tc>
            </w:tr>
            <w:tr w14:paraId="0B3A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6554094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463C326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废油墨及废油墨桶</w:t>
                  </w:r>
                </w:p>
              </w:tc>
              <w:tc>
                <w:tcPr>
                  <w:tcW w:w="1089" w:type="dxa"/>
                  <w:vAlign w:val="center"/>
                </w:tcPr>
                <w:p w14:paraId="4EDED77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0.1t/a</w:t>
                  </w:r>
                </w:p>
              </w:tc>
              <w:tc>
                <w:tcPr>
                  <w:tcW w:w="1088" w:type="dxa"/>
                  <w:vAlign w:val="center"/>
                </w:tcPr>
                <w:p w14:paraId="3F273E8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r>
                    <w:rPr>
                      <w:rFonts w:hint="default" w:ascii="Times New Roman" w:hAnsi="Times New Roman" w:eastAsia="宋体" w:cs="Times New Roman"/>
                      <w:color w:val="auto"/>
                      <w:sz w:val="21"/>
                      <w:szCs w:val="21"/>
                    </w:rPr>
                    <w:t>t/a</w:t>
                  </w:r>
                </w:p>
              </w:tc>
              <w:tc>
                <w:tcPr>
                  <w:tcW w:w="1045" w:type="dxa"/>
                  <w:vAlign w:val="center"/>
                </w:tcPr>
                <w:p w14:paraId="3D53DBE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0.1t/a</w:t>
                  </w:r>
                </w:p>
              </w:tc>
              <w:tc>
                <w:tcPr>
                  <w:tcW w:w="926" w:type="dxa"/>
                  <w:vAlign w:val="center"/>
                </w:tcPr>
                <w:p w14:paraId="771246FF">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0t/a</w:t>
                  </w:r>
                </w:p>
              </w:tc>
              <w:tc>
                <w:tcPr>
                  <w:tcW w:w="989" w:type="dxa"/>
                  <w:vAlign w:val="center"/>
                </w:tcPr>
                <w:p w14:paraId="5425CFF7">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0.16</w:t>
                  </w:r>
                  <w:r>
                    <w:rPr>
                      <w:rFonts w:hint="default" w:ascii="Times New Roman" w:hAnsi="Times New Roman" w:eastAsia="宋体" w:cs="Times New Roman"/>
                      <w:color w:val="auto"/>
                      <w:sz w:val="21"/>
                      <w:szCs w:val="21"/>
                    </w:rPr>
                    <w:t>t/a</w:t>
                  </w:r>
                </w:p>
              </w:tc>
              <w:tc>
                <w:tcPr>
                  <w:tcW w:w="996" w:type="dxa"/>
                  <w:vAlign w:val="center"/>
                </w:tcPr>
                <w:p w14:paraId="66CDE1E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+0.06t/a</w:t>
                  </w:r>
                </w:p>
              </w:tc>
            </w:tr>
            <w:tr w14:paraId="156B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0784FDE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723DAC8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废活性炭</w:t>
                  </w:r>
                </w:p>
              </w:tc>
              <w:tc>
                <w:tcPr>
                  <w:tcW w:w="1089" w:type="dxa"/>
                  <w:vAlign w:val="center"/>
                </w:tcPr>
                <w:p w14:paraId="52B8C3C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88" w:type="dxa"/>
                  <w:vAlign w:val="center"/>
                </w:tcPr>
                <w:p w14:paraId="27DC4F5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1.5t/a</w:t>
                  </w:r>
                </w:p>
              </w:tc>
              <w:tc>
                <w:tcPr>
                  <w:tcW w:w="1045" w:type="dxa"/>
                  <w:vAlign w:val="center"/>
                </w:tcPr>
                <w:p w14:paraId="0BE7BAD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926" w:type="dxa"/>
                  <w:vAlign w:val="center"/>
                </w:tcPr>
                <w:p w14:paraId="4F49BD1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1.5t/a</w:t>
                  </w:r>
                </w:p>
              </w:tc>
              <w:tc>
                <w:tcPr>
                  <w:tcW w:w="989" w:type="dxa"/>
                  <w:vAlign w:val="center"/>
                </w:tcPr>
                <w:p w14:paraId="1BC790B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1.5t/a</w:t>
                  </w:r>
                </w:p>
              </w:tc>
              <w:tc>
                <w:tcPr>
                  <w:tcW w:w="996" w:type="dxa"/>
                  <w:vAlign w:val="center"/>
                </w:tcPr>
                <w:p w14:paraId="1AC7A8C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r w14:paraId="5357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vAlign w:val="center"/>
                </w:tcPr>
                <w:p w14:paraId="419667A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248" w:type="dxa"/>
                  <w:vAlign w:val="center"/>
                </w:tcPr>
                <w:p w14:paraId="37A624F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废乳胶桶</w:t>
                  </w:r>
                </w:p>
              </w:tc>
              <w:tc>
                <w:tcPr>
                  <w:tcW w:w="1089" w:type="dxa"/>
                  <w:vAlign w:val="center"/>
                </w:tcPr>
                <w:p w14:paraId="5A2FE80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088" w:type="dxa"/>
                  <w:vAlign w:val="center"/>
                </w:tcPr>
                <w:p w14:paraId="6DF0D95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0.42t/a</w:t>
                  </w:r>
                </w:p>
              </w:tc>
              <w:tc>
                <w:tcPr>
                  <w:tcW w:w="1045" w:type="dxa"/>
                  <w:vAlign w:val="center"/>
                </w:tcPr>
                <w:p w14:paraId="71327D9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926" w:type="dxa"/>
                  <w:vAlign w:val="center"/>
                </w:tcPr>
                <w:p w14:paraId="7534C18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0.42t/a</w:t>
                  </w:r>
                </w:p>
              </w:tc>
              <w:tc>
                <w:tcPr>
                  <w:tcW w:w="989" w:type="dxa"/>
                  <w:vAlign w:val="center"/>
                </w:tcPr>
                <w:p w14:paraId="5950530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0.42t/a</w:t>
                  </w:r>
                </w:p>
              </w:tc>
              <w:tc>
                <w:tcPr>
                  <w:tcW w:w="996" w:type="dxa"/>
                  <w:vAlign w:val="center"/>
                </w:tcPr>
                <w:p w14:paraId="23B1071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r w14:paraId="2002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4" w:type="dxa"/>
                  <w:gridSpan w:val="8"/>
                  <w:vAlign w:val="center"/>
                </w:tcPr>
                <w:p w14:paraId="487F372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注：本项目搬迁后原厂址设备拆除，不进行生产。本变化量仅体现搬迁前后，瓦楞纸生产线的污染物变化量。</w:t>
                  </w:r>
                </w:p>
              </w:tc>
            </w:tr>
          </w:tbl>
          <w:p w14:paraId="79547FC8">
            <w:pPr>
              <w:adjustRightInd w:val="0"/>
              <w:snapToGrid w:val="0"/>
              <w:spacing w:line="360" w:lineRule="auto"/>
              <w:rPr>
                <w:rFonts w:hint="default" w:ascii="Times New Roman" w:hAnsi="Times New Roman" w:eastAsia="宋体" w:cs="Times New Roman"/>
                <w:color w:val="auto"/>
                <w:szCs w:val="21"/>
              </w:rPr>
            </w:pPr>
          </w:p>
          <w:p w14:paraId="29F78B71">
            <w:pPr>
              <w:pStyle w:val="24"/>
              <w:ind w:left="0" w:leftChars="0" w:firstLine="0" w:firstLineChars="0"/>
              <w:rPr>
                <w:rFonts w:hint="default" w:ascii="Times New Roman" w:hAnsi="Times New Roman" w:eastAsia="宋体" w:cs="Times New Roman"/>
                <w:color w:val="auto"/>
                <w:lang w:val="en-US" w:eastAsia="zh-CN"/>
              </w:rPr>
            </w:pPr>
          </w:p>
          <w:p w14:paraId="78D892A2">
            <w:pPr>
              <w:pStyle w:val="24"/>
              <w:ind w:left="0" w:leftChars="0" w:firstLine="0" w:firstLineChars="0"/>
              <w:rPr>
                <w:rFonts w:hint="default" w:ascii="Times New Roman" w:hAnsi="Times New Roman" w:eastAsia="宋体" w:cs="Times New Roman"/>
                <w:color w:val="auto"/>
                <w:lang w:val="en-US" w:eastAsia="zh-CN"/>
              </w:rPr>
            </w:pPr>
          </w:p>
          <w:p w14:paraId="1EBAF08E">
            <w:pPr>
              <w:pStyle w:val="24"/>
              <w:ind w:left="0" w:leftChars="0" w:firstLine="0" w:firstLineChars="0"/>
              <w:rPr>
                <w:rFonts w:hint="default" w:ascii="Times New Roman" w:hAnsi="Times New Roman" w:eastAsia="宋体" w:cs="Times New Roman"/>
                <w:color w:val="auto"/>
                <w:lang w:val="en-US" w:eastAsia="zh-CN"/>
              </w:rPr>
            </w:pPr>
          </w:p>
          <w:p w14:paraId="1E6A5264">
            <w:pPr>
              <w:pStyle w:val="24"/>
              <w:ind w:left="0" w:leftChars="0" w:firstLine="0" w:firstLineChars="0"/>
              <w:rPr>
                <w:rFonts w:hint="default" w:ascii="Times New Roman" w:hAnsi="Times New Roman" w:eastAsia="宋体" w:cs="Times New Roman"/>
                <w:color w:val="auto"/>
                <w:lang w:val="en-US" w:eastAsia="zh-CN"/>
              </w:rPr>
            </w:pPr>
          </w:p>
          <w:p w14:paraId="17D87772">
            <w:pPr>
              <w:pStyle w:val="24"/>
              <w:ind w:left="0" w:leftChars="0" w:firstLine="0" w:firstLineChars="0"/>
              <w:rPr>
                <w:rFonts w:hint="default" w:ascii="Times New Roman" w:hAnsi="Times New Roman" w:eastAsia="宋体" w:cs="Times New Roman"/>
                <w:color w:val="auto"/>
                <w:lang w:val="en-US" w:eastAsia="zh-CN"/>
              </w:rPr>
            </w:pPr>
          </w:p>
          <w:p w14:paraId="318179E5">
            <w:pPr>
              <w:pStyle w:val="24"/>
              <w:ind w:left="0" w:leftChars="0" w:firstLine="0" w:firstLineChars="0"/>
              <w:rPr>
                <w:rFonts w:hint="default" w:ascii="Times New Roman" w:hAnsi="Times New Roman" w:eastAsia="宋体" w:cs="Times New Roman"/>
                <w:color w:val="auto"/>
                <w:lang w:val="en-US" w:eastAsia="zh-CN"/>
              </w:rPr>
            </w:pPr>
          </w:p>
          <w:p w14:paraId="468DCA45">
            <w:pPr>
              <w:pStyle w:val="24"/>
              <w:ind w:left="0" w:leftChars="0" w:firstLine="0" w:firstLineChars="0"/>
              <w:rPr>
                <w:rFonts w:hint="default" w:ascii="Times New Roman" w:hAnsi="Times New Roman" w:eastAsia="宋体" w:cs="Times New Roman"/>
                <w:color w:val="auto"/>
                <w:lang w:val="en-US" w:eastAsia="zh-CN"/>
              </w:rPr>
            </w:pPr>
          </w:p>
          <w:p w14:paraId="669336F7">
            <w:pPr>
              <w:pStyle w:val="24"/>
              <w:ind w:left="0" w:leftChars="0" w:firstLine="0" w:firstLineChars="0"/>
              <w:rPr>
                <w:rFonts w:hint="default" w:ascii="Times New Roman" w:hAnsi="Times New Roman" w:eastAsia="宋体" w:cs="Times New Roman"/>
                <w:color w:val="auto"/>
                <w:lang w:val="en-US" w:eastAsia="zh-CN"/>
              </w:rPr>
            </w:pPr>
          </w:p>
          <w:p w14:paraId="7062F4F1">
            <w:pPr>
              <w:pStyle w:val="24"/>
              <w:ind w:left="0" w:leftChars="0" w:firstLine="0" w:firstLineChars="0"/>
              <w:rPr>
                <w:rFonts w:hint="default" w:ascii="Times New Roman" w:hAnsi="Times New Roman" w:eastAsia="宋体" w:cs="Times New Roman"/>
                <w:color w:val="auto"/>
                <w:lang w:val="en-US" w:eastAsia="zh-CN"/>
              </w:rPr>
            </w:pPr>
          </w:p>
          <w:p w14:paraId="18F5E2E2">
            <w:pPr>
              <w:pStyle w:val="24"/>
              <w:ind w:left="0" w:leftChars="0" w:firstLine="0" w:firstLineChars="0"/>
              <w:rPr>
                <w:rFonts w:hint="default" w:ascii="Times New Roman" w:hAnsi="Times New Roman" w:eastAsia="宋体" w:cs="Times New Roman"/>
                <w:color w:val="auto"/>
                <w:lang w:val="en-US" w:eastAsia="zh-CN"/>
              </w:rPr>
            </w:pPr>
          </w:p>
          <w:p w14:paraId="6FEE1AA4">
            <w:pPr>
              <w:pStyle w:val="24"/>
              <w:ind w:left="0" w:leftChars="0" w:firstLine="0" w:firstLineChars="0"/>
              <w:rPr>
                <w:rFonts w:hint="default" w:ascii="Times New Roman" w:hAnsi="Times New Roman" w:eastAsia="宋体" w:cs="Times New Roman"/>
                <w:color w:val="auto"/>
                <w:lang w:val="en-US" w:eastAsia="zh-CN"/>
              </w:rPr>
            </w:pPr>
          </w:p>
          <w:p w14:paraId="613A444B">
            <w:pPr>
              <w:pStyle w:val="24"/>
              <w:ind w:left="0" w:leftChars="0" w:firstLine="0" w:firstLineChars="0"/>
              <w:rPr>
                <w:rFonts w:hint="default" w:ascii="Times New Roman" w:hAnsi="Times New Roman" w:eastAsia="宋体" w:cs="Times New Roman"/>
                <w:color w:val="auto"/>
                <w:lang w:val="en-US" w:eastAsia="zh-CN"/>
              </w:rPr>
            </w:pPr>
          </w:p>
          <w:p w14:paraId="1FCDE4FB">
            <w:pPr>
              <w:pStyle w:val="24"/>
              <w:ind w:left="0" w:leftChars="0" w:firstLine="0" w:firstLineChars="0"/>
              <w:rPr>
                <w:rFonts w:hint="default" w:ascii="Times New Roman" w:hAnsi="Times New Roman" w:eastAsia="宋体" w:cs="Times New Roman"/>
                <w:color w:val="auto"/>
                <w:lang w:val="en-US" w:eastAsia="zh-CN"/>
              </w:rPr>
            </w:pPr>
          </w:p>
          <w:p w14:paraId="3C974FB9">
            <w:pPr>
              <w:pStyle w:val="24"/>
              <w:ind w:left="0" w:leftChars="0" w:firstLine="0" w:firstLineChars="0"/>
              <w:rPr>
                <w:rFonts w:hint="default" w:ascii="Times New Roman" w:hAnsi="Times New Roman" w:eastAsia="宋体" w:cs="Times New Roman"/>
                <w:color w:val="auto"/>
                <w:lang w:val="en-US" w:eastAsia="zh-CN"/>
              </w:rPr>
            </w:pPr>
          </w:p>
          <w:p w14:paraId="054185BE">
            <w:pPr>
              <w:pStyle w:val="24"/>
              <w:ind w:left="0" w:leftChars="0" w:firstLine="0" w:firstLineChars="0"/>
              <w:rPr>
                <w:rFonts w:hint="default" w:ascii="Times New Roman" w:hAnsi="Times New Roman" w:eastAsia="宋体" w:cs="Times New Roman"/>
                <w:color w:val="auto"/>
                <w:lang w:val="en-US" w:eastAsia="zh-CN"/>
              </w:rPr>
            </w:pPr>
          </w:p>
          <w:p w14:paraId="131A96D5">
            <w:pPr>
              <w:pStyle w:val="24"/>
              <w:ind w:left="0" w:leftChars="0" w:firstLine="0" w:firstLineChars="0"/>
              <w:rPr>
                <w:rFonts w:hint="default" w:ascii="Times New Roman" w:hAnsi="Times New Roman" w:eastAsia="宋体" w:cs="Times New Roman"/>
                <w:color w:val="auto"/>
                <w:lang w:val="en-US" w:eastAsia="zh-CN"/>
              </w:rPr>
            </w:pPr>
          </w:p>
          <w:p w14:paraId="035D8C27">
            <w:pPr>
              <w:pStyle w:val="24"/>
              <w:ind w:left="0" w:leftChars="0" w:firstLine="0" w:firstLineChars="0"/>
              <w:rPr>
                <w:rFonts w:hint="default" w:ascii="Times New Roman" w:hAnsi="Times New Roman" w:eastAsia="宋体" w:cs="Times New Roman"/>
                <w:color w:val="auto"/>
                <w:lang w:val="en-US" w:eastAsia="zh-CN"/>
              </w:rPr>
            </w:pPr>
          </w:p>
          <w:p w14:paraId="31C59EE8">
            <w:pPr>
              <w:pStyle w:val="24"/>
              <w:ind w:left="0" w:leftChars="0" w:firstLine="0" w:firstLineChars="0"/>
              <w:rPr>
                <w:rFonts w:hint="default" w:ascii="Times New Roman" w:hAnsi="Times New Roman" w:eastAsia="宋体" w:cs="Times New Roman"/>
                <w:color w:val="auto"/>
                <w:lang w:val="en-US" w:eastAsia="zh-CN"/>
              </w:rPr>
            </w:pPr>
          </w:p>
          <w:p w14:paraId="5ECAB285">
            <w:pPr>
              <w:pStyle w:val="24"/>
              <w:ind w:left="0" w:leftChars="0" w:firstLine="0" w:firstLineChars="0"/>
              <w:rPr>
                <w:rFonts w:hint="default" w:ascii="Times New Roman" w:hAnsi="Times New Roman" w:eastAsia="宋体" w:cs="Times New Roman"/>
                <w:color w:val="auto"/>
                <w:lang w:val="en-US" w:eastAsia="zh-CN"/>
              </w:rPr>
            </w:pPr>
          </w:p>
          <w:p w14:paraId="53A40856">
            <w:pPr>
              <w:pStyle w:val="24"/>
              <w:ind w:left="0" w:leftChars="0" w:firstLine="0" w:firstLineChars="0"/>
              <w:rPr>
                <w:rFonts w:hint="default" w:ascii="Times New Roman" w:hAnsi="Times New Roman" w:eastAsia="宋体" w:cs="Times New Roman"/>
                <w:color w:val="auto"/>
                <w:lang w:val="en-US" w:eastAsia="zh-CN"/>
              </w:rPr>
            </w:pPr>
          </w:p>
          <w:p w14:paraId="2501FCCE">
            <w:pPr>
              <w:pStyle w:val="24"/>
              <w:ind w:left="0" w:leftChars="0" w:firstLine="0" w:firstLineChars="0"/>
              <w:rPr>
                <w:rFonts w:hint="default" w:ascii="Times New Roman" w:hAnsi="Times New Roman" w:eastAsia="宋体" w:cs="Times New Roman"/>
                <w:color w:val="auto"/>
                <w:lang w:val="en-US" w:eastAsia="zh-CN"/>
              </w:rPr>
            </w:pPr>
          </w:p>
        </w:tc>
      </w:tr>
    </w:tbl>
    <w:p w14:paraId="519CD71A">
      <w:pPr>
        <w:pStyle w:val="21"/>
        <w:jc w:val="cente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cols w:space="720" w:num="1"/>
          <w:docGrid w:linePitch="312" w:charSpace="0"/>
        </w:sectPr>
      </w:pPr>
    </w:p>
    <w:p w14:paraId="7616DD2B">
      <w:pPr>
        <w:pStyle w:val="21"/>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z w:val="30"/>
          <w:szCs w:val="30"/>
        </w:rPr>
      </w:pPr>
    </w:p>
    <w:p w14:paraId="662FBE0B">
      <w:pPr>
        <w:pStyle w:val="21"/>
        <w:jc w:val="center"/>
        <w:outlineLvl w:val="0"/>
        <w:rPr>
          <w:rFonts w:hint="default" w:ascii="Times New Roman" w:hAnsi="Times New Roman" w:eastAsia="宋体" w:cs="Times New Roman"/>
          <w:snapToGrid w:val="0"/>
          <w:color w:val="auto"/>
          <w:sz w:val="30"/>
          <w:szCs w:val="30"/>
        </w:rPr>
      </w:pPr>
      <w:bookmarkStart w:id="15" w:name="_Toc13635"/>
      <w:bookmarkStart w:id="16" w:name="_Toc24387"/>
      <w:bookmarkStart w:id="17" w:name="_Toc12183"/>
      <w:bookmarkStart w:id="18" w:name="_Toc28264"/>
      <w:bookmarkStart w:id="19" w:name="_Toc23632"/>
      <w:r>
        <w:rPr>
          <w:rFonts w:hint="default" w:ascii="Times New Roman" w:hAnsi="Times New Roman" w:eastAsia="宋体" w:cs="Times New Roman"/>
          <w:snapToGrid w:val="0"/>
          <w:color w:val="auto"/>
          <w:sz w:val="30"/>
          <w:szCs w:val="30"/>
        </w:rPr>
        <w:t>三、区域环境质量现状、环境保护目标及评价标准</w:t>
      </w:r>
      <w:bookmarkEnd w:id="15"/>
      <w:bookmarkEnd w:id="16"/>
      <w:bookmarkEnd w:id="17"/>
      <w:bookmarkEnd w:id="18"/>
      <w:bookmarkEnd w:id="19"/>
    </w:p>
    <w:tbl>
      <w:tblPr>
        <w:tblStyle w:val="25"/>
        <w:tblW w:w="91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729"/>
      </w:tblGrid>
      <w:tr w14:paraId="05243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459" w:type="dxa"/>
            <w:vAlign w:val="center"/>
          </w:tcPr>
          <w:p w14:paraId="509A9CEA">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56828C9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6958063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70F3873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729" w:type="dxa"/>
            <w:vAlign w:val="center"/>
          </w:tcPr>
          <w:p w14:paraId="4997CA0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 环境空气质量</w:t>
            </w:r>
          </w:p>
          <w:p w14:paraId="5F2F836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（1）环境空气质量标准</w:t>
            </w:r>
          </w:p>
          <w:p w14:paraId="3CD00997">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为环境空气功能区划中的二类区，环境空气质量执行《环境空气质量标准》（GB3095-2012）及2018年修改单中的二级标准，TSP执行《环境空气质量标准》（GB3095-2012）及2018年修改单中的二级标准，非甲烷总烃执行《大气污染物综合排放标准详解》（国家环境保护局科技标准司）限值，标准限值如下表所示。</w:t>
            </w:r>
          </w:p>
          <w:p w14:paraId="140CA82C">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表3-1  环境空气质量标准表</w:t>
            </w:r>
          </w:p>
          <w:tbl>
            <w:tblPr>
              <w:tblStyle w:val="25"/>
              <w:tblW w:w="86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7"/>
              <w:gridCol w:w="834"/>
              <w:gridCol w:w="1056"/>
              <w:gridCol w:w="1101"/>
              <w:gridCol w:w="1028"/>
              <w:gridCol w:w="989"/>
              <w:gridCol w:w="2298"/>
            </w:tblGrid>
            <w:tr w14:paraId="797E1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exact"/>
                <w:jc w:val="center"/>
              </w:trPr>
              <w:tc>
                <w:tcPr>
                  <w:tcW w:w="758" w:type="pct"/>
                  <w:vMerge w:val="restart"/>
                  <w:vAlign w:val="center"/>
                </w:tcPr>
                <w:p w14:paraId="449C49F2">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484" w:type="pct"/>
                  <w:vMerge w:val="restart"/>
                  <w:vAlign w:val="center"/>
                </w:tcPr>
                <w:p w14:paraId="3ACD97F7">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单位</w:t>
                  </w:r>
                </w:p>
              </w:tc>
              <w:tc>
                <w:tcPr>
                  <w:tcW w:w="2423" w:type="pct"/>
                  <w:gridSpan w:val="4"/>
                  <w:vAlign w:val="center"/>
                </w:tcPr>
                <w:p w14:paraId="7C4BAA68">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各项污染物的浓度限值</w:t>
                  </w:r>
                </w:p>
              </w:tc>
              <w:tc>
                <w:tcPr>
                  <w:tcW w:w="1334" w:type="pct"/>
                  <w:vMerge w:val="restart"/>
                  <w:vAlign w:val="center"/>
                </w:tcPr>
                <w:p w14:paraId="7DD54326">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w:t>
                  </w:r>
                </w:p>
              </w:tc>
            </w:tr>
            <w:tr w14:paraId="62993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exact"/>
                <w:jc w:val="center"/>
              </w:trPr>
              <w:tc>
                <w:tcPr>
                  <w:tcW w:w="758" w:type="pct"/>
                  <w:vMerge w:val="continue"/>
                  <w:vAlign w:val="center"/>
                </w:tcPr>
                <w:p w14:paraId="74DB9012">
                  <w:pPr>
                    <w:widowControl/>
                    <w:snapToGrid w:val="0"/>
                    <w:spacing w:before="72" w:beforeLines="30" w:after="72" w:afterLines="30"/>
                    <w:jc w:val="center"/>
                    <w:rPr>
                      <w:rFonts w:hint="default" w:ascii="Times New Roman" w:hAnsi="Times New Roman" w:eastAsia="宋体" w:cs="Times New Roman"/>
                      <w:color w:val="auto"/>
                      <w:szCs w:val="21"/>
                    </w:rPr>
                  </w:pPr>
                </w:p>
              </w:tc>
              <w:tc>
                <w:tcPr>
                  <w:tcW w:w="484" w:type="pct"/>
                  <w:vMerge w:val="continue"/>
                  <w:vAlign w:val="center"/>
                </w:tcPr>
                <w:p w14:paraId="263304FE">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0E5340E5">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1h平均</w:t>
                  </w:r>
                </w:p>
              </w:tc>
              <w:tc>
                <w:tcPr>
                  <w:tcW w:w="639" w:type="pct"/>
                  <w:vAlign w:val="center"/>
                </w:tcPr>
                <w:p w14:paraId="2AED42A5">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24h平均</w:t>
                  </w:r>
                </w:p>
              </w:tc>
              <w:tc>
                <w:tcPr>
                  <w:tcW w:w="597" w:type="pct"/>
                  <w:vAlign w:val="center"/>
                </w:tcPr>
                <w:p w14:paraId="6B228948">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w:t>
                  </w:r>
                </w:p>
              </w:tc>
              <w:tc>
                <w:tcPr>
                  <w:tcW w:w="572" w:type="pct"/>
                  <w:vAlign w:val="center"/>
                </w:tcPr>
                <w:p w14:paraId="26F98B17">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8h平均</w:t>
                  </w:r>
                </w:p>
              </w:tc>
              <w:tc>
                <w:tcPr>
                  <w:tcW w:w="1334" w:type="pct"/>
                  <w:vMerge w:val="continue"/>
                  <w:vAlign w:val="center"/>
                </w:tcPr>
                <w:p w14:paraId="4E59B59D">
                  <w:pPr>
                    <w:widowControl/>
                    <w:snapToGrid w:val="0"/>
                    <w:spacing w:before="72" w:beforeLines="30" w:after="72" w:afterLines="30"/>
                    <w:jc w:val="center"/>
                    <w:rPr>
                      <w:rFonts w:hint="default" w:ascii="Times New Roman" w:hAnsi="Times New Roman" w:eastAsia="宋体" w:cs="Times New Roman"/>
                      <w:color w:val="auto"/>
                      <w:szCs w:val="21"/>
                    </w:rPr>
                  </w:pPr>
                </w:p>
              </w:tc>
            </w:tr>
            <w:tr w14:paraId="1285A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exact"/>
                <w:jc w:val="center"/>
              </w:trPr>
              <w:tc>
                <w:tcPr>
                  <w:tcW w:w="758" w:type="pct"/>
                  <w:vAlign w:val="center"/>
                </w:tcPr>
                <w:p w14:paraId="2A6FE09F">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484" w:type="pct"/>
                  <w:vMerge w:val="restart"/>
                  <w:vAlign w:val="center"/>
                </w:tcPr>
                <w:p w14:paraId="2109092F">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ug/m</w:t>
                  </w:r>
                  <w:r>
                    <w:rPr>
                      <w:rFonts w:hint="default" w:ascii="Times New Roman" w:hAnsi="Times New Roman" w:eastAsia="宋体" w:cs="Times New Roman"/>
                      <w:color w:val="auto"/>
                      <w:szCs w:val="21"/>
                      <w:vertAlign w:val="superscript"/>
                    </w:rPr>
                    <w:t>3</w:t>
                  </w:r>
                </w:p>
              </w:tc>
              <w:tc>
                <w:tcPr>
                  <w:tcW w:w="613" w:type="pct"/>
                  <w:vAlign w:val="center"/>
                </w:tcPr>
                <w:p w14:paraId="72B2063F">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w:t>
                  </w:r>
                </w:p>
              </w:tc>
              <w:tc>
                <w:tcPr>
                  <w:tcW w:w="639" w:type="pct"/>
                  <w:vAlign w:val="center"/>
                </w:tcPr>
                <w:p w14:paraId="32A6853D">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597" w:type="pct"/>
                  <w:vAlign w:val="center"/>
                </w:tcPr>
                <w:p w14:paraId="395253CC">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572" w:type="pct"/>
                  <w:vAlign w:val="center"/>
                </w:tcPr>
                <w:p w14:paraId="26657C66">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restart"/>
                  <w:vAlign w:val="center"/>
                </w:tcPr>
                <w:p w14:paraId="1E620CE1">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《环境空气质量标准》（GB3095-2012）及2018年修改单</w:t>
                  </w:r>
                </w:p>
                <w:p w14:paraId="3294D394">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中的二级标准</w:t>
                  </w:r>
                </w:p>
              </w:tc>
            </w:tr>
            <w:tr w14:paraId="67E0E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758" w:type="pct"/>
                  <w:vAlign w:val="center"/>
                </w:tcPr>
                <w:p w14:paraId="2C23D205">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NOx</w:t>
                  </w:r>
                </w:p>
              </w:tc>
              <w:tc>
                <w:tcPr>
                  <w:tcW w:w="484" w:type="pct"/>
                  <w:vMerge w:val="continue"/>
                  <w:vAlign w:val="center"/>
                </w:tcPr>
                <w:p w14:paraId="753CC921">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37FCE37C">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c>
                <w:tcPr>
                  <w:tcW w:w="639" w:type="pct"/>
                  <w:vAlign w:val="center"/>
                </w:tcPr>
                <w:p w14:paraId="7BAFE67B">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w:t>
                  </w:r>
                </w:p>
              </w:tc>
              <w:tc>
                <w:tcPr>
                  <w:tcW w:w="597" w:type="pct"/>
                  <w:vAlign w:val="center"/>
                </w:tcPr>
                <w:p w14:paraId="262A061B">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572" w:type="pct"/>
                  <w:vAlign w:val="center"/>
                </w:tcPr>
                <w:p w14:paraId="3538F261">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continue"/>
                  <w:vAlign w:val="center"/>
                </w:tcPr>
                <w:p w14:paraId="64B75265">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r>
            <w:tr w14:paraId="3980D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exact"/>
                <w:jc w:val="center"/>
              </w:trPr>
              <w:tc>
                <w:tcPr>
                  <w:tcW w:w="758" w:type="pct"/>
                  <w:vAlign w:val="center"/>
                </w:tcPr>
                <w:p w14:paraId="391B33D1">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2</w:t>
                  </w:r>
                </w:p>
              </w:tc>
              <w:tc>
                <w:tcPr>
                  <w:tcW w:w="484" w:type="pct"/>
                  <w:vMerge w:val="continue"/>
                  <w:vAlign w:val="center"/>
                </w:tcPr>
                <w:p w14:paraId="639F9B63">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7D19033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639" w:type="pct"/>
                  <w:vAlign w:val="center"/>
                </w:tcPr>
                <w:p w14:paraId="439D8EE1">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c>
                <w:tcPr>
                  <w:tcW w:w="597" w:type="pct"/>
                  <w:vAlign w:val="center"/>
                </w:tcPr>
                <w:p w14:paraId="0E7F1A3E">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572" w:type="pct"/>
                  <w:vAlign w:val="center"/>
                </w:tcPr>
                <w:p w14:paraId="3D1E8175">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continue"/>
                  <w:vAlign w:val="center"/>
                </w:tcPr>
                <w:p w14:paraId="5659438A">
                  <w:pPr>
                    <w:widowControl/>
                    <w:snapToGrid w:val="0"/>
                    <w:spacing w:before="72" w:beforeLines="30" w:after="72" w:afterLines="30"/>
                    <w:jc w:val="center"/>
                    <w:rPr>
                      <w:rFonts w:hint="default" w:ascii="Times New Roman" w:hAnsi="Times New Roman" w:eastAsia="宋体" w:cs="Times New Roman"/>
                      <w:color w:val="auto"/>
                      <w:szCs w:val="21"/>
                    </w:rPr>
                  </w:pPr>
                </w:p>
              </w:tc>
            </w:tr>
            <w:tr w14:paraId="002B3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exact"/>
                <w:jc w:val="center"/>
              </w:trPr>
              <w:tc>
                <w:tcPr>
                  <w:tcW w:w="758" w:type="pct"/>
                  <w:vAlign w:val="center"/>
                </w:tcPr>
                <w:p w14:paraId="1FBA6AD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10</w:t>
                  </w:r>
                </w:p>
              </w:tc>
              <w:tc>
                <w:tcPr>
                  <w:tcW w:w="484" w:type="pct"/>
                  <w:vMerge w:val="continue"/>
                  <w:vAlign w:val="center"/>
                </w:tcPr>
                <w:p w14:paraId="4DA1C3AC">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51DC8A34">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39" w:type="pct"/>
                  <w:vAlign w:val="center"/>
                </w:tcPr>
                <w:p w14:paraId="14AEDC3D">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597" w:type="pct"/>
                  <w:vAlign w:val="center"/>
                </w:tcPr>
                <w:p w14:paraId="1343C07E">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572" w:type="pct"/>
                  <w:vAlign w:val="center"/>
                </w:tcPr>
                <w:p w14:paraId="293C5B52">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continue"/>
                  <w:vAlign w:val="center"/>
                </w:tcPr>
                <w:p w14:paraId="0B881F73">
                  <w:pPr>
                    <w:widowControl/>
                    <w:snapToGrid w:val="0"/>
                    <w:spacing w:before="72" w:beforeLines="30" w:after="72" w:afterLines="30"/>
                    <w:jc w:val="center"/>
                    <w:rPr>
                      <w:rFonts w:hint="default" w:ascii="Times New Roman" w:hAnsi="Times New Roman" w:eastAsia="宋体" w:cs="Times New Roman"/>
                      <w:color w:val="auto"/>
                      <w:szCs w:val="21"/>
                    </w:rPr>
                  </w:pPr>
                </w:p>
              </w:tc>
            </w:tr>
            <w:tr w14:paraId="7E60B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exact"/>
                <w:jc w:val="center"/>
              </w:trPr>
              <w:tc>
                <w:tcPr>
                  <w:tcW w:w="758" w:type="pct"/>
                  <w:vAlign w:val="center"/>
                </w:tcPr>
                <w:p w14:paraId="15DA4647">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2.5</w:t>
                  </w:r>
                </w:p>
              </w:tc>
              <w:tc>
                <w:tcPr>
                  <w:tcW w:w="484" w:type="pct"/>
                  <w:vMerge w:val="continue"/>
                  <w:vAlign w:val="center"/>
                </w:tcPr>
                <w:p w14:paraId="71C6CCD6">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72AD1B0B">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39" w:type="pct"/>
                  <w:vAlign w:val="center"/>
                </w:tcPr>
                <w:p w14:paraId="75F3573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75</w:t>
                  </w:r>
                </w:p>
              </w:tc>
              <w:tc>
                <w:tcPr>
                  <w:tcW w:w="597" w:type="pct"/>
                  <w:vAlign w:val="center"/>
                </w:tcPr>
                <w:p w14:paraId="13662B02">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cr/>
                  </w:r>
                  <w:r>
                    <w:rPr>
                      <w:rFonts w:hint="default" w:ascii="Times New Roman" w:hAnsi="Times New Roman" w:eastAsia="宋体" w:cs="Times New Roman"/>
                      <w:color w:val="auto"/>
                      <w:szCs w:val="21"/>
                    </w:rPr>
                    <w:t>35</w:t>
                  </w:r>
                </w:p>
              </w:tc>
              <w:tc>
                <w:tcPr>
                  <w:tcW w:w="572" w:type="pct"/>
                  <w:vAlign w:val="center"/>
                </w:tcPr>
                <w:p w14:paraId="518CA499">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continue"/>
                  <w:vAlign w:val="center"/>
                </w:tcPr>
                <w:p w14:paraId="1B935641">
                  <w:pPr>
                    <w:widowControl/>
                    <w:snapToGrid w:val="0"/>
                    <w:spacing w:before="72" w:beforeLines="30" w:after="72" w:afterLines="30"/>
                    <w:jc w:val="center"/>
                    <w:rPr>
                      <w:rFonts w:hint="default" w:ascii="Times New Roman" w:hAnsi="Times New Roman" w:eastAsia="宋体" w:cs="Times New Roman"/>
                      <w:color w:val="auto"/>
                      <w:szCs w:val="21"/>
                    </w:rPr>
                  </w:pPr>
                </w:p>
              </w:tc>
            </w:tr>
            <w:tr w14:paraId="03C2D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758" w:type="pct"/>
                  <w:vAlign w:val="center"/>
                </w:tcPr>
                <w:p w14:paraId="5F9F8637">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TSP</w:t>
                  </w:r>
                </w:p>
              </w:tc>
              <w:tc>
                <w:tcPr>
                  <w:tcW w:w="484" w:type="pct"/>
                  <w:vMerge w:val="continue"/>
                  <w:vAlign w:val="center"/>
                </w:tcPr>
                <w:p w14:paraId="05ECC6B9">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67905968">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39" w:type="pct"/>
                  <w:vAlign w:val="center"/>
                </w:tcPr>
                <w:p w14:paraId="27C2DF72">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300</w:t>
                  </w:r>
                </w:p>
              </w:tc>
              <w:tc>
                <w:tcPr>
                  <w:tcW w:w="597" w:type="pct"/>
                  <w:vAlign w:val="center"/>
                </w:tcPr>
                <w:p w14:paraId="7A02EB22">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572" w:type="pct"/>
                  <w:vAlign w:val="center"/>
                </w:tcPr>
                <w:p w14:paraId="5D036592">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continue"/>
                  <w:vAlign w:val="center"/>
                </w:tcPr>
                <w:p w14:paraId="665C735E">
                  <w:pPr>
                    <w:widowControl/>
                    <w:snapToGrid w:val="0"/>
                    <w:spacing w:before="72" w:beforeLines="30" w:after="72" w:afterLines="30"/>
                    <w:jc w:val="center"/>
                    <w:rPr>
                      <w:rFonts w:hint="default" w:ascii="Times New Roman" w:hAnsi="Times New Roman" w:eastAsia="宋体" w:cs="Times New Roman"/>
                      <w:color w:val="auto"/>
                      <w:szCs w:val="21"/>
                    </w:rPr>
                  </w:pPr>
                </w:p>
              </w:tc>
            </w:tr>
            <w:tr w14:paraId="362C1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exact"/>
                <w:jc w:val="center"/>
              </w:trPr>
              <w:tc>
                <w:tcPr>
                  <w:tcW w:w="758" w:type="pct"/>
                  <w:vAlign w:val="center"/>
                </w:tcPr>
                <w:p w14:paraId="656ABA9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3</w:t>
                  </w:r>
                </w:p>
              </w:tc>
              <w:tc>
                <w:tcPr>
                  <w:tcW w:w="484" w:type="pct"/>
                  <w:vMerge w:val="continue"/>
                  <w:vAlign w:val="center"/>
                </w:tcPr>
                <w:p w14:paraId="4A857345">
                  <w:pPr>
                    <w:widowControl/>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613" w:type="pct"/>
                  <w:vAlign w:val="center"/>
                </w:tcPr>
                <w:p w14:paraId="7CA4094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639" w:type="pct"/>
                  <w:vAlign w:val="center"/>
                </w:tcPr>
                <w:p w14:paraId="3C0532F3">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97" w:type="pct"/>
                  <w:vAlign w:val="center"/>
                </w:tcPr>
                <w:p w14:paraId="2E8070D1">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1074C1EB">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160</w:t>
                  </w:r>
                </w:p>
              </w:tc>
              <w:tc>
                <w:tcPr>
                  <w:tcW w:w="1334" w:type="pct"/>
                  <w:vMerge w:val="continue"/>
                  <w:vAlign w:val="center"/>
                </w:tcPr>
                <w:p w14:paraId="6A400C7D">
                  <w:pPr>
                    <w:widowControl/>
                    <w:snapToGrid w:val="0"/>
                    <w:spacing w:before="72" w:beforeLines="30" w:after="72" w:afterLines="30"/>
                    <w:jc w:val="center"/>
                    <w:rPr>
                      <w:rFonts w:hint="default" w:ascii="Times New Roman" w:hAnsi="Times New Roman" w:eastAsia="宋体" w:cs="Times New Roman"/>
                      <w:color w:val="auto"/>
                      <w:szCs w:val="21"/>
                    </w:rPr>
                  </w:pPr>
                </w:p>
              </w:tc>
            </w:tr>
            <w:tr w14:paraId="4D598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9" w:hRule="exact"/>
                <w:jc w:val="center"/>
              </w:trPr>
              <w:tc>
                <w:tcPr>
                  <w:tcW w:w="758" w:type="pct"/>
                  <w:vAlign w:val="center"/>
                </w:tcPr>
                <w:p w14:paraId="54DA907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484" w:type="pct"/>
                  <w:vAlign w:val="center"/>
                </w:tcPr>
                <w:p w14:paraId="5FE5576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c>
                <w:tcPr>
                  <w:tcW w:w="613" w:type="pct"/>
                  <w:vAlign w:val="center"/>
                </w:tcPr>
                <w:p w14:paraId="7C572EBB">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639" w:type="pct"/>
                  <w:vAlign w:val="center"/>
                </w:tcPr>
                <w:p w14:paraId="37A8C919">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597" w:type="pct"/>
                  <w:vAlign w:val="center"/>
                </w:tcPr>
                <w:p w14:paraId="6137A603">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2EE8AA71">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4" w:type="pct"/>
                  <w:vMerge w:val="continue"/>
                  <w:vAlign w:val="center"/>
                </w:tcPr>
                <w:p w14:paraId="2EDF735D">
                  <w:pPr>
                    <w:widowControl/>
                    <w:snapToGrid w:val="0"/>
                    <w:spacing w:before="72" w:beforeLines="30" w:after="72" w:afterLines="30"/>
                    <w:jc w:val="center"/>
                    <w:rPr>
                      <w:rFonts w:hint="default" w:ascii="Times New Roman" w:hAnsi="Times New Roman" w:eastAsia="宋体" w:cs="Times New Roman"/>
                      <w:color w:val="auto"/>
                      <w:szCs w:val="21"/>
                    </w:rPr>
                  </w:pPr>
                </w:p>
              </w:tc>
            </w:tr>
            <w:tr w14:paraId="47BC3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exact"/>
                <w:jc w:val="center"/>
              </w:trPr>
              <w:tc>
                <w:tcPr>
                  <w:tcW w:w="758" w:type="pct"/>
                  <w:vAlign w:val="center"/>
                </w:tcPr>
                <w:p w14:paraId="7EA10C38">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NMHC</w:t>
                  </w:r>
                </w:p>
              </w:tc>
              <w:tc>
                <w:tcPr>
                  <w:tcW w:w="484" w:type="pct"/>
                  <w:vAlign w:val="center"/>
                </w:tcPr>
                <w:p w14:paraId="035EB263">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mg/m</w:t>
                  </w:r>
                  <w:r>
                    <w:rPr>
                      <w:rFonts w:hint="default" w:ascii="Times New Roman" w:hAnsi="Times New Roman" w:eastAsia="宋体" w:cs="Times New Roman"/>
                      <w:color w:val="auto"/>
                      <w:szCs w:val="21"/>
                      <w:vertAlign w:val="superscript"/>
                    </w:rPr>
                    <w:t>3</w:t>
                  </w:r>
                </w:p>
              </w:tc>
              <w:tc>
                <w:tcPr>
                  <w:tcW w:w="613" w:type="pct"/>
                  <w:vAlign w:val="center"/>
                </w:tcPr>
                <w:p w14:paraId="62EE451F">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639" w:type="pct"/>
                  <w:vAlign w:val="center"/>
                </w:tcPr>
                <w:p w14:paraId="69DEA933">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97" w:type="pct"/>
                  <w:vAlign w:val="center"/>
                </w:tcPr>
                <w:p w14:paraId="1E0DFBCC">
                  <w:pPr>
                    <w:widowControl/>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72" w:type="pct"/>
                  <w:vAlign w:val="center"/>
                </w:tcPr>
                <w:p w14:paraId="198174AA">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600</w:t>
                  </w:r>
                </w:p>
              </w:tc>
              <w:tc>
                <w:tcPr>
                  <w:tcW w:w="1334" w:type="pct"/>
                  <w:vAlign w:val="center"/>
                </w:tcPr>
                <w:p w14:paraId="1665500A">
                  <w:pPr>
                    <w:widowControl/>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《大气污染物综合排放标准详解》（国家环境保护局科技标准司）</w:t>
                  </w:r>
                </w:p>
              </w:tc>
            </w:tr>
          </w:tbl>
          <w:p w14:paraId="1BB802BC">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（2）环境空气质量现状</w:t>
            </w:r>
          </w:p>
          <w:p w14:paraId="7D4DAE86">
            <w:pPr>
              <w:pStyle w:val="60"/>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szCs w:val="21"/>
                <w:lang w:val="en-US"/>
              </w:rPr>
              <w:t>根据调查，玉溪当地生态环境保护部门在北城街道设置了1个空气自动监测站，站点位于北城街道办事处楼顶，位于本项目东面直线距离</w:t>
            </w:r>
            <w:r>
              <w:rPr>
                <w:rFonts w:hint="default" w:ascii="Times New Roman" w:hAnsi="Times New Roman" w:eastAsia="宋体" w:cs="Times New Roman"/>
                <w:color w:val="auto"/>
                <w:szCs w:val="21"/>
                <w:lang w:val="en-US" w:eastAsia="zh-CN"/>
              </w:rPr>
              <w:t>3.516km</w:t>
            </w:r>
            <w:r>
              <w:rPr>
                <w:rFonts w:hint="default" w:ascii="Times New Roman" w:hAnsi="Times New Roman" w:eastAsia="宋体" w:cs="Times New Roman"/>
                <w:color w:val="auto"/>
                <w:szCs w:val="21"/>
                <w:lang w:val="en-US"/>
              </w:rPr>
              <w:t>处。根据202</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lang w:val="en-US"/>
              </w:rPr>
              <w:t>年1月1日~12月31日该监测系统对北城环境空气监测结果：可吸入颗粒物（PM</w:t>
            </w:r>
            <w:r>
              <w:rPr>
                <w:rFonts w:hint="default" w:ascii="Times New Roman" w:hAnsi="Times New Roman" w:eastAsia="宋体" w:cs="Times New Roman"/>
                <w:color w:val="auto"/>
                <w:szCs w:val="21"/>
                <w:vertAlign w:val="subscript"/>
                <w:lang w:val="en-US"/>
              </w:rPr>
              <w:t>10</w:t>
            </w:r>
            <w:r>
              <w:rPr>
                <w:rFonts w:hint="default" w:ascii="Times New Roman" w:hAnsi="Times New Roman" w:eastAsia="宋体" w:cs="Times New Roman"/>
                <w:color w:val="auto"/>
                <w:szCs w:val="21"/>
                <w:lang w:val="en-US"/>
              </w:rPr>
              <w:t>）、细颗粒物（PM</w:t>
            </w:r>
            <w:r>
              <w:rPr>
                <w:rFonts w:hint="default" w:ascii="Times New Roman" w:hAnsi="Times New Roman" w:eastAsia="宋体" w:cs="Times New Roman"/>
                <w:color w:val="auto"/>
                <w:szCs w:val="21"/>
                <w:vertAlign w:val="subscript"/>
                <w:lang w:val="en-US"/>
              </w:rPr>
              <w:t>2.5</w:t>
            </w:r>
            <w:r>
              <w:rPr>
                <w:rFonts w:hint="default" w:ascii="Times New Roman" w:hAnsi="Times New Roman" w:eastAsia="宋体" w:cs="Times New Roman"/>
                <w:color w:val="auto"/>
                <w:szCs w:val="21"/>
                <w:lang w:val="en-US"/>
              </w:rPr>
              <w:t>）、二氧化硫（SO</w:t>
            </w:r>
            <w:r>
              <w:rPr>
                <w:rFonts w:hint="default" w:ascii="Times New Roman" w:hAnsi="Times New Roman" w:eastAsia="宋体" w:cs="Times New Roman"/>
                <w:color w:val="auto"/>
                <w:szCs w:val="21"/>
                <w:vertAlign w:val="subscript"/>
                <w:lang w:val="en-US"/>
              </w:rPr>
              <w:t>2</w:t>
            </w:r>
            <w:r>
              <w:rPr>
                <w:rFonts w:hint="default" w:ascii="Times New Roman" w:hAnsi="Times New Roman" w:eastAsia="宋体" w:cs="Times New Roman"/>
                <w:color w:val="auto"/>
                <w:szCs w:val="21"/>
                <w:lang w:val="en-US"/>
              </w:rPr>
              <w:t>）、二氧化氮（NOx）、一氧化碳（CO）、臭氧（O</w:t>
            </w:r>
            <w:r>
              <w:rPr>
                <w:rFonts w:hint="default" w:ascii="Times New Roman" w:hAnsi="Times New Roman" w:eastAsia="宋体" w:cs="Times New Roman"/>
                <w:color w:val="auto"/>
                <w:szCs w:val="21"/>
                <w:vertAlign w:val="subscript"/>
                <w:lang w:val="en-US"/>
              </w:rPr>
              <w:t>3</w:t>
            </w:r>
            <w:r>
              <w:rPr>
                <w:rFonts w:hint="default" w:ascii="Times New Roman" w:hAnsi="Times New Roman" w:eastAsia="宋体" w:cs="Times New Roman"/>
                <w:color w:val="auto"/>
                <w:szCs w:val="21"/>
                <w:lang w:val="en-US"/>
              </w:rPr>
              <w:t>）年均浓度达到</w:t>
            </w:r>
            <w:r>
              <w:rPr>
                <w:rFonts w:hint="default" w:ascii="Times New Roman" w:hAnsi="Times New Roman" w:eastAsia="宋体" w:cs="Times New Roman"/>
                <w:color w:val="auto"/>
                <w:szCs w:val="21"/>
              </w:rPr>
              <w:t>《环境空气质量标准》（GB3095-2012）及其</w:t>
            </w:r>
            <w:r>
              <w:rPr>
                <w:rFonts w:hint="default" w:ascii="Times New Roman" w:hAnsi="Times New Roman" w:eastAsia="宋体" w:cs="Times New Roman"/>
                <w:color w:val="auto"/>
                <w:szCs w:val="21"/>
                <w:lang w:val="en-US"/>
              </w:rPr>
              <w:t>2018修改单</w:t>
            </w:r>
            <w:r>
              <w:rPr>
                <w:rFonts w:hint="default" w:ascii="Times New Roman" w:hAnsi="Times New Roman" w:eastAsia="宋体" w:cs="Times New Roman"/>
                <w:color w:val="auto"/>
                <w:szCs w:val="21"/>
              </w:rPr>
              <w:t>二级标准。</w:t>
            </w:r>
            <w:r>
              <w:rPr>
                <w:rFonts w:hint="default" w:ascii="Times New Roman" w:hAnsi="Times New Roman" w:eastAsia="宋体" w:cs="Times New Roman"/>
                <w:color w:val="auto"/>
                <w:szCs w:val="21"/>
                <w:lang w:bidi="ar"/>
              </w:rPr>
              <w:t>监测结果如下表所示</w:t>
            </w:r>
            <w:r>
              <w:rPr>
                <w:rFonts w:hint="default" w:ascii="Times New Roman" w:hAnsi="Times New Roman" w:eastAsia="宋体" w:cs="Times New Roman"/>
                <w:color w:val="auto"/>
                <w:kern w:val="0"/>
                <w:szCs w:val="21"/>
                <w:lang w:val="en-US"/>
              </w:rPr>
              <w:t>：</w:t>
            </w:r>
          </w:p>
          <w:p w14:paraId="282D4EC8">
            <w:pPr>
              <w:pStyle w:val="38"/>
              <w:snapToGrid w:val="0"/>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表3-2  区域空气质量现状评价表</w:t>
            </w:r>
          </w:p>
          <w:tbl>
            <w:tblPr>
              <w:tblStyle w:val="26"/>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494"/>
              <w:gridCol w:w="815"/>
              <w:gridCol w:w="1702"/>
              <w:gridCol w:w="1135"/>
              <w:gridCol w:w="1135"/>
              <w:gridCol w:w="763"/>
              <w:gridCol w:w="739"/>
            </w:tblGrid>
            <w:tr w14:paraId="3B21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Align w:val="center"/>
                </w:tcPr>
                <w:p w14:paraId="6D340B1F">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67" w:type="pct"/>
                  <w:vAlign w:val="center"/>
                </w:tcPr>
                <w:p w14:paraId="009B9482">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坐标</w:t>
                  </w:r>
                </w:p>
              </w:tc>
              <w:tc>
                <w:tcPr>
                  <w:tcW w:w="472" w:type="pct"/>
                  <w:vAlign w:val="center"/>
                </w:tcPr>
                <w:p w14:paraId="6B9CF699">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987" w:type="pct"/>
                  <w:vAlign w:val="center"/>
                </w:tcPr>
                <w:p w14:paraId="7FAD2E56">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评价指标</w:t>
                  </w:r>
                </w:p>
              </w:tc>
              <w:tc>
                <w:tcPr>
                  <w:tcW w:w="658" w:type="pct"/>
                  <w:vAlign w:val="center"/>
                </w:tcPr>
                <w:p w14:paraId="31D78E0E">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现状浓度（ug/m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658" w:type="pct"/>
                  <w:vAlign w:val="center"/>
                </w:tcPr>
                <w:p w14:paraId="35718FD2">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标准值（ug/m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442" w:type="pct"/>
                  <w:vAlign w:val="center"/>
                </w:tcPr>
                <w:p w14:paraId="60A731DF">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占标率/%</w:t>
                  </w:r>
                </w:p>
              </w:tc>
              <w:tc>
                <w:tcPr>
                  <w:tcW w:w="428" w:type="pct"/>
                  <w:vAlign w:val="center"/>
                </w:tcPr>
                <w:p w14:paraId="093115E7">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达标情况</w:t>
                  </w:r>
                </w:p>
              </w:tc>
            </w:tr>
            <w:tr w14:paraId="6D5B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14:paraId="1E09D92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北城街道</w:t>
                  </w:r>
                </w:p>
              </w:tc>
              <w:tc>
                <w:tcPr>
                  <w:tcW w:w="867" w:type="pct"/>
                  <w:vMerge w:val="restart"/>
                  <w:vAlign w:val="center"/>
                </w:tcPr>
                <w:p w14:paraId="7ADBCFCE">
                  <w:pPr>
                    <w:rPr>
                      <w:rFonts w:hint="default" w:ascii="Times New Roman" w:hAnsi="Times New Roman" w:eastAsia="宋体" w:cs="Times New Roman"/>
                      <w:color w:val="auto"/>
                      <w:szCs w:val="21"/>
                    </w:rPr>
                  </w:pPr>
                </w:p>
                <w:p w14:paraId="5DC0059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经度：102.547849</w:t>
                  </w:r>
                </w:p>
                <w:p w14:paraId="2AA3B0D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纬度：24.432688</w:t>
                  </w:r>
                </w:p>
              </w:tc>
              <w:tc>
                <w:tcPr>
                  <w:tcW w:w="472" w:type="pct"/>
                  <w:vMerge w:val="restart"/>
                  <w:vAlign w:val="center"/>
                </w:tcPr>
                <w:p w14:paraId="64C44EB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987" w:type="pct"/>
                  <w:vAlign w:val="center"/>
                </w:tcPr>
                <w:p w14:paraId="5A0DCE0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年平均质量浓度</w:t>
                  </w:r>
                </w:p>
              </w:tc>
              <w:tc>
                <w:tcPr>
                  <w:tcW w:w="658" w:type="pct"/>
                  <w:vAlign w:val="center"/>
                </w:tcPr>
                <w:p w14:paraId="5EA5B7C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658" w:type="pct"/>
                  <w:vAlign w:val="center"/>
                </w:tcPr>
                <w:p w14:paraId="1689752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442" w:type="pct"/>
                  <w:vAlign w:val="center"/>
                </w:tcPr>
                <w:p w14:paraId="3260947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16.67</w:t>
                  </w:r>
                </w:p>
              </w:tc>
              <w:tc>
                <w:tcPr>
                  <w:tcW w:w="428" w:type="pct"/>
                  <w:vAlign w:val="center"/>
                </w:tcPr>
                <w:p w14:paraId="3E2D5D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56B8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5F616270">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360A4478">
                  <w:pPr>
                    <w:jc w:val="center"/>
                    <w:rPr>
                      <w:rFonts w:hint="default" w:ascii="Times New Roman" w:hAnsi="Times New Roman" w:eastAsia="宋体" w:cs="Times New Roman"/>
                      <w:color w:val="auto"/>
                      <w:szCs w:val="21"/>
                      <w:highlight w:val="yellow"/>
                    </w:rPr>
                  </w:pPr>
                </w:p>
              </w:tc>
              <w:tc>
                <w:tcPr>
                  <w:tcW w:w="472" w:type="pct"/>
                  <w:vMerge w:val="continue"/>
                  <w:vAlign w:val="center"/>
                </w:tcPr>
                <w:p w14:paraId="42F18B02">
                  <w:pPr>
                    <w:jc w:val="center"/>
                    <w:rPr>
                      <w:rFonts w:hint="default" w:ascii="Times New Roman" w:hAnsi="Times New Roman" w:eastAsia="宋体" w:cs="Times New Roman"/>
                      <w:color w:val="auto"/>
                      <w:szCs w:val="21"/>
                    </w:rPr>
                  </w:pPr>
                </w:p>
              </w:tc>
              <w:tc>
                <w:tcPr>
                  <w:tcW w:w="987" w:type="pct"/>
                  <w:vAlign w:val="center"/>
                </w:tcPr>
                <w:p w14:paraId="476E964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24h平均第98百分位数</w:t>
                  </w:r>
                </w:p>
              </w:tc>
              <w:tc>
                <w:tcPr>
                  <w:tcW w:w="658" w:type="pct"/>
                  <w:vAlign w:val="center"/>
                </w:tcPr>
                <w:p w14:paraId="788817B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w:t>
                  </w:r>
                </w:p>
              </w:tc>
              <w:tc>
                <w:tcPr>
                  <w:tcW w:w="658" w:type="pct"/>
                  <w:vAlign w:val="center"/>
                </w:tcPr>
                <w:p w14:paraId="1803370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442" w:type="pct"/>
                  <w:vAlign w:val="center"/>
                </w:tcPr>
                <w:p w14:paraId="4E62D62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428" w:type="pct"/>
                  <w:vAlign w:val="center"/>
                </w:tcPr>
                <w:p w14:paraId="40BE11A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54BA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0B3F341A">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12BE8C5C">
                  <w:pPr>
                    <w:jc w:val="center"/>
                    <w:rPr>
                      <w:rFonts w:hint="default" w:ascii="Times New Roman" w:hAnsi="Times New Roman" w:eastAsia="宋体" w:cs="Times New Roman"/>
                      <w:color w:val="auto"/>
                      <w:szCs w:val="21"/>
                      <w:highlight w:val="yellow"/>
                    </w:rPr>
                  </w:pPr>
                </w:p>
              </w:tc>
              <w:tc>
                <w:tcPr>
                  <w:tcW w:w="472" w:type="pct"/>
                  <w:vMerge w:val="restart"/>
                  <w:vAlign w:val="center"/>
                </w:tcPr>
                <w:p w14:paraId="331B60C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2</w:t>
                  </w:r>
                </w:p>
              </w:tc>
              <w:tc>
                <w:tcPr>
                  <w:tcW w:w="987" w:type="pct"/>
                  <w:vAlign w:val="center"/>
                </w:tcPr>
                <w:p w14:paraId="3C5C13A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年平均质量浓度</w:t>
                  </w:r>
                </w:p>
              </w:tc>
              <w:tc>
                <w:tcPr>
                  <w:tcW w:w="658" w:type="pct"/>
                  <w:vAlign w:val="center"/>
                </w:tcPr>
                <w:p w14:paraId="336A95F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658" w:type="pct"/>
                  <w:vAlign w:val="center"/>
                </w:tcPr>
                <w:p w14:paraId="1B088D63">
                  <w:pPr>
                    <w:pStyle w:val="77"/>
                    <w:spacing w:before="24" w:after="24"/>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442" w:type="pct"/>
                  <w:vAlign w:val="center"/>
                </w:tcPr>
                <w:p w14:paraId="3224C23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c>
                <w:tcPr>
                  <w:tcW w:w="428" w:type="pct"/>
                  <w:vAlign w:val="center"/>
                </w:tcPr>
                <w:p w14:paraId="473B9B1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4F0E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0E0B5F34">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654FFDD8">
                  <w:pPr>
                    <w:jc w:val="center"/>
                    <w:rPr>
                      <w:rFonts w:hint="default" w:ascii="Times New Roman" w:hAnsi="Times New Roman" w:eastAsia="宋体" w:cs="Times New Roman"/>
                      <w:color w:val="auto"/>
                      <w:szCs w:val="21"/>
                      <w:highlight w:val="yellow"/>
                    </w:rPr>
                  </w:pPr>
                </w:p>
              </w:tc>
              <w:tc>
                <w:tcPr>
                  <w:tcW w:w="472" w:type="pct"/>
                  <w:vMerge w:val="continue"/>
                  <w:vAlign w:val="center"/>
                </w:tcPr>
                <w:p w14:paraId="48CA2AE6">
                  <w:pPr>
                    <w:jc w:val="center"/>
                    <w:rPr>
                      <w:rFonts w:hint="default" w:ascii="Times New Roman" w:hAnsi="Times New Roman" w:eastAsia="宋体" w:cs="Times New Roman"/>
                      <w:color w:val="auto"/>
                      <w:szCs w:val="21"/>
                    </w:rPr>
                  </w:pPr>
                </w:p>
              </w:tc>
              <w:tc>
                <w:tcPr>
                  <w:tcW w:w="987" w:type="pct"/>
                  <w:vAlign w:val="center"/>
                </w:tcPr>
                <w:p w14:paraId="0EDC94D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24h平均第98百分位数</w:t>
                  </w:r>
                </w:p>
              </w:tc>
              <w:tc>
                <w:tcPr>
                  <w:tcW w:w="658" w:type="pct"/>
                  <w:vAlign w:val="center"/>
                </w:tcPr>
                <w:p w14:paraId="3F45F8E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w:t>
                  </w:r>
                </w:p>
              </w:tc>
              <w:tc>
                <w:tcPr>
                  <w:tcW w:w="658" w:type="pct"/>
                  <w:vAlign w:val="center"/>
                </w:tcPr>
                <w:p w14:paraId="7A6AB418">
                  <w:pPr>
                    <w:pStyle w:val="77"/>
                    <w:spacing w:before="24" w:after="24"/>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c>
                <w:tcPr>
                  <w:tcW w:w="442" w:type="pct"/>
                  <w:vAlign w:val="center"/>
                </w:tcPr>
                <w:p w14:paraId="6A8BF86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46.25</w:t>
                  </w:r>
                </w:p>
              </w:tc>
              <w:tc>
                <w:tcPr>
                  <w:tcW w:w="428" w:type="pct"/>
                  <w:vAlign w:val="center"/>
                </w:tcPr>
                <w:p w14:paraId="16C6433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510A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776929EE">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187A956F">
                  <w:pPr>
                    <w:jc w:val="center"/>
                    <w:rPr>
                      <w:rFonts w:hint="default" w:ascii="Times New Roman" w:hAnsi="Times New Roman" w:eastAsia="宋体" w:cs="Times New Roman"/>
                      <w:color w:val="auto"/>
                      <w:szCs w:val="21"/>
                      <w:highlight w:val="yellow"/>
                    </w:rPr>
                  </w:pPr>
                </w:p>
              </w:tc>
              <w:tc>
                <w:tcPr>
                  <w:tcW w:w="472" w:type="pct"/>
                  <w:vMerge w:val="restart"/>
                  <w:vAlign w:val="center"/>
                </w:tcPr>
                <w:p w14:paraId="31C3947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10</w:t>
                  </w:r>
                </w:p>
              </w:tc>
              <w:tc>
                <w:tcPr>
                  <w:tcW w:w="987" w:type="pct"/>
                  <w:vAlign w:val="center"/>
                </w:tcPr>
                <w:p w14:paraId="3723B4E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年平均质量浓度</w:t>
                  </w:r>
                </w:p>
              </w:tc>
              <w:tc>
                <w:tcPr>
                  <w:tcW w:w="658" w:type="pct"/>
                  <w:vAlign w:val="center"/>
                </w:tcPr>
                <w:p w14:paraId="6FE0F98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658" w:type="pct"/>
                  <w:vAlign w:val="center"/>
                </w:tcPr>
                <w:p w14:paraId="24D1C5E7">
                  <w:pPr>
                    <w:pStyle w:val="77"/>
                    <w:spacing w:before="24" w:after="24"/>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442" w:type="pct"/>
                  <w:vAlign w:val="center"/>
                </w:tcPr>
                <w:p w14:paraId="1EA1ED3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428" w:type="pct"/>
                  <w:vAlign w:val="center"/>
                </w:tcPr>
                <w:p w14:paraId="4514FBB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482F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1861ACC6">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762DEB4A">
                  <w:pPr>
                    <w:jc w:val="center"/>
                    <w:rPr>
                      <w:rFonts w:hint="default" w:ascii="Times New Roman" w:hAnsi="Times New Roman" w:eastAsia="宋体" w:cs="Times New Roman"/>
                      <w:color w:val="auto"/>
                      <w:szCs w:val="21"/>
                      <w:highlight w:val="yellow"/>
                    </w:rPr>
                  </w:pPr>
                </w:p>
              </w:tc>
              <w:tc>
                <w:tcPr>
                  <w:tcW w:w="472" w:type="pct"/>
                  <w:vMerge w:val="continue"/>
                  <w:vAlign w:val="center"/>
                </w:tcPr>
                <w:p w14:paraId="5AA85B09">
                  <w:pPr>
                    <w:jc w:val="center"/>
                    <w:rPr>
                      <w:rFonts w:hint="default" w:ascii="Times New Roman" w:hAnsi="Times New Roman" w:eastAsia="宋体" w:cs="Times New Roman"/>
                      <w:color w:val="auto"/>
                      <w:szCs w:val="21"/>
                    </w:rPr>
                  </w:pPr>
                </w:p>
              </w:tc>
              <w:tc>
                <w:tcPr>
                  <w:tcW w:w="987" w:type="pct"/>
                  <w:vAlign w:val="center"/>
                </w:tcPr>
                <w:p w14:paraId="07B94A81">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24h平均第95百分位数</w:t>
                  </w:r>
                </w:p>
              </w:tc>
              <w:tc>
                <w:tcPr>
                  <w:tcW w:w="658" w:type="pct"/>
                  <w:vAlign w:val="center"/>
                </w:tcPr>
                <w:p w14:paraId="6A6BEF5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59</w:t>
                  </w:r>
                </w:p>
              </w:tc>
              <w:tc>
                <w:tcPr>
                  <w:tcW w:w="658" w:type="pct"/>
                  <w:vAlign w:val="center"/>
                </w:tcPr>
                <w:p w14:paraId="49CA749D">
                  <w:pPr>
                    <w:pStyle w:val="77"/>
                    <w:spacing w:before="24" w:after="24"/>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442" w:type="pct"/>
                  <w:vAlign w:val="center"/>
                </w:tcPr>
                <w:p w14:paraId="76E87CD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39.33</w:t>
                  </w:r>
                </w:p>
              </w:tc>
              <w:tc>
                <w:tcPr>
                  <w:tcW w:w="428" w:type="pct"/>
                  <w:vAlign w:val="center"/>
                </w:tcPr>
                <w:p w14:paraId="500AC4E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2695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74442E26">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76AB4EFA">
                  <w:pPr>
                    <w:jc w:val="center"/>
                    <w:rPr>
                      <w:rFonts w:hint="default" w:ascii="Times New Roman" w:hAnsi="Times New Roman" w:eastAsia="宋体" w:cs="Times New Roman"/>
                      <w:color w:val="auto"/>
                      <w:szCs w:val="21"/>
                      <w:highlight w:val="yellow"/>
                    </w:rPr>
                  </w:pPr>
                </w:p>
              </w:tc>
              <w:tc>
                <w:tcPr>
                  <w:tcW w:w="472" w:type="pct"/>
                  <w:vMerge w:val="restart"/>
                  <w:vAlign w:val="center"/>
                </w:tcPr>
                <w:p w14:paraId="2501D1A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2.5</w:t>
                  </w:r>
                </w:p>
              </w:tc>
              <w:tc>
                <w:tcPr>
                  <w:tcW w:w="987" w:type="pct"/>
                  <w:vAlign w:val="center"/>
                </w:tcPr>
                <w:p w14:paraId="51D568E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年平均质量浓度</w:t>
                  </w:r>
                </w:p>
              </w:tc>
              <w:tc>
                <w:tcPr>
                  <w:tcW w:w="658" w:type="pct"/>
                  <w:vAlign w:val="center"/>
                </w:tcPr>
                <w:p w14:paraId="032679AE">
                  <w:pPr>
                    <w:jc w:val="center"/>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rPr>
                    <w:t>21</w:t>
                  </w:r>
                </w:p>
              </w:tc>
              <w:tc>
                <w:tcPr>
                  <w:tcW w:w="658" w:type="pct"/>
                  <w:vAlign w:val="center"/>
                </w:tcPr>
                <w:p w14:paraId="7616C32D">
                  <w:pPr>
                    <w:pStyle w:val="77"/>
                    <w:spacing w:before="24" w:after="24"/>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442" w:type="pct"/>
                  <w:vAlign w:val="center"/>
                </w:tcPr>
                <w:p w14:paraId="624A93A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428" w:type="pct"/>
                  <w:vAlign w:val="center"/>
                </w:tcPr>
                <w:p w14:paraId="62104E3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06D9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3FF2E09C">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639F9809">
                  <w:pPr>
                    <w:jc w:val="center"/>
                    <w:rPr>
                      <w:rFonts w:hint="default" w:ascii="Times New Roman" w:hAnsi="Times New Roman" w:eastAsia="宋体" w:cs="Times New Roman"/>
                      <w:color w:val="auto"/>
                      <w:szCs w:val="21"/>
                      <w:highlight w:val="yellow"/>
                    </w:rPr>
                  </w:pPr>
                </w:p>
              </w:tc>
              <w:tc>
                <w:tcPr>
                  <w:tcW w:w="472" w:type="pct"/>
                  <w:vMerge w:val="continue"/>
                  <w:vAlign w:val="center"/>
                </w:tcPr>
                <w:p w14:paraId="7C988987">
                  <w:pPr>
                    <w:jc w:val="center"/>
                    <w:rPr>
                      <w:rFonts w:hint="default" w:ascii="Times New Roman" w:hAnsi="Times New Roman" w:eastAsia="宋体" w:cs="Times New Roman"/>
                      <w:color w:val="auto"/>
                      <w:szCs w:val="21"/>
                    </w:rPr>
                  </w:pPr>
                </w:p>
              </w:tc>
              <w:tc>
                <w:tcPr>
                  <w:tcW w:w="987" w:type="pct"/>
                  <w:vAlign w:val="center"/>
                </w:tcPr>
                <w:p w14:paraId="02E0EE57">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24h平均第95百分位数</w:t>
                  </w:r>
                </w:p>
              </w:tc>
              <w:tc>
                <w:tcPr>
                  <w:tcW w:w="658" w:type="pct"/>
                  <w:vAlign w:val="center"/>
                </w:tcPr>
                <w:p w14:paraId="0A24417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w:t>
                  </w:r>
                </w:p>
              </w:tc>
              <w:tc>
                <w:tcPr>
                  <w:tcW w:w="658" w:type="pct"/>
                  <w:vAlign w:val="center"/>
                </w:tcPr>
                <w:p w14:paraId="2BF06579">
                  <w:pPr>
                    <w:pStyle w:val="77"/>
                    <w:spacing w:before="24" w:after="24"/>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75</w:t>
                  </w:r>
                </w:p>
              </w:tc>
              <w:tc>
                <w:tcPr>
                  <w:tcW w:w="442" w:type="pct"/>
                  <w:vAlign w:val="center"/>
                </w:tcPr>
                <w:p w14:paraId="4071AB5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w:t>
                  </w:r>
                </w:p>
              </w:tc>
              <w:tc>
                <w:tcPr>
                  <w:tcW w:w="428" w:type="pct"/>
                  <w:vAlign w:val="center"/>
                </w:tcPr>
                <w:p w14:paraId="63C7E64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65B5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623CDB01">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53AAB364">
                  <w:pPr>
                    <w:jc w:val="center"/>
                    <w:rPr>
                      <w:rFonts w:hint="default" w:ascii="Times New Roman" w:hAnsi="Times New Roman" w:eastAsia="宋体" w:cs="Times New Roman"/>
                      <w:color w:val="auto"/>
                      <w:szCs w:val="21"/>
                      <w:highlight w:val="yellow"/>
                    </w:rPr>
                  </w:pPr>
                </w:p>
              </w:tc>
              <w:tc>
                <w:tcPr>
                  <w:tcW w:w="472" w:type="pct"/>
                  <w:vAlign w:val="center"/>
                </w:tcPr>
                <w:p w14:paraId="56B0F11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987" w:type="pct"/>
                  <w:vAlign w:val="center"/>
                </w:tcPr>
                <w:p w14:paraId="5D1E29E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24h平均第95百分位数</w:t>
                  </w:r>
                </w:p>
              </w:tc>
              <w:tc>
                <w:tcPr>
                  <w:tcW w:w="658" w:type="pct"/>
                  <w:vAlign w:val="center"/>
                </w:tcPr>
                <w:p w14:paraId="6939F98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1400</w:t>
                  </w:r>
                </w:p>
              </w:tc>
              <w:tc>
                <w:tcPr>
                  <w:tcW w:w="658" w:type="pct"/>
                  <w:vAlign w:val="center"/>
                </w:tcPr>
                <w:p w14:paraId="70277B6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4000</w:t>
                  </w:r>
                </w:p>
              </w:tc>
              <w:tc>
                <w:tcPr>
                  <w:tcW w:w="442" w:type="pct"/>
                  <w:vAlign w:val="center"/>
                </w:tcPr>
                <w:p w14:paraId="35B4F3F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428" w:type="pct"/>
                  <w:vAlign w:val="center"/>
                </w:tcPr>
                <w:p w14:paraId="79FFCF0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3533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6FC2AE5E">
                  <w:pPr>
                    <w:jc w:val="center"/>
                    <w:rPr>
                      <w:rFonts w:hint="default" w:ascii="Times New Roman" w:hAnsi="Times New Roman" w:eastAsia="宋体" w:cs="Times New Roman"/>
                      <w:color w:val="auto"/>
                      <w:szCs w:val="21"/>
                      <w:highlight w:val="yellow"/>
                    </w:rPr>
                  </w:pPr>
                </w:p>
              </w:tc>
              <w:tc>
                <w:tcPr>
                  <w:tcW w:w="867" w:type="pct"/>
                  <w:vMerge w:val="continue"/>
                  <w:vAlign w:val="center"/>
                </w:tcPr>
                <w:p w14:paraId="1AA83AE5">
                  <w:pPr>
                    <w:jc w:val="center"/>
                    <w:rPr>
                      <w:rFonts w:hint="default" w:ascii="Times New Roman" w:hAnsi="Times New Roman" w:eastAsia="宋体" w:cs="Times New Roman"/>
                      <w:color w:val="auto"/>
                      <w:szCs w:val="21"/>
                      <w:highlight w:val="yellow"/>
                    </w:rPr>
                  </w:pPr>
                </w:p>
              </w:tc>
              <w:tc>
                <w:tcPr>
                  <w:tcW w:w="472" w:type="pct"/>
                  <w:vAlign w:val="center"/>
                </w:tcPr>
                <w:p w14:paraId="42E828A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3</w:t>
                  </w:r>
                </w:p>
              </w:tc>
              <w:tc>
                <w:tcPr>
                  <w:tcW w:w="987" w:type="pct"/>
                  <w:vAlign w:val="center"/>
                </w:tcPr>
                <w:p w14:paraId="5F6C50C1">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日最大8h平均第 90百分位数</w:t>
                  </w:r>
                </w:p>
              </w:tc>
              <w:tc>
                <w:tcPr>
                  <w:tcW w:w="658" w:type="pct"/>
                  <w:vAlign w:val="center"/>
                </w:tcPr>
                <w:p w14:paraId="5962DDE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91</w:t>
                  </w:r>
                </w:p>
              </w:tc>
              <w:tc>
                <w:tcPr>
                  <w:tcW w:w="658" w:type="pct"/>
                  <w:vAlign w:val="center"/>
                </w:tcPr>
                <w:p w14:paraId="40E7759B">
                  <w:pPr>
                    <w:pStyle w:val="78"/>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442" w:type="pct"/>
                  <w:vAlign w:val="center"/>
                </w:tcPr>
                <w:p w14:paraId="0A9785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56.88</w:t>
                  </w:r>
                </w:p>
              </w:tc>
              <w:tc>
                <w:tcPr>
                  <w:tcW w:w="428" w:type="pct"/>
                  <w:vAlign w:val="center"/>
                </w:tcPr>
                <w:p w14:paraId="71F73ED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bl>
          <w:p w14:paraId="0D2AEC0E">
            <w:pPr>
              <w:pStyle w:val="60"/>
              <w:ind w:firstLine="436"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lang w:val="en-US"/>
              </w:rPr>
              <w:t>根据上表统计，项目所在区域PM</w:t>
            </w:r>
            <w:r>
              <w:rPr>
                <w:rFonts w:hint="default" w:ascii="Times New Roman" w:hAnsi="Times New Roman" w:eastAsia="宋体" w:cs="Times New Roman"/>
                <w:color w:val="auto"/>
                <w:szCs w:val="21"/>
                <w:vertAlign w:val="subscript"/>
                <w:lang w:val="en-US"/>
              </w:rPr>
              <w:t>10</w:t>
            </w:r>
            <w:r>
              <w:rPr>
                <w:rFonts w:hint="default" w:ascii="Times New Roman" w:hAnsi="Times New Roman" w:eastAsia="宋体" w:cs="Times New Roman"/>
                <w:color w:val="auto"/>
                <w:szCs w:val="21"/>
                <w:lang w:val="en-US"/>
              </w:rPr>
              <w:t>、PM</w:t>
            </w:r>
            <w:r>
              <w:rPr>
                <w:rFonts w:hint="default" w:ascii="Times New Roman" w:hAnsi="Times New Roman" w:eastAsia="宋体" w:cs="Times New Roman"/>
                <w:color w:val="auto"/>
                <w:szCs w:val="21"/>
                <w:vertAlign w:val="subscript"/>
                <w:lang w:val="en-US"/>
              </w:rPr>
              <w:t>2.5</w:t>
            </w:r>
            <w:r>
              <w:rPr>
                <w:rFonts w:hint="default" w:ascii="Times New Roman" w:hAnsi="Times New Roman" w:eastAsia="宋体" w:cs="Times New Roman"/>
                <w:color w:val="auto"/>
                <w:szCs w:val="21"/>
                <w:lang w:val="en-US"/>
              </w:rPr>
              <w:t>、SO</w:t>
            </w:r>
            <w:r>
              <w:rPr>
                <w:rFonts w:hint="default" w:ascii="Times New Roman" w:hAnsi="Times New Roman" w:eastAsia="宋体" w:cs="Times New Roman"/>
                <w:color w:val="auto"/>
                <w:szCs w:val="21"/>
                <w:vertAlign w:val="subscript"/>
                <w:lang w:val="en-US"/>
              </w:rPr>
              <w:t>2</w:t>
            </w:r>
            <w:r>
              <w:rPr>
                <w:rFonts w:hint="default" w:ascii="Times New Roman" w:hAnsi="Times New Roman" w:eastAsia="宋体" w:cs="Times New Roman"/>
                <w:color w:val="auto"/>
                <w:szCs w:val="21"/>
                <w:lang w:val="en-US"/>
              </w:rPr>
              <w:t>、NO</w:t>
            </w:r>
            <w:r>
              <w:rPr>
                <w:rFonts w:hint="default" w:ascii="Times New Roman" w:hAnsi="Times New Roman" w:eastAsia="宋体" w:cs="Times New Roman"/>
                <w:color w:val="auto"/>
                <w:szCs w:val="21"/>
                <w:vertAlign w:val="subscript"/>
                <w:lang w:val="en-US"/>
              </w:rPr>
              <w:t>2</w:t>
            </w:r>
            <w:r>
              <w:rPr>
                <w:rFonts w:hint="default" w:ascii="Times New Roman" w:hAnsi="Times New Roman" w:eastAsia="宋体" w:cs="Times New Roman"/>
                <w:color w:val="auto"/>
                <w:szCs w:val="21"/>
                <w:lang w:val="en-US"/>
              </w:rPr>
              <w:t>、CO、O</w:t>
            </w:r>
            <w:r>
              <w:rPr>
                <w:rFonts w:hint="default" w:ascii="Times New Roman" w:hAnsi="Times New Roman" w:eastAsia="宋体" w:cs="Times New Roman"/>
                <w:color w:val="auto"/>
                <w:szCs w:val="21"/>
                <w:vertAlign w:val="subscript"/>
                <w:lang w:val="en-US"/>
              </w:rPr>
              <w:t>3</w:t>
            </w:r>
            <w:r>
              <w:rPr>
                <w:rFonts w:hint="default" w:ascii="Times New Roman" w:hAnsi="Times New Roman" w:eastAsia="宋体" w:cs="Times New Roman"/>
                <w:color w:val="auto"/>
                <w:szCs w:val="21"/>
                <w:lang w:val="en-US"/>
              </w:rPr>
              <w:t>六项污染物年平均浓度符合《环境空气质量标准》（GB3095-2012）及2018年修改清单二级标准要求，区域环境空气质量达标。因此，项目区为达标区。</w:t>
            </w:r>
          </w:p>
          <w:p w14:paraId="5E360073">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3.2 地表水环境质量</w:t>
            </w:r>
          </w:p>
          <w:p w14:paraId="58BC1A69">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（1）地表水环境质量标准</w:t>
            </w:r>
          </w:p>
          <w:p w14:paraId="434E17CB">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根据调查，本项目地表径流受纳水体为</w:t>
            </w:r>
            <w:r>
              <w:rPr>
                <w:rFonts w:hint="default" w:ascii="Times New Roman" w:hAnsi="Times New Roman" w:eastAsia="宋体" w:cs="Times New Roman"/>
                <w:color w:val="auto"/>
                <w:lang w:val="en-US" w:eastAsia="zh-CN"/>
              </w:rPr>
              <w:t>八里大沟</w:t>
            </w:r>
            <w:r>
              <w:rPr>
                <w:rFonts w:hint="default" w:ascii="Times New Roman" w:hAnsi="Times New Roman" w:eastAsia="宋体" w:cs="Times New Roman"/>
                <w:color w:val="auto"/>
              </w:rPr>
              <w:t>（位于项目</w:t>
            </w:r>
            <w:r>
              <w:rPr>
                <w:rFonts w:hint="default" w:ascii="Times New Roman" w:hAnsi="Times New Roman" w:eastAsia="宋体" w:cs="Times New Roman"/>
                <w:color w:val="auto"/>
                <w:lang w:val="en-US" w:eastAsia="zh-CN"/>
              </w:rPr>
              <w:t>西北</w:t>
            </w:r>
            <w:r>
              <w:rPr>
                <w:rFonts w:hint="default" w:ascii="Times New Roman" w:hAnsi="Times New Roman" w:eastAsia="宋体" w:cs="Times New Roman"/>
                <w:color w:val="auto"/>
              </w:rPr>
              <w:t>面</w:t>
            </w:r>
            <w:r>
              <w:rPr>
                <w:rFonts w:hint="default" w:ascii="Times New Roman" w:hAnsi="Times New Roman" w:eastAsia="宋体" w:cs="Times New Roman"/>
                <w:color w:val="auto"/>
                <w:lang w:val="en-US" w:eastAsia="zh-CN"/>
              </w:rPr>
              <w:t>196</w:t>
            </w:r>
            <w:r>
              <w:rPr>
                <w:rFonts w:hint="default" w:ascii="Times New Roman" w:hAnsi="Times New Roman" w:eastAsia="宋体" w:cs="Times New Roman"/>
                <w:color w:val="auto"/>
              </w:rPr>
              <w:t>m处）</w:t>
            </w:r>
            <w:r>
              <w:rPr>
                <w:rFonts w:hint="default" w:ascii="Times New Roman" w:hAnsi="Times New Roman" w:eastAsia="宋体" w:cs="Times New Roman"/>
                <w:color w:val="auto"/>
                <w:lang w:val="en-US" w:eastAsia="zh-CN"/>
              </w:rPr>
              <w:t>，汇入</w:t>
            </w:r>
            <w:r>
              <w:rPr>
                <w:rFonts w:hint="default" w:ascii="Times New Roman" w:hAnsi="Times New Roman" w:eastAsia="宋体" w:cs="Times New Roman"/>
                <w:color w:val="auto"/>
              </w:rPr>
              <w:t>新西河，最终受纳水体为玉溪大河。根据《云南省水功能区划》（云南省水利厅2014年修订版），规划区内“曲江红塔景观、农业用水区”，2030年水质考核目标为Ⅲ类；同时参考《玉溪市水功能区划》（玉溪市水利局，2014年版），西河、新西河、老西河执行《地表水环境质量标准》（GB3838-2002）Ⅴ类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因此本项目东侧八里大沟执行</w:t>
            </w:r>
            <w:r>
              <w:rPr>
                <w:rFonts w:hint="default" w:ascii="Times New Roman" w:hAnsi="Times New Roman" w:eastAsia="宋体" w:cs="Times New Roman"/>
                <w:color w:val="auto"/>
              </w:rPr>
              <w:t>《地表水环境质量标准》（GB3838-2002）Ⅴ类标准；玉溪大河“东风水库坝址-红塔区汇溪闸”，水环境功能为景观用水、农灌用水，水质目标为Ⅲ类。标准限值如下所示。</w:t>
            </w:r>
          </w:p>
          <w:p w14:paraId="25F3A4EF">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表3-5  地表水环境质量Ⅲ类标准限值  单位：mg/L（pH无量纲）</w:t>
            </w:r>
          </w:p>
          <w:tbl>
            <w:tblPr>
              <w:tblStyle w:val="2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199"/>
              <w:gridCol w:w="1038"/>
              <w:gridCol w:w="2092"/>
              <w:gridCol w:w="1253"/>
              <w:gridCol w:w="1220"/>
            </w:tblGrid>
            <w:tr w14:paraId="7807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0F0B24A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3" w:type="pct"/>
                  <w:vAlign w:val="center"/>
                </w:tcPr>
                <w:p w14:paraId="398A5E4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609" w:type="pct"/>
                  <w:vAlign w:val="center"/>
                </w:tcPr>
                <w:p w14:paraId="0C50BA4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溶解氧</w:t>
                  </w:r>
                </w:p>
              </w:tc>
              <w:tc>
                <w:tcPr>
                  <w:tcW w:w="1226" w:type="pct"/>
                  <w:vAlign w:val="center"/>
                </w:tcPr>
                <w:p w14:paraId="10078E9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高锰酸盐指数</w:t>
                  </w:r>
                </w:p>
              </w:tc>
              <w:tc>
                <w:tcPr>
                  <w:tcW w:w="735" w:type="pct"/>
                  <w:vAlign w:val="center"/>
                </w:tcPr>
                <w:p w14:paraId="0CF4F07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COD</w:t>
                  </w:r>
                </w:p>
              </w:tc>
              <w:tc>
                <w:tcPr>
                  <w:tcW w:w="716" w:type="pct"/>
                  <w:vAlign w:val="center"/>
                </w:tcPr>
                <w:p w14:paraId="2BB91FD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r>
            <w:tr w14:paraId="67BC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5EF3630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Ⅲ类水质标准</w:t>
                  </w:r>
                </w:p>
              </w:tc>
              <w:tc>
                <w:tcPr>
                  <w:tcW w:w="703" w:type="pct"/>
                  <w:vAlign w:val="center"/>
                </w:tcPr>
                <w:p w14:paraId="3A2B219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609" w:type="pct"/>
                  <w:vAlign w:val="center"/>
                </w:tcPr>
                <w:p w14:paraId="23B39497">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226" w:type="pct"/>
                  <w:vAlign w:val="center"/>
                </w:tcPr>
                <w:p w14:paraId="3B58215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735" w:type="pct"/>
                  <w:vAlign w:val="center"/>
                </w:tcPr>
                <w:p w14:paraId="3F03370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716" w:type="pct"/>
                  <w:vAlign w:val="center"/>
                </w:tcPr>
                <w:p w14:paraId="79630B7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r>
            <w:tr w14:paraId="6867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4D8F535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Ⅴ类水质标准</w:t>
                  </w:r>
                </w:p>
              </w:tc>
              <w:tc>
                <w:tcPr>
                  <w:tcW w:w="703" w:type="pct"/>
                  <w:vAlign w:val="center"/>
                </w:tcPr>
                <w:p w14:paraId="0E7E447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609" w:type="pct"/>
                  <w:vAlign w:val="center"/>
                </w:tcPr>
                <w:p w14:paraId="1D158B1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226" w:type="pct"/>
                  <w:vAlign w:val="center"/>
                </w:tcPr>
                <w:p w14:paraId="5E85762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735" w:type="pct"/>
                  <w:vAlign w:val="center"/>
                </w:tcPr>
                <w:p w14:paraId="4112819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716" w:type="pct"/>
                  <w:vAlign w:val="center"/>
                </w:tcPr>
                <w:p w14:paraId="7E03873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36CD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6C7574C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3" w:type="pct"/>
                  <w:vAlign w:val="center"/>
                </w:tcPr>
                <w:p w14:paraId="710E075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609" w:type="pct"/>
                  <w:vAlign w:val="center"/>
                </w:tcPr>
                <w:p w14:paraId="423CFAB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TP</w:t>
                  </w:r>
                </w:p>
              </w:tc>
              <w:tc>
                <w:tcPr>
                  <w:tcW w:w="1226" w:type="pct"/>
                  <w:vAlign w:val="center"/>
                </w:tcPr>
                <w:p w14:paraId="386AEB1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总氮</w:t>
                  </w:r>
                </w:p>
              </w:tc>
              <w:tc>
                <w:tcPr>
                  <w:tcW w:w="735" w:type="pct"/>
                  <w:vAlign w:val="center"/>
                </w:tcPr>
                <w:p w14:paraId="78C8A19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铜</w:t>
                  </w:r>
                </w:p>
              </w:tc>
              <w:tc>
                <w:tcPr>
                  <w:tcW w:w="716" w:type="pct"/>
                  <w:vAlign w:val="center"/>
                </w:tcPr>
                <w:p w14:paraId="43EB594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锌</w:t>
                  </w:r>
                </w:p>
              </w:tc>
            </w:tr>
            <w:tr w14:paraId="053F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0652E4A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Ⅲ类水质标准</w:t>
                  </w:r>
                </w:p>
              </w:tc>
              <w:tc>
                <w:tcPr>
                  <w:tcW w:w="703" w:type="pct"/>
                  <w:vAlign w:val="center"/>
                </w:tcPr>
                <w:p w14:paraId="351A3F5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609" w:type="pct"/>
                  <w:vAlign w:val="center"/>
                </w:tcPr>
                <w:p w14:paraId="4AFBFB2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≤0.2</w:t>
                  </w:r>
                </w:p>
              </w:tc>
              <w:tc>
                <w:tcPr>
                  <w:tcW w:w="1226" w:type="pct"/>
                  <w:vAlign w:val="center"/>
                </w:tcPr>
                <w:p w14:paraId="3FDF53F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735" w:type="pct"/>
                  <w:vAlign w:val="center"/>
                </w:tcPr>
                <w:p w14:paraId="75A4550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716" w:type="pct"/>
                  <w:vAlign w:val="center"/>
                </w:tcPr>
                <w:p w14:paraId="3C5E35B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5D32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7ADF373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Ⅴ类水质标准</w:t>
                  </w:r>
                </w:p>
              </w:tc>
              <w:tc>
                <w:tcPr>
                  <w:tcW w:w="703" w:type="pct"/>
                  <w:vAlign w:val="center"/>
                </w:tcPr>
                <w:p w14:paraId="6057103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609" w:type="pct"/>
                  <w:vAlign w:val="center"/>
                </w:tcPr>
                <w:p w14:paraId="07165EA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≤0.4</w:t>
                  </w:r>
                </w:p>
              </w:tc>
              <w:tc>
                <w:tcPr>
                  <w:tcW w:w="1226" w:type="pct"/>
                  <w:vAlign w:val="center"/>
                </w:tcPr>
                <w:p w14:paraId="003A27D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735" w:type="pct"/>
                  <w:vAlign w:val="center"/>
                </w:tcPr>
                <w:p w14:paraId="5217A15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716" w:type="pct"/>
                  <w:vAlign w:val="center"/>
                </w:tcPr>
                <w:p w14:paraId="6F95B44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r>
            <w:tr w14:paraId="3EE5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7150334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3" w:type="pct"/>
                  <w:vAlign w:val="center"/>
                </w:tcPr>
                <w:p w14:paraId="2CCC0B9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氟化物</w:t>
                  </w:r>
                </w:p>
              </w:tc>
              <w:tc>
                <w:tcPr>
                  <w:tcW w:w="609" w:type="pct"/>
                  <w:vAlign w:val="center"/>
                </w:tcPr>
                <w:p w14:paraId="2AE5E07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硒</w:t>
                  </w:r>
                </w:p>
              </w:tc>
              <w:tc>
                <w:tcPr>
                  <w:tcW w:w="1226" w:type="pct"/>
                  <w:vAlign w:val="center"/>
                </w:tcPr>
                <w:p w14:paraId="4FE241E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砷</w:t>
                  </w:r>
                </w:p>
              </w:tc>
              <w:tc>
                <w:tcPr>
                  <w:tcW w:w="735" w:type="pct"/>
                  <w:vAlign w:val="center"/>
                </w:tcPr>
                <w:p w14:paraId="3607059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汞</w:t>
                  </w:r>
                </w:p>
              </w:tc>
              <w:tc>
                <w:tcPr>
                  <w:tcW w:w="716" w:type="pct"/>
                  <w:vAlign w:val="center"/>
                </w:tcPr>
                <w:p w14:paraId="466F824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镉</w:t>
                  </w:r>
                </w:p>
              </w:tc>
            </w:tr>
            <w:tr w14:paraId="2053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0636EA6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Ⅲ类水质标准</w:t>
                  </w:r>
                </w:p>
              </w:tc>
              <w:tc>
                <w:tcPr>
                  <w:tcW w:w="703" w:type="pct"/>
                  <w:vAlign w:val="center"/>
                </w:tcPr>
                <w:p w14:paraId="03CC5E8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609" w:type="pct"/>
                  <w:vAlign w:val="center"/>
                </w:tcPr>
                <w:p w14:paraId="5253D98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≤0.01</w:t>
                  </w:r>
                </w:p>
              </w:tc>
              <w:tc>
                <w:tcPr>
                  <w:tcW w:w="1226" w:type="pct"/>
                  <w:vAlign w:val="center"/>
                </w:tcPr>
                <w:p w14:paraId="75CC0FF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c>
                <w:tcPr>
                  <w:tcW w:w="735" w:type="pct"/>
                  <w:vAlign w:val="center"/>
                </w:tcPr>
                <w:p w14:paraId="308E4CD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≤0.0001</w:t>
                  </w:r>
                </w:p>
              </w:tc>
              <w:tc>
                <w:tcPr>
                  <w:tcW w:w="716" w:type="pct"/>
                  <w:vAlign w:val="center"/>
                </w:tcPr>
                <w:p w14:paraId="5E272F6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≤0.005</w:t>
                  </w:r>
                </w:p>
              </w:tc>
            </w:tr>
            <w:tr w14:paraId="01537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2D778CF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Ⅴ类水质标准</w:t>
                  </w:r>
                </w:p>
              </w:tc>
              <w:tc>
                <w:tcPr>
                  <w:tcW w:w="703" w:type="pct"/>
                  <w:vAlign w:val="center"/>
                </w:tcPr>
                <w:p w14:paraId="5E670FB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609" w:type="pct"/>
                  <w:vAlign w:val="center"/>
                </w:tcPr>
                <w:p w14:paraId="32D26CE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≤0.02</w:t>
                  </w:r>
                </w:p>
              </w:tc>
              <w:tc>
                <w:tcPr>
                  <w:tcW w:w="1226" w:type="pct"/>
                  <w:vAlign w:val="center"/>
                </w:tcPr>
                <w:p w14:paraId="4DA8545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c>
                <w:tcPr>
                  <w:tcW w:w="735" w:type="pct"/>
                  <w:vAlign w:val="center"/>
                </w:tcPr>
                <w:p w14:paraId="4DB9AFC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≤0.001</w:t>
                  </w:r>
                </w:p>
              </w:tc>
              <w:tc>
                <w:tcPr>
                  <w:tcW w:w="716" w:type="pct"/>
                  <w:vAlign w:val="center"/>
                </w:tcPr>
                <w:p w14:paraId="67995B6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≤0.01</w:t>
                  </w:r>
                </w:p>
              </w:tc>
            </w:tr>
            <w:tr w14:paraId="57B5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7AD3295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3" w:type="pct"/>
                  <w:vAlign w:val="center"/>
                </w:tcPr>
                <w:p w14:paraId="11E623B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六价铬</w:t>
                  </w:r>
                </w:p>
              </w:tc>
              <w:tc>
                <w:tcPr>
                  <w:tcW w:w="609" w:type="pct"/>
                  <w:vAlign w:val="center"/>
                </w:tcPr>
                <w:p w14:paraId="44F4BD2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铅</w:t>
                  </w:r>
                </w:p>
              </w:tc>
              <w:tc>
                <w:tcPr>
                  <w:tcW w:w="1226" w:type="pct"/>
                  <w:vAlign w:val="center"/>
                </w:tcPr>
                <w:p w14:paraId="7C0A732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氰化物</w:t>
                  </w:r>
                </w:p>
              </w:tc>
              <w:tc>
                <w:tcPr>
                  <w:tcW w:w="735" w:type="pct"/>
                  <w:vAlign w:val="center"/>
                </w:tcPr>
                <w:p w14:paraId="37F0E9D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挥发酚</w:t>
                  </w:r>
                </w:p>
              </w:tc>
              <w:tc>
                <w:tcPr>
                  <w:tcW w:w="716" w:type="pct"/>
                  <w:vAlign w:val="center"/>
                </w:tcPr>
                <w:p w14:paraId="304810B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石油类</w:t>
                  </w:r>
                </w:p>
              </w:tc>
            </w:tr>
            <w:tr w14:paraId="222C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764563E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Ⅲ类水质标准</w:t>
                  </w:r>
                </w:p>
              </w:tc>
              <w:tc>
                <w:tcPr>
                  <w:tcW w:w="703" w:type="pct"/>
                  <w:vAlign w:val="center"/>
                </w:tcPr>
                <w:p w14:paraId="5F16313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c>
                <w:tcPr>
                  <w:tcW w:w="609" w:type="pct"/>
                  <w:vAlign w:val="center"/>
                </w:tcPr>
                <w:p w14:paraId="716BE47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c>
                <w:tcPr>
                  <w:tcW w:w="1226" w:type="pct"/>
                  <w:vAlign w:val="center"/>
                </w:tcPr>
                <w:p w14:paraId="5328E4B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≤0.02</w:t>
                  </w:r>
                </w:p>
              </w:tc>
              <w:tc>
                <w:tcPr>
                  <w:tcW w:w="735" w:type="pct"/>
                  <w:vAlign w:val="center"/>
                </w:tcPr>
                <w:p w14:paraId="62DA92D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≤0.005</w:t>
                  </w:r>
                </w:p>
              </w:tc>
              <w:tc>
                <w:tcPr>
                  <w:tcW w:w="716" w:type="pct"/>
                  <w:vAlign w:val="center"/>
                </w:tcPr>
                <w:p w14:paraId="76407747">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r w14:paraId="6681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2FA460A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Ⅴ类水质标准</w:t>
                  </w:r>
                </w:p>
              </w:tc>
              <w:tc>
                <w:tcPr>
                  <w:tcW w:w="703" w:type="pct"/>
                  <w:vAlign w:val="center"/>
                </w:tcPr>
                <w:p w14:paraId="501D9E5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c>
                <w:tcPr>
                  <w:tcW w:w="609" w:type="pct"/>
                  <w:vAlign w:val="center"/>
                </w:tcPr>
                <w:p w14:paraId="1B516DF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c>
                <w:tcPr>
                  <w:tcW w:w="1226" w:type="pct"/>
                  <w:vAlign w:val="center"/>
                </w:tcPr>
                <w:p w14:paraId="1DF4733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≤0.2</w:t>
                  </w:r>
                </w:p>
              </w:tc>
              <w:tc>
                <w:tcPr>
                  <w:tcW w:w="735" w:type="pct"/>
                  <w:vAlign w:val="center"/>
                </w:tcPr>
                <w:p w14:paraId="45F4368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≤0.1</w:t>
                  </w:r>
                </w:p>
              </w:tc>
              <w:tc>
                <w:tcPr>
                  <w:tcW w:w="716" w:type="pct"/>
                  <w:vAlign w:val="center"/>
                </w:tcPr>
                <w:p w14:paraId="44DCD26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2F05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1197FE4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3" w:type="pct"/>
                  <w:vAlign w:val="center"/>
                </w:tcPr>
                <w:p w14:paraId="0F032F6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阴离子表面活性剂</w:t>
                  </w:r>
                </w:p>
              </w:tc>
              <w:tc>
                <w:tcPr>
                  <w:tcW w:w="609" w:type="pct"/>
                  <w:vAlign w:val="center"/>
                </w:tcPr>
                <w:p w14:paraId="083D758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硫化物</w:t>
                  </w:r>
                </w:p>
              </w:tc>
              <w:tc>
                <w:tcPr>
                  <w:tcW w:w="1226" w:type="pct"/>
                  <w:vAlign w:val="center"/>
                </w:tcPr>
                <w:p w14:paraId="38D38FD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粪大肠菌群（个/L）</w:t>
                  </w:r>
                </w:p>
              </w:tc>
              <w:tc>
                <w:tcPr>
                  <w:tcW w:w="1451" w:type="pct"/>
                  <w:gridSpan w:val="2"/>
                  <w:vMerge w:val="restart"/>
                  <w:vAlign w:val="center"/>
                </w:tcPr>
                <w:p w14:paraId="2742215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29A3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008" w:type="pct"/>
                  <w:vAlign w:val="center"/>
                </w:tcPr>
                <w:p w14:paraId="131DDD7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Ⅲ类水质标准</w:t>
                  </w:r>
                </w:p>
              </w:tc>
              <w:tc>
                <w:tcPr>
                  <w:tcW w:w="703" w:type="pct"/>
                  <w:vAlign w:val="center"/>
                </w:tcPr>
                <w:p w14:paraId="7BC5212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≤0.2</w:t>
                  </w:r>
                </w:p>
              </w:tc>
              <w:tc>
                <w:tcPr>
                  <w:tcW w:w="609" w:type="pct"/>
                  <w:vAlign w:val="center"/>
                </w:tcPr>
                <w:p w14:paraId="54968F1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≤0.2</w:t>
                  </w:r>
                </w:p>
              </w:tc>
              <w:tc>
                <w:tcPr>
                  <w:tcW w:w="1226" w:type="pct"/>
                  <w:vAlign w:val="center"/>
                </w:tcPr>
                <w:p w14:paraId="2EFD4EB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10000</w:t>
                  </w:r>
                </w:p>
              </w:tc>
              <w:tc>
                <w:tcPr>
                  <w:tcW w:w="1451" w:type="pct"/>
                  <w:gridSpan w:val="2"/>
                  <w:vMerge w:val="continue"/>
                  <w:vAlign w:val="center"/>
                </w:tcPr>
                <w:p w14:paraId="46C25E29">
                  <w:pPr>
                    <w:pStyle w:val="32"/>
                    <w:snapToGrid w:val="0"/>
                    <w:spacing w:before="72" w:beforeLines="30" w:after="72" w:afterLines="30"/>
                    <w:rPr>
                      <w:rFonts w:hint="default" w:ascii="Times New Roman" w:hAnsi="Times New Roman" w:eastAsia="宋体" w:cs="Times New Roman"/>
                      <w:color w:val="auto"/>
                    </w:rPr>
                  </w:pPr>
                </w:p>
              </w:tc>
            </w:tr>
            <w:tr w14:paraId="2B0A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8" w:type="pct"/>
                  <w:vAlign w:val="center"/>
                </w:tcPr>
                <w:p w14:paraId="70FEE66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Ⅴ类水质标准</w:t>
                  </w:r>
                </w:p>
              </w:tc>
              <w:tc>
                <w:tcPr>
                  <w:tcW w:w="703" w:type="pct"/>
                  <w:vAlign w:val="center"/>
                </w:tcPr>
                <w:p w14:paraId="7DD9D5C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≤0.3</w:t>
                  </w:r>
                </w:p>
              </w:tc>
              <w:tc>
                <w:tcPr>
                  <w:tcW w:w="609" w:type="pct"/>
                  <w:vAlign w:val="center"/>
                </w:tcPr>
                <w:p w14:paraId="28EA535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226" w:type="pct"/>
                  <w:vAlign w:val="center"/>
                </w:tcPr>
                <w:p w14:paraId="408AE3D4">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40000</w:t>
                  </w:r>
                </w:p>
              </w:tc>
              <w:tc>
                <w:tcPr>
                  <w:tcW w:w="1451" w:type="pct"/>
                  <w:gridSpan w:val="2"/>
                  <w:vMerge w:val="continue"/>
                  <w:vAlign w:val="center"/>
                </w:tcPr>
                <w:p w14:paraId="2B530599">
                  <w:pPr>
                    <w:pStyle w:val="32"/>
                    <w:snapToGrid w:val="0"/>
                    <w:spacing w:before="72" w:beforeLines="30" w:after="72" w:afterLines="30"/>
                    <w:rPr>
                      <w:rFonts w:hint="default" w:ascii="Times New Roman" w:hAnsi="Times New Roman" w:eastAsia="宋体" w:cs="Times New Roman"/>
                      <w:color w:val="auto"/>
                    </w:rPr>
                  </w:pPr>
                </w:p>
              </w:tc>
            </w:tr>
          </w:tbl>
          <w:p w14:paraId="3983FD6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（2）玉溪大河水环境质量现状</w:t>
            </w:r>
          </w:p>
          <w:p w14:paraId="6547DC19">
            <w:pPr>
              <w:pStyle w:val="31"/>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rPr>
            </w:pPr>
            <w:r>
              <w:rPr>
                <w:rFonts w:hint="default" w:ascii="Times New Roman" w:hAnsi="Times New Roman" w:eastAsia="宋体" w:cs="Times New Roman"/>
                <w:color w:val="auto"/>
                <w:sz w:val="21"/>
                <w:szCs w:val="21"/>
                <w:lang w:val="en-US" w:eastAsia="zh-CN"/>
              </w:rPr>
              <w:t>本次引用了云南省生态环境厅驻玉溪市生态环境监测站于</w:t>
            </w:r>
            <w:r>
              <w:rPr>
                <w:rFonts w:hint="default" w:ascii="Times New Roman" w:hAnsi="Times New Roman" w:eastAsia="宋体" w:cs="Times New Roman"/>
                <w:color w:val="auto"/>
                <w:sz w:val="21"/>
                <w:szCs w:val="21"/>
                <w:highlight w:val="none"/>
                <w:lang w:val="en-US" w:eastAsia="zh-CN"/>
              </w:rPr>
              <w:t>2024年1月~12月对</w:t>
            </w:r>
            <w:r>
              <w:rPr>
                <w:rFonts w:hint="default" w:ascii="Times New Roman" w:hAnsi="Times New Roman" w:eastAsia="宋体" w:cs="Times New Roman"/>
                <w:color w:val="auto"/>
                <w:kern w:val="0"/>
                <w:sz w:val="21"/>
                <w:szCs w:val="21"/>
                <w:lang w:bidi="ar"/>
              </w:rPr>
              <w:t>项目径流区下游</w:t>
            </w:r>
            <w:r>
              <w:rPr>
                <w:rFonts w:hint="default" w:ascii="Times New Roman" w:hAnsi="Times New Roman" w:eastAsia="宋体" w:cs="Times New Roman"/>
                <w:color w:val="auto"/>
                <w:sz w:val="21"/>
                <w:szCs w:val="21"/>
                <w:highlight w:val="none"/>
                <w:lang w:eastAsia="zh-CN"/>
              </w:rPr>
              <w:t>玉溪大河矣读可（</w:t>
            </w:r>
            <w:r>
              <w:rPr>
                <w:rFonts w:hint="default" w:ascii="Times New Roman" w:hAnsi="Times New Roman" w:eastAsia="宋体" w:cs="Times New Roman"/>
                <w:color w:val="auto"/>
                <w:sz w:val="21"/>
                <w:szCs w:val="21"/>
                <w:lang w:val="en-US" w:eastAsia="zh-CN"/>
              </w:rPr>
              <w:t>省控断面，距离本项目西南侧24.6km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进行的例行</w:t>
            </w:r>
            <w:r>
              <w:rPr>
                <w:rFonts w:hint="default" w:ascii="Times New Roman" w:hAnsi="Times New Roman" w:eastAsia="宋体" w:cs="Times New Roman"/>
                <w:color w:val="auto"/>
                <w:sz w:val="21"/>
                <w:szCs w:val="21"/>
                <w:highlight w:val="none"/>
                <w:lang w:eastAsia="zh-CN"/>
              </w:rPr>
              <w:t>监测数据，</w:t>
            </w:r>
            <w:r>
              <w:rPr>
                <w:rFonts w:hint="default" w:ascii="Times New Roman" w:hAnsi="Times New Roman" w:eastAsia="宋体" w:cs="Times New Roman"/>
                <w:color w:val="auto"/>
                <w:kern w:val="2"/>
                <w:sz w:val="21"/>
                <w:szCs w:val="21"/>
                <w:lang w:val="en-US" w:eastAsia="zh-CN" w:bidi="ar-SA"/>
              </w:rPr>
              <w:t>玉溪大河水质指标均能达到Ⅲ类要求。根据《环境保护部办公厅关于印发〈地表水环境质量评价办法（试行）〉的通知》（环办〔2011〕22号），地表水水质评价指标为《地表水环境质量标准》（GB3838-2002）表1中除水温、总氮、粪大肠菌群以外的21项指标，水温、总氮、粪大肠菌群作为参考指标单独评价（河流总氮除外）。因此玉溪大河水质能够满足水功能区划（Ⅲ类）要求。</w:t>
            </w:r>
            <w:r>
              <w:rPr>
                <w:rFonts w:hint="default" w:ascii="Times New Roman" w:hAnsi="Times New Roman" w:eastAsia="宋体" w:cs="Times New Roman"/>
                <w:bCs/>
                <w:color w:val="auto"/>
                <w:sz w:val="21"/>
                <w:szCs w:val="21"/>
              </w:rPr>
              <w:t>水质</w:t>
            </w:r>
            <w:r>
              <w:rPr>
                <w:rFonts w:hint="default" w:ascii="Times New Roman" w:hAnsi="Times New Roman" w:eastAsia="宋体" w:cs="Times New Roman"/>
                <w:bCs/>
                <w:color w:val="auto"/>
                <w:sz w:val="21"/>
                <w:szCs w:val="21"/>
                <w:lang w:val="en-US" w:eastAsia="zh-CN"/>
              </w:rPr>
              <w:t>总氮</w:t>
            </w:r>
            <w:r>
              <w:rPr>
                <w:rFonts w:hint="default" w:ascii="Times New Roman" w:hAnsi="Times New Roman" w:eastAsia="宋体" w:cs="Times New Roman"/>
                <w:bCs/>
                <w:color w:val="auto"/>
                <w:sz w:val="21"/>
                <w:szCs w:val="21"/>
              </w:rPr>
              <w:t>超标原因主要为周围农业面源污染，玉溪市污水处理厂尾水进入玉溪大河，周围生活源污染</w:t>
            </w:r>
            <w:r>
              <w:rPr>
                <w:rFonts w:hint="default" w:ascii="Times New Roman" w:hAnsi="Times New Roman" w:eastAsia="宋体" w:cs="Times New Roman"/>
                <w:bCs/>
                <w:color w:val="auto"/>
              </w:rPr>
              <w:t>。</w:t>
            </w:r>
          </w:p>
          <w:p w14:paraId="10D3A1B2">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3.3 声环境质量</w:t>
            </w:r>
          </w:p>
          <w:p w14:paraId="21EEF1BF">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本项目区域主要为工业、居住混杂区，按《声环境功能区划分技术规范》（GB/T15190），本项目区域声环境质量执行《声环境质量标准》（GB3096-2008）2类标准</w:t>
            </w:r>
            <w:r>
              <w:rPr>
                <w:rFonts w:hint="default" w:ascii="Times New Roman" w:hAnsi="Times New Roman" w:eastAsia="宋体" w:cs="Times New Roman"/>
                <w:color w:val="auto"/>
                <w:szCs w:val="21"/>
              </w:rPr>
              <w:t>。周围企业较多，项目拟选厂址厂界50m范围内，声环境质量一般。</w:t>
            </w:r>
          </w:p>
          <w:p w14:paraId="66BCFC2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3.4 生态环境质量</w:t>
            </w:r>
          </w:p>
          <w:p w14:paraId="7B23821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eastAsia="zh-CN"/>
              </w:rPr>
              <w:t>云南省玉溪春和街道孙井社区太极山</w:t>
            </w:r>
            <w:r>
              <w:rPr>
                <w:rFonts w:hint="default" w:ascii="Times New Roman" w:hAnsi="Times New Roman" w:eastAsia="宋体" w:cs="Times New Roman"/>
                <w:color w:val="auto"/>
              </w:rPr>
              <w:t>，本项目利用租赁的</w:t>
            </w:r>
            <w:r>
              <w:rPr>
                <w:rFonts w:hint="default" w:ascii="Times New Roman" w:hAnsi="Times New Roman" w:eastAsia="宋体" w:cs="Times New Roman"/>
                <w:color w:val="auto"/>
                <w:lang w:eastAsia="zh-CN"/>
              </w:rPr>
              <w:t>厂房</w:t>
            </w:r>
            <w:r>
              <w:rPr>
                <w:rFonts w:hint="default" w:ascii="Times New Roman" w:hAnsi="Times New Roman" w:eastAsia="宋体" w:cs="Times New Roman"/>
                <w:color w:val="auto"/>
              </w:rPr>
              <w:t>进行建设，不涉及新增土地，现有厂房已经完成“四通一平”（即：通水、通电、通气、通路以及场地平整），因此用地范围内没有生态环境保护目标，不需要进行生态现状调查。</w:t>
            </w:r>
          </w:p>
          <w:p w14:paraId="1C41D511">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3.5 地下水环境质量</w:t>
            </w:r>
          </w:p>
          <w:p w14:paraId="2497AFA4">
            <w:pPr>
              <w:pStyle w:val="31"/>
              <w:ind w:firstLine="420"/>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（1）地下水环境质量标准</w:t>
            </w:r>
          </w:p>
          <w:p w14:paraId="4918B52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项目区周围自来水管网已全部覆盖，项目区周边的地下水均无饮用功能，项目区域地下水执行《地下水质量标准》（GB/T14848-2017）中III类标准，标准限值如下表所示。</w:t>
            </w:r>
          </w:p>
          <w:p w14:paraId="53E97F6A">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表3-7-1  地下水环境质量标准限值  单位：mg/L（pH无量纲）</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191"/>
              <w:gridCol w:w="1441"/>
              <w:gridCol w:w="1214"/>
              <w:gridCol w:w="1588"/>
              <w:gridCol w:w="1272"/>
            </w:tblGrid>
            <w:tr w14:paraId="3098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56" w:type="pct"/>
                  <w:vAlign w:val="center"/>
                </w:tcPr>
                <w:p w14:paraId="3FC9E9D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0" w:type="pct"/>
                  <w:vAlign w:val="center"/>
                </w:tcPr>
                <w:p w14:paraId="401C98E6">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847" w:type="pct"/>
                  <w:vAlign w:val="center"/>
                </w:tcPr>
                <w:p w14:paraId="2422877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硝酸盐</w:t>
                  </w:r>
                </w:p>
              </w:tc>
              <w:tc>
                <w:tcPr>
                  <w:tcW w:w="713" w:type="pct"/>
                  <w:vAlign w:val="center"/>
                </w:tcPr>
                <w:p w14:paraId="5BB2FCB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硫酸盐</w:t>
                  </w:r>
                </w:p>
              </w:tc>
              <w:tc>
                <w:tcPr>
                  <w:tcW w:w="934" w:type="pct"/>
                  <w:vAlign w:val="center"/>
                </w:tcPr>
                <w:p w14:paraId="7C963D04">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氯化物</w:t>
                  </w:r>
                </w:p>
              </w:tc>
              <w:tc>
                <w:tcPr>
                  <w:tcW w:w="748" w:type="pct"/>
                  <w:vAlign w:val="center"/>
                </w:tcPr>
                <w:p w14:paraId="2AAFAD4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铁</w:t>
                  </w:r>
                </w:p>
              </w:tc>
            </w:tr>
            <w:tr w14:paraId="0DED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5B8447A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III类水质标准</w:t>
                  </w:r>
                </w:p>
              </w:tc>
              <w:tc>
                <w:tcPr>
                  <w:tcW w:w="700" w:type="pct"/>
                  <w:vAlign w:val="center"/>
                </w:tcPr>
                <w:p w14:paraId="7CBED2D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6.5~8.5</w:t>
                  </w:r>
                </w:p>
              </w:tc>
              <w:tc>
                <w:tcPr>
                  <w:tcW w:w="847" w:type="pct"/>
                  <w:vAlign w:val="center"/>
                </w:tcPr>
                <w:p w14:paraId="3FACAE1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≤20.0</w:t>
                  </w:r>
                </w:p>
              </w:tc>
              <w:tc>
                <w:tcPr>
                  <w:tcW w:w="713" w:type="pct"/>
                  <w:vAlign w:val="center"/>
                </w:tcPr>
                <w:p w14:paraId="5E9FBCF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≤250</w:t>
                  </w:r>
                </w:p>
              </w:tc>
              <w:tc>
                <w:tcPr>
                  <w:tcW w:w="934" w:type="pct"/>
                  <w:vAlign w:val="center"/>
                </w:tcPr>
                <w:p w14:paraId="3120247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≤250</w:t>
                  </w:r>
                </w:p>
              </w:tc>
              <w:tc>
                <w:tcPr>
                  <w:tcW w:w="748" w:type="pct"/>
                  <w:vAlign w:val="center"/>
                </w:tcPr>
                <w:p w14:paraId="3922FA6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≤0.3</w:t>
                  </w:r>
                </w:p>
              </w:tc>
            </w:tr>
            <w:tr w14:paraId="2D95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69C348C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0" w:type="pct"/>
                  <w:vAlign w:val="center"/>
                </w:tcPr>
                <w:p w14:paraId="03CD1BF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锰</w:t>
                  </w:r>
                </w:p>
              </w:tc>
              <w:tc>
                <w:tcPr>
                  <w:tcW w:w="847" w:type="pct"/>
                  <w:vAlign w:val="center"/>
                </w:tcPr>
                <w:p w14:paraId="6EB5D83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挥发性酚类</w:t>
                  </w:r>
                </w:p>
              </w:tc>
              <w:tc>
                <w:tcPr>
                  <w:tcW w:w="713" w:type="pct"/>
                  <w:vAlign w:val="center"/>
                </w:tcPr>
                <w:p w14:paraId="5134DD3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934" w:type="pct"/>
                  <w:vAlign w:val="center"/>
                </w:tcPr>
                <w:p w14:paraId="7417975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总大肠菌群</w:t>
                  </w:r>
                </w:p>
              </w:tc>
              <w:tc>
                <w:tcPr>
                  <w:tcW w:w="748" w:type="pct"/>
                  <w:vAlign w:val="center"/>
                </w:tcPr>
                <w:p w14:paraId="4816CBD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亚硝酸盐</w:t>
                  </w:r>
                </w:p>
              </w:tc>
            </w:tr>
            <w:tr w14:paraId="56B8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6466030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III类水质标准</w:t>
                  </w:r>
                </w:p>
              </w:tc>
              <w:tc>
                <w:tcPr>
                  <w:tcW w:w="700" w:type="pct"/>
                  <w:vAlign w:val="center"/>
                </w:tcPr>
                <w:p w14:paraId="3890208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≤0.10</w:t>
                  </w:r>
                </w:p>
              </w:tc>
              <w:tc>
                <w:tcPr>
                  <w:tcW w:w="847" w:type="pct"/>
                  <w:vAlign w:val="center"/>
                </w:tcPr>
                <w:p w14:paraId="0C3DB3B7">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≤0.002</w:t>
                  </w:r>
                </w:p>
              </w:tc>
              <w:tc>
                <w:tcPr>
                  <w:tcW w:w="713" w:type="pct"/>
                  <w:vAlign w:val="center"/>
                </w:tcPr>
                <w:p w14:paraId="36243BF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c>
                <w:tcPr>
                  <w:tcW w:w="934" w:type="pct"/>
                  <w:vAlign w:val="center"/>
                </w:tcPr>
                <w:p w14:paraId="271C3277">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748" w:type="pct"/>
                  <w:vAlign w:val="center"/>
                </w:tcPr>
                <w:p w14:paraId="7FC8D59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r>
            <w:tr w14:paraId="70E1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70903F0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0" w:type="pct"/>
                  <w:vAlign w:val="center"/>
                </w:tcPr>
                <w:p w14:paraId="68CF1F9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氰化物</w:t>
                  </w:r>
                </w:p>
              </w:tc>
              <w:tc>
                <w:tcPr>
                  <w:tcW w:w="847" w:type="pct"/>
                  <w:vAlign w:val="center"/>
                </w:tcPr>
                <w:p w14:paraId="6CFD119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氟化物</w:t>
                  </w:r>
                </w:p>
              </w:tc>
              <w:tc>
                <w:tcPr>
                  <w:tcW w:w="713" w:type="pct"/>
                  <w:vAlign w:val="center"/>
                </w:tcPr>
                <w:p w14:paraId="4397DCB7">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锌</w:t>
                  </w:r>
                </w:p>
              </w:tc>
              <w:tc>
                <w:tcPr>
                  <w:tcW w:w="934" w:type="pct"/>
                  <w:vAlign w:val="center"/>
                </w:tcPr>
                <w:p w14:paraId="33FB27D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汞</w:t>
                  </w:r>
                </w:p>
              </w:tc>
              <w:tc>
                <w:tcPr>
                  <w:tcW w:w="748" w:type="pct"/>
                  <w:vAlign w:val="center"/>
                </w:tcPr>
                <w:p w14:paraId="4533D79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砷</w:t>
                  </w:r>
                </w:p>
              </w:tc>
            </w:tr>
            <w:tr w14:paraId="4278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1D3F6AD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III类水质标准</w:t>
                  </w:r>
                </w:p>
              </w:tc>
              <w:tc>
                <w:tcPr>
                  <w:tcW w:w="700" w:type="pct"/>
                  <w:vAlign w:val="center"/>
                </w:tcPr>
                <w:p w14:paraId="24F199F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c>
                <w:tcPr>
                  <w:tcW w:w="847" w:type="pct"/>
                  <w:vAlign w:val="center"/>
                </w:tcPr>
                <w:p w14:paraId="63AD2C04">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713" w:type="pct"/>
                  <w:vAlign w:val="center"/>
                </w:tcPr>
                <w:p w14:paraId="057E7CA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≤1.00</w:t>
                  </w:r>
                </w:p>
              </w:tc>
              <w:tc>
                <w:tcPr>
                  <w:tcW w:w="934" w:type="pct"/>
                  <w:vAlign w:val="center"/>
                </w:tcPr>
                <w:p w14:paraId="60800AE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≤0.001</w:t>
                  </w:r>
                </w:p>
              </w:tc>
              <w:tc>
                <w:tcPr>
                  <w:tcW w:w="748" w:type="pct"/>
                  <w:vAlign w:val="center"/>
                </w:tcPr>
                <w:p w14:paraId="2B2EEE4D">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≤0.01</w:t>
                  </w:r>
                </w:p>
              </w:tc>
            </w:tr>
            <w:tr w14:paraId="145F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2E0A179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700" w:type="pct"/>
                  <w:vAlign w:val="center"/>
                </w:tcPr>
                <w:p w14:paraId="543896C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铬（六价）</w:t>
                  </w:r>
                </w:p>
              </w:tc>
              <w:tc>
                <w:tcPr>
                  <w:tcW w:w="847" w:type="pct"/>
                  <w:vAlign w:val="center"/>
                </w:tcPr>
                <w:p w14:paraId="19FD721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铅</w:t>
                  </w:r>
                </w:p>
              </w:tc>
              <w:tc>
                <w:tcPr>
                  <w:tcW w:w="713" w:type="pct"/>
                  <w:vAlign w:val="center"/>
                </w:tcPr>
                <w:p w14:paraId="2B0DAFD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镉</w:t>
                  </w:r>
                </w:p>
              </w:tc>
              <w:tc>
                <w:tcPr>
                  <w:tcW w:w="934" w:type="pct"/>
                  <w:vAlign w:val="center"/>
                </w:tcPr>
                <w:p w14:paraId="4720D29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溶解性总固体</w:t>
                  </w:r>
                </w:p>
              </w:tc>
              <w:tc>
                <w:tcPr>
                  <w:tcW w:w="748" w:type="pct"/>
                  <w:vAlign w:val="center"/>
                </w:tcPr>
                <w:p w14:paraId="513C60E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总硬度</w:t>
                  </w:r>
                </w:p>
              </w:tc>
            </w:tr>
            <w:tr w14:paraId="4F15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6" w:type="pct"/>
                  <w:vAlign w:val="center"/>
                </w:tcPr>
                <w:p w14:paraId="1C43D4A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III类水质标准</w:t>
                  </w:r>
                </w:p>
              </w:tc>
              <w:tc>
                <w:tcPr>
                  <w:tcW w:w="700" w:type="pct"/>
                  <w:vAlign w:val="center"/>
                </w:tcPr>
                <w:p w14:paraId="714259D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c>
                <w:tcPr>
                  <w:tcW w:w="847" w:type="pct"/>
                  <w:vAlign w:val="center"/>
                </w:tcPr>
                <w:p w14:paraId="197D966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≤0.01</w:t>
                  </w:r>
                </w:p>
              </w:tc>
              <w:tc>
                <w:tcPr>
                  <w:tcW w:w="713" w:type="pct"/>
                  <w:vAlign w:val="center"/>
                </w:tcPr>
                <w:p w14:paraId="01FEB1B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≤0.005</w:t>
                  </w:r>
                </w:p>
              </w:tc>
              <w:tc>
                <w:tcPr>
                  <w:tcW w:w="934" w:type="pct"/>
                  <w:vAlign w:val="center"/>
                </w:tcPr>
                <w:p w14:paraId="22F4DFA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≤1000</w:t>
                  </w:r>
                </w:p>
              </w:tc>
              <w:tc>
                <w:tcPr>
                  <w:tcW w:w="748" w:type="pct"/>
                  <w:vAlign w:val="center"/>
                </w:tcPr>
                <w:p w14:paraId="27359EA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≤450</w:t>
                  </w:r>
                </w:p>
              </w:tc>
            </w:tr>
          </w:tbl>
          <w:p w14:paraId="4FB36ADC">
            <w:pPr>
              <w:pStyle w:val="31"/>
              <w:keepNext w:val="0"/>
              <w:keepLines w:val="0"/>
              <w:suppressLineNumbers w:val="0"/>
              <w:spacing w:before="0" w:beforeAutospacing="0" w:after="0" w:afterAutospacing="0"/>
              <w:ind w:left="0" w:right="0" w:firstLine="42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（2）地下水环境质量现状</w:t>
            </w:r>
          </w:p>
          <w:p w14:paraId="38F518A1">
            <w:pPr>
              <w:pStyle w:val="31"/>
              <w:ind w:firstLine="42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rPr>
              <w:t>根据《建设项目环境影响报告表编制技术指南（污染影响类）（试行）》地下水、土壤环境原则上不开展环境质量现状调查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根据《环境影响评价技术导则 地下水环境(HJ 610-2016）》，</w:t>
            </w:r>
            <w:r>
              <w:rPr>
                <w:rFonts w:hint="default" w:ascii="Times New Roman" w:hAnsi="Times New Roman" w:eastAsia="宋体" w:cs="Times New Roman"/>
                <w:color w:val="auto"/>
                <w:sz w:val="21"/>
                <w:szCs w:val="21"/>
                <w:lang w:val="en-US" w:eastAsia="zh-CN"/>
              </w:rPr>
              <w:t>要求项目</w:t>
            </w:r>
            <w:r>
              <w:rPr>
                <w:rFonts w:hint="default" w:ascii="Times New Roman" w:hAnsi="Times New Roman" w:eastAsia="宋体" w:cs="Times New Roman"/>
                <w:color w:val="auto"/>
                <w:sz w:val="21"/>
                <w:szCs w:val="21"/>
              </w:rPr>
              <w:t>地下水污染防渗区要求进行分区防渗，设置“三防”措施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对地下水影响较小，不进行现状补充监测</w:t>
            </w:r>
            <w:r>
              <w:rPr>
                <w:rFonts w:hint="default" w:ascii="Times New Roman" w:hAnsi="Times New Roman" w:eastAsia="宋体" w:cs="Times New Roman"/>
                <w:color w:val="auto"/>
                <w:sz w:val="21"/>
                <w:szCs w:val="21"/>
                <w:lang w:eastAsia="zh-CN"/>
              </w:rPr>
              <w:t>。</w:t>
            </w:r>
          </w:p>
          <w:p w14:paraId="2DBEB626">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3.6 土壤环境质量</w:t>
            </w:r>
          </w:p>
          <w:p w14:paraId="085EAB98">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（1）土壤环境质量标准</w:t>
            </w:r>
            <w:r>
              <w:rPr>
                <w:rFonts w:hint="default" w:ascii="Times New Roman" w:hAnsi="Times New Roman" w:eastAsia="宋体" w:cs="Times New Roman"/>
                <w:color w:val="auto"/>
                <w:lang w:val="en-US" w:eastAsia="zh-CN"/>
              </w:rPr>
              <w:t xml:space="preserve"> </w:t>
            </w:r>
          </w:p>
          <w:p w14:paraId="32E9AD40">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项目用地类型为工业用地，土壤环境质量执行《土壤环境质量建设用地土壤污染风险管控标准（试行）》（GB36600—2018）中第二类用地标准。土壤环境质量执行标准如下：</w:t>
            </w:r>
          </w:p>
          <w:p w14:paraId="49A85195">
            <w:pPr>
              <w:pStyle w:val="34"/>
              <w:keepNext w:val="0"/>
              <w:keepLines w:val="0"/>
              <w:pageBreakBefore w:val="0"/>
              <w:widowControl w:val="0"/>
              <w:kinsoku/>
              <w:wordWrap/>
              <w:overflowPunct/>
              <w:topLinePunct w:val="0"/>
              <w:autoSpaceDE/>
              <w:autoSpaceDN/>
              <w:bidi w:val="0"/>
              <w:adjustRightInd/>
              <w:snapToGrid w:val="0"/>
              <w:spacing w:line="240" w:lineRule="auto"/>
              <w:ind w:firstLine="422"/>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表3-8  建设用地土壤环境质量评价标准（第二类用地）单位：mg/kg</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277"/>
              <w:gridCol w:w="22"/>
              <w:gridCol w:w="1868"/>
              <w:gridCol w:w="1510"/>
              <w:gridCol w:w="1703"/>
            </w:tblGrid>
            <w:tr w14:paraId="7F83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51" w:type="dxa"/>
                  <w:vMerge w:val="restart"/>
                  <w:tcBorders>
                    <w:top w:val="single" w:color="auto" w:sz="4" w:space="0"/>
                    <w:left w:val="single" w:color="auto" w:sz="4" w:space="0"/>
                    <w:bottom w:val="single" w:color="auto" w:sz="4" w:space="0"/>
                    <w:right w:val="single" w:color="auto" w:sz="4" w:space="0"/>
                  </w:tcBorders>
                  <w:vAlign w:val="center"/>
                </w:tcPr>
                <w:p w14:paraId="594E991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133" w:type="dxa"/>
                  <w:vMerge w:val="restart"/>
                  <w:tcBorders>
                    <w:top w:val="single" w:color="auto" w:sz="4" w:space="0"/>
                    <w:left w:val="single" w:color="auto" w:sz="4" w:space="0"/>
                    <w:bottom w:val="single" w:color="auto" w:sz="4" w:space="0"/>
                    <w:right w:val="single" w:color="auto" w:sz="4" w:space="0"/>
                  </w:tcBorders>
                  <w:vAlign w:val="center"/>
                </w:tcPr>
                <w:p w14:paraId="3754110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771" w:type="dxa"/>
                  <w:gridSpan w:val="2"/>
                  <w:vMerge w:val="restart"/>
                  <w:tcBorders>
                    <w:top w:val="single" w:color="auto" w:sz="4" w:space="0"/>
                    <w:left w:val="single" w:color="auto" w:sz="4" w:space="0"/>
                    <w:bottom w:val="single" w:color="auto" w:sz="4" w:space="0"/>
                    <w:right w:val="single" w:color="auto" w:sz="4" w:space="0"/>
                  </w:tcBorders>
                  <w:vAlign w:val="center"/>
                </w:tcPr>
                <w:p w14:paraId="2F1CFA5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CAS编号</w:t>
                  </w:r>
                </w:p>
              </w:tc>
              <w:tc>
                <w:tcPr>
                  <w:tcW w:w="1414" w:type="dxa"/>
                  <w:tcBorders>
                    <w:top w:val="single" w:color="auto" w:sz="4" w:space="0"/>
                    <w:left w:val="single" w:color="auto" w:sz="4" w:space="0"/>
                    <w:bottom w:val="single" w:color="auto" w:sz="4" w:space="0"/>
                    <w:right w:val="single" w:color="auto" w:sz="4" w:space="0"/>
                  </w:tcBorders>
                  <w:vAlign w:val="center"/>
                </w:tcPr>
                <w:p w14:paraId="05BC2D6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筛选值</w:t>
                  </w:r>
                </w:p>
              </w:tc>
              <w:tc>
                <w:tcPr>
                  <w:tcW w:w="1595" w:type="dxa"/>
                  <w:tcBorders>
                    <w:top w:val="single" w:color="auto" w:sz="4" w:space="0"/>
                    <w:left w:val="single" w:color="auto" w:sz="4" w:space="0"/>
                    <w:bottom w:val="single" w:color="auto" w:sz="4" w:space="0"/>
                    <w:right w:val="single" w:color="auto" w:sz="4" w:space="0"/>
                  </w:tcBorders>
                  <w:vAlign w:val="center"/>
                </w:tcPr>
                <w:p w14:paraId="1F2592F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管制值</w:t>
                  </w:r>
                </w:p>
              </w:tc>
            </w:tr>
            <w:tr w14:paraId="5277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51" w:type="dxa"/>
                  <w:vMerge w:val="continue"/>
                  <w:tcBorders>
                    <w:top w:val="single" w:color="auto" w:sz="4" w:space="0"/>
                    <w:left w:val="single" w:color="auto" w:sz="4" w:space="0"/>
                    <w:bottom w:val="single" w:color="auto" w:sz="4" w:space="0"/>
                    <w:right w:val="single" w:color="auto" w:sz="4" w:space="0"/>
                  </w:tcBorders>
                  <w:vAlign w:val="center"/>
                </w:tcPr>
                <w:p w14:paraId="603AE69A">
                  <w:pPr>
                    <w:snapToGrid w:val="0"/>
                    <w:spacing w:before="72" w:beforeLines="30" w:after="72" w:afterLines="30"/>
                    <w:jc w:val="center"/>
                    <w:rPr>
                      <w:rFonts w:hint="default" w:ascii="Times New Roman" w:hAnsi="Times New Roman" w:eastAsia="宋体" w:cs="Times New Roman"/>
                      <w:color w:val="auto"/>
                      <w:szCs w:val="21"/>
                    </w:rPr>
                  </w:pPr>
                </w:p>
              </w:tc>
              <w:tc>
                <w:tcPr>
                  <w:tcW w:w="2133" w:type="dxa"/>
                  <w:vMerge w:val="continue"/>
                  <w:tcBorders>
                    <w:top w:val="single" w:color="auto" w:sz="4" w:space="0"/>
                    <w:left w:val="single" w:color="auto" w:sz="4" w:space="0"/>
                    <w:bottom w:val="single" w:color="auto" w:sz="4" w:space="0"/>
                    <w:right w:val="single" w:color="auto" w:sz="4" w:space="0"/>
                  </w:tcBorders>
                  <w:vAlign w:val="center"/>
                </w:tcPr>
                <w:p w14:paraId="4EAD88AC">
                  <w:pPr>
                    <w:snapToGrid w:val="0"/>
                    <w:spacing w:before="72" w:beforeLines="30" w:after="72" w:afterLines="30"/>
                    <w:jc w:val="center"/>
                    <w:rPr>
                      <w:rFonts w:hint="default" w:ascii="Times New Roman" w:hAnsi="Times New Roman" w:eastAsia="宋体" w:cs="Times New Roman"/>
                      <w:color w:val="auto"/>
                      <w:szCs w:val="21"/>
                    </w:rPr>
                  </w:pPr>
                </w:p>
              </w:tc>
              <w:tc>
                <w:tcPr>
                  <w:tcW w:w="1771" w:type="dxa"/>
                  <w:gridSpan w:val="2"/>
                  <w:vMerge w:val="continue"/>
                  <w:tcBorders>
                    <w:top w:val="single" w:color="auto" w:sz="4" w:space="0"/>
                    <w:left w:val="single" w:color="auto" w:sz="4" w:space="0"/>
                    <w:bottom w:val="single" w:color="auto" w:sz="4" w:space="0"/>
                    <w:right w:val="single" w:color="auto" w:sz="4" w:space="0"/>
                  </w:tcBorders>
                  <w:vAlign w:val="center"/>
                </w:tcPr>
                <w:p w14:paraId="72610972">
                  <w:pPr>
                    <w:snapToGrid w:val="0"/>
                    <w:spacing w:before="72" w:beforeLines="30" w:after="72" w:afterLines="30"/>
                    <w:jc w:val="center"/>
                    <w:rPr>
                      <w:rFonts w:hint="default" w:ascii="Times New Roman" w:hAnsi="Times New Roman" w:eastAsia="宋体" w:cs="Times New Roman"/>
                      <w:color w:val="auto"/>
                      <w:szCs w:val="21"/>
                    </w:rPr>
                  </w:pPr>
                </w:p>
              </w:tc>
              <w:tc>
                <w:tcPr>
                  <w:tcW w:w="1414" w:type="dxa"/>
                  <w:tcBorders>
                    <w:top w:val="single" w:color="auto" w:sz="4" w:space="0"/>
                    <w:left w:val="single" w:color="auto" w:sz="4" w:space="0"/>
                    <w:bottom w:val="single" w:color="auto" w:sz="4" w:space="0"/>
                    <w:right w:val="single" w:color="auto" w:sz="4" w:space="0"/>
                  </w:tcBorders>
                  <w:vAlign w:val="center"/>
                </w:tcPr>
                <w:p w14:paraId="0FB447E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第二类用地</w:t>
                  </w:r>
                </w:p>
              </w:tc>
              <w:tc>
                <w:tcPr>
                  <w:tcW w:w="1595" w:type="dxa"/>
                  <w:tcBorders>
                    <w:top w:val="single" w:color="auto" w:sz="4" w:space="0"/>
                    <w:left w:val="single" w:color="auto" w:sz="4" w:space="0"/>
                    <w:bottom w:val="single" w:color="auto" w:sz="4" w:space="0"/>
                    <w:right w:val="single" w:color="auto" w:sz="4" w:space="0"/>
                  </w:tcBorders>
                  <w:vAlign w:val="center"/>
                </w:tcPr>
                <w:p w14:paraId="1236917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第二类用地</w:t>
                  </w:r>
                </w:p>
              </w:tc>
            </w:tr>
            <w:tr w14:paraId="0001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4" w:type="dxa"/>
                  <w:gridSpan w:val="6"/>
                  <w:tcBorders>
                    <w:top w:val="single" w:color="auto" w:sz="4" w:space="0"/>
                    <w:left w:val="single" w:color="auto" w:sz="4" w:space="0"/>
                    <w:bottom w:val="single" w:color="auto" w:sz="4" w:space="0"/>
                    <w:right w:val="single" w:color="auto" w:sz="4" w:space="0"/>
                  </w:tcBorders>
                  <w:vAlign w:val="center"/>
                </w:tcPr>
                <w:p w14:paraId="597887E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重金属和无机物</w:t>
                  </w:r>
                </w:p>
              </w:tc>
            </w:tr>
            <w:tr w14:paraId="7D4D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207620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33" w:type="dxa"/>
                  <w:tcBorders>
                    <w:top w:val="single" w:color="auto" w:sz="4" w:space="0"/>
                    <w:left w:val="single" w:color="auto" w:sz="4" w:space="0"/>
                    <w:bottom w:val="single" w:color="auto" w:sz="4" w:space="0"/>
                    <w:right w:val="single" w:color="auto" w:sz="4" w:space="0"/>
                  </w:tcBorders>
                  <w:vAlign w:val="center"/>
                </w:tcPr>
                <w:p w14:paraId="5048DDF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16784D9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7440-38-2</w:t>
                  </w:r>
                </w:p>
              </w:tc>
              <w:tc>
                <w:tcPr>
                  <w:tcW w:w="1414" w:type="dxa"/>
                  <w:tcBorders>
                    <w:top w:val="single" w:color="auto" w:sz="4" w:space="0"/>
                    <w:left w:val="single" w:color="auto" w:sz="4" w:space="0"/>
                    <w:bottom w:val="single" w:color="auto" w:sz="4" w:space="0"/>
                    <w:right w:val="single" w:color="auto" w:sz="4" w:space="0"/>
                  </w:tcBorders>
                  <w:vAlign w:val="center"/>
                </w:tcPr>
                <w:p w14:paraId="20461D5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595" w:type="dxa"/>
                  <w:tcBorders>
                    <w:top w:val="single" w:color="auto" w:sz="4" w:space="0"/>
                    <w:left w:val="single" w:color="auto" w:sz="4" w:space="0"/>
                    <w:bottom w:val="single" w:color="auto" w:sz="4" w:space="0"/>
                    <w:right w:val="single" w:color="auto" w:sz="4" w:space="0"/>
                  </w:tcBorders>
                  <w:vAlign w:val="center"/>
                </w:tcPr>
                <w:p w14:paraId="3CE0208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r>
            <w:tr w14:paraId="0FC8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1886D92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33" w:type="dxa"/>
                  <w:tcBorders>
                    <w:top w:val="single" w:color="auto" w:sz="4" w:space="0"/>
                    <w:left w:val="single" w:color="auto" w:sz="4" w:space="0"/>
                    <w:bottom w:val="single" w:color="auto" w:sz="4" w:space="0"/>
                    <w:right w:val="single" w:color="auto" w:sz="4" w:space="0"/>
                  </w:tcBorders>
                  <w:vAlign w:val="center"/>
                </w:tcPr>
                <w:p w14:paraId="08450C6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5BFA7CF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7440-43-9</w:t>
                  </w:r>
                </w:p>
              </w:tc>
              <w:tc>
                <w:tcPr>
                  <w:tcW w:w="1414" w:type="dxa"/>
                  <w:tcBorders>
                    <w:top w:val="single" w:color="auto" w:sz="4" w:space="0"/>
                    <w:left w:val="single" w:color="auto" w:sz="4" w:space="0"/>
                    <w:bottom w:val="single" w:color="auto" w:sz="4" w:space="0"/>
                    <w:right w:val="single" w:color="auto" w:sz="4" w:space="0"/>
                  </w:tcBorders>
                  <w:vAlign w:val="center"/>
                </w:tcPr>
                <w:p w14:paraId="3399525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595" w:type="dxa"/>
                  <w:tcBorders>
                    <w:top w:val="single" w:color="auto" w:sz="4" w:space="0"/>
                    <w:left w:val="single" w:color="auto" w:sz="4" w:space="0"/>
                    <w:bottom w:val="single" w:color="auto" w:sz="4" w:space="0"/>
                    <w:right w:val="single" w:color="auto" w:sz="4" w:space="0"/>
                  </w:tcBorders>
                  <w:vAlign w:val="center"/>
                </w:tcPr>
                <w:p w14:paraId="1BF7E2E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r>
            <w:tr w14:paraId="5359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2CB7D6E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33" w:type="dxa"/>
                  <w:tcBorders>
                    <w:top w:val="single" w:color="auto" w:sz="4" w:space="0"/>
                    <w:left w:val="single" w:color="auto" w:sz="4" w:space="0"/>
                    <w:bottom w:val="single" w:color="auto" w:sz="4" w:space="0"/>
                    <w:right w:val="single" w:color="auto" w:sz="4" w:space="0"/>
                  </w:tcBorders>
                  <w:vAlign w:val="center"/>
                </w:tcPr>
                <w:p w14:paraId="23BCDAC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1F20C86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18540-29-9</w:t>
                  </w:r>
                </w:p>
              </w:tc>
              <w:tc>
                <w:tcPr>
                  <w:tcW w:w="1414" w:type="dxa"/>
                  <w:tcBorders>
                    <w:top w:val="single" w:color="auto" w:sz="4" w:space="0"/>
                    <w:left w:val="single" w:color="auto" w:sz="4" w:space="0"/>
                    <w:bottom w:val="single" w:color="auto" w:sz="4" w:space="0"/>
                    <w:right w:val="single" w:color="auto" w:sz="4" w:space="0"/>
                  </w:tcBorders>
                  <w:vAlign w:val="center"/>
                </w:tcPr>
                <w:p w14:paraId="47B3CF6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1595" w:type="dxa"/>
                  <w:tcBorders>
                    <w:top w:val="single" w:color="auto" w:sz="4" w:space="0"/>
                    <w:left w:val="single" w:color="auto" w:sz="4" w:space="0"/>
                    <w:bottom w:val="single" w:color="auto" w:sz="4" w:space="0"/>
                    <w:right w:val="single" w:color="auto" w:sz="4" w:space="0"/>
                  </w:tcBorders>
                  <w:vAlign w:val="center"/>
                </w:tcPr>
                <w:p w14:paraId="5829B6E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r>
            <w:tr w14:paraId="74BA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58BB19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33" w:type="dxa"/>
                  <w:tcBorders>
                    <w:top w:val="single" w:color="auto" w:sz="4" w:space="0"/>
                    <w:left w:val="single" w:color="auto" w:sz="4" w:space="0"/>
                    <w:bottom w:val="single" w:color="auto" w:sz="4" w:space="0"/>
                    <w:right w:val="single" w:color="auto" w:sz="4" w:space="0"/>
                  </w:tcBorders>
                  <w:vAlign w:val="center"/>
                </w:tcPr>
                <w:p w14:paraId="4B28BC4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74CCDCF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7440-50-8</w:t>
                  </w:r>
                </w:p>
              </w:tc>
              <w:tc>
                <w:tcPr>
                  <w:tcW w:w="1414" w:type="dxa"/>
                  <w:tcBorders>
                    <w:top w:val="single" w:color="auto" w:sz="4" w:space="0"/>
                    <w:left w:val="single" w:color="auto" w:sz="4" w:space="0"/>
                    <w:bottom w:val="single" w:color="auto" w:sz="4" w:space="0"/>
                    <w:right w:val="single" w:color="auto" w:sz="4" w:space="0"/>
                  </w:tcBorders>
                  <w:vAlign w:val="center"/>
                </w:tcPr>
                <w:p w14:paraId="7246E24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1595" w:type="dxa"/>
                  <w:tcBorders>
                    <w:top w:val="single" w:color="auto" w:sz="4" w:space="0"/>
                    <w:left w:val="single" w:color="auto" w:sz="4" w:space="0"/>
                    <w:bottom w:val="single" w:color="auto" w:sz="4" w:space="0"/>
                    <w:right w:val="single" w:color="auto" w:sz="4" w:space="0"/>
                  </w:tcBorders>
                  <w:vAlign w:val="center"/>
                </w:tcPr>
                <w:p w14:paraId="2462935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36000</w:t>
                  </w:r>
                </w:p>
              </w:tc>
            </w:tr>
            <w:tr w14:paraId="3545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43511CC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33" w:type="dxa"/>
                  <w:tcBorders>
                    <w:top w:val="single" w:color="auto" w:sz="4" w:space="0"/>
                    <w:left w:val="single" w:color="auto" w:sz="4" w:space="0"/>
                    <w:bottom w:val="single" w:color="auto" w:sz="4" w:space="0"/>
                    <w:right w:val="single" w:color="auto" w:sz="4" w:space="0"/>
                  </w:tcBorders>
                  <w:vAlign w:val="center"/>
                </w:tcPr>
                <w:p w14:paraId="19C9CB3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6D86F84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7439-92-1</w:t>
                  </w:r>
                </w:p>
              </w:tc>
              <w:tc>
                <w:tcPr>
                  <w:tcW w:w="1414" w:type="dxa"/>
                  <w:tcBorders>
                    <w:top w:val="single" w:color="auto" w:sz="4" w:space="0"/>
                    <w:left w:val="single" w:color="auto" w:sz="4" w:space="0"/>
                    <w:bottom w:val="single" w:color="auto" w:sz="4" w:space="0"/>
                    <w:right w:val="single" w:color="auto" w:sz="4" w:space="0"/>
                  </w:tcBorders>
                  <w:vAlign w:val="center"/>
                </w:tcPr>
                <w:p w14:paraId="6DEF345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1595" w:type="dxa"/>
                  <w:tcBorders>
                    <w:top w:val="single" w:color="auto" w:sz="4" w:space="0"/>
                    <w:left w:val="single" w:color="auto" w:sz="4" w:space="0"/>
                    <w:bottom w:val="single" w:color="auto" w:sz="4" w:space="0"/>
                    <w:right w:val="single" w:color="auto" w:sz="4" w:space="0"/>
                  </w:tcBorders>
                  <w:vAlign w:val="center"/>
                </w:tcPr>
                <w:p w14:paraId="0CB9217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r>
            <w:tr w14:paraId="1A69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4AA25A5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133" w:type="dxa"/>
                  <w:tcBorders>
                    <w:top w:val="single" w:color="auto" w:sz="4" w:space="0"/>
                    <w:left w:val="single" w:color="auto" w:sz="4" w:space="0"/>
                    <w:bottom w:val="single" w:color="auto" w:sz="4" w:space="0"/>
                    <w:right w:val="single" w:color="auto" w:sz="4" w:space="0"/>
                  </w:tcBorders>
                  <w:vAlign w:val="center"/>
                </w:tcPr>
                <w:p w14:paraId="5170631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5F965EF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7439-97-6</w:t>
                  </w:r>
                </w:p>
              </w:tc>
              <w:tc>
                <w:tcPr>
                  <w:tcW w:w="1414" w:type="dxa"/>
                  <w:tcBorders>
                    <w:top w:val="single" w:color="auto" w:sz="4" w:space="0"/>
                    <w:left w:val="single" w:color="auto" w:sz="4" w:space="0"/>
                    <w:bottom w:val="single" w:color="auto" w:sz="4" w:space="0"/>
                    <w:right w:val="single" w:color="auto" w:sz="4" w:space="0"/>
                  </w:tcBorders>
                  <w:vAlign w:val="center"/>
                </w:tcPr>
                <w:p w14:paraId="26C716D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595" w:type="dxa"/>
                  <w:tcBorders>
                    <w:top w:val="single" w:color="auto" w:sz="4" w:space="0"/>
                    <w:left w:val="single" w:color="auto" w:sz="4" w:space="0"/>
                    <w:bottom w:val="single" w:color="auto" w:sz="4" w:space="0"/>
                    <w:right w:val="single" w:color="auto" w:sz="4" w:space="0"/>
                  </w:tcBorders>
                  <w:vAlign w:val="center"/>
                </w:tcPr>
                <w:p w14:paraId="3EC4AE9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w:t>
                  </w:r>
                </w:p>
              </w:tc>
            </w:tr>
            <w:tr w14:paraId="7492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962666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133" w:type="dxa"/>
                  <w:tcBorders>
                    <w:top w:val="single" w:color="auto" w:sz="4" w:space="0"/>
                    <w:left w:val="single" w:color="auto" w:sz="4" w:space="0"/>
                    <w:bottom w:val="single" w:color="auto" w:sz="4" w:space="0"/>
                    <w:right w:val="single" w:color="auto" w:sz="4" w:space="0"/>
                  </w:tcBorders>
                  <w:vAlign w:val="center"/>
                </w:tcPr>
                <w:p w14:paraId="7EFFD89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771" w:type="dxa"/>
                  <w:gridSpan w:val="2"/>
                  <w:tcBorders>
                    <w:top w:val="single" w:color="auto" w:sz="4" w:space="0"/>
                    <w:left w:val="single" w:color="auto" w:sz="4" w:space="0"/>
                    <w:bottom w:val="single" w:color="auto" w:sz="4" w:space="0"/>
                    <w:right w:val="single" w:color="auto" w:sz="4" w:space="0"/>
                  </w:tcBorders>
                  <w:vAlign w:val="center"/>
                </w:tcPr>
                <w:p w14:paraId="3824B16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7440-02-0</w:t>
                  </w:r>
                </w:p>
              </w:tc>
              <w:tc>
                <w:tcPr>
                  <w:tcW w:w="1414" w:type="dxa"/>
                  <w:tcBorders>
                    <w:top w:val="single" w:color="auto" w:sz="4" w:space="0"/>
                    <w:left w:val="single" w:color="auto" w:sz="4" w:space="0"/>
                    <w:bottom w:val="single" w:color="auto" w:sz="4" w:space="0"/>
                    <w:right w:val="single" w:color="auto" w:sz="4" w:space="0"/>
                  </w:tcBorders>
                  <w:vAlign w:val="center"/>
                </w:tcPr>
                <w:p w14:paraId="72B7B8F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595" w:type="dxa"/>
                  <w:tcBorders>
                    <w:top w:val="single" w:color="auto" w:sz="4" w:space="0"/>
                    <w:left w:val="single" w:color="auto" w:sz="4" w:space="0"/>
                    <w:bottom w:val="single" w:color="auto" w:sz="4" w:space="0"/>
                    <w:right w:val="single" w:color="auto" w:sz="4" w:space="0"/>
                  </w:tcBorders>
                  <w:vAlign w:val="center"/>
                </w:tcPr>
                <w:p w14:paraId="0D403DD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14:paraId="2966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4" w:type="dxa"/>
                  <w:gridSpan w:val="6"/>
                  <w:tcBorders>
                    <w:top w:val="single" w:color="auto" w:sz="4" w:space="0"/>
                    <w:left w:val="single" w:color="auto" w:sz="4" w:space="0"/>
                    <w:bottom w:val="single" w:color="auto" w:sz="4" w:space="0"/>
                    <w:right w:val="single" w:color="auto" w:sz="4" w:space="0"/>
                  </w:tcBorders>
                  <w:vAlign w:val="center"/>
                </w:tcPr>
                <w:p w14:paraId="262D0D5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w:t>
                  </w:r>
                </w:p>
              </w:tc>
            </w:tr>
            <w:tr w14:paraId="6877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E1DF53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3E562E8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1750" w:type="dxa"/>
                  <w:tcBorders>
                    <w:top w:val="single" w:color="auto" w:sz="4" w:space="0"/>
                    <w:left w:val="single" w:color="auto" w:sz="4" w:space="0"/>
                    <w:bottom w:val="single" w:color="auto" w:sz="4" w:space="0"/>
                    <w:right w:val="single" w:color="auto" w:sz="4" w:space="0"/>
                  </w:tcBorders>
                  <w:vAlign w:val="center"/>
                </w:tcPr>
                <w:p w14:paraId="0B42E2A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56-23-5</w:t>
                  </w:r>
                </w:p>
              </w:tc>
              <w:tc>
                <w:tcPr>
                  <w:tcW w:w="1414" w:type="dxa"/>
                  <w:tcBorders>
                    <w:top w:val="single" w:color="auto" w:sz="4" w:space="0"/>
                    <w:left w:val="single" w:color="auto" w:sz="4" w:space="0"/>
                    <w:bottom w:val="single" w:color="auto" w:sz="4" w:space="0"/>
                    <w:right w:val="single" w:color="auto" w:sz="4" w:space="0"/>
                  </w:tcBorders>
                  <w:vAlign w:val="center"/>
                </w:tcPr>
                <w:p w14:paraId="1FFF028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595" w:type="dxa"/>
                  <w:tcBorders>
                    <w:top w:val="single" w:color="auto" w:sz="4" w:space="0"/>
                    <w:left w:val="single" w:color="auto" w:sz="4" w:space="0"/>
                    <w:bottom w:val="single" w:color="auto" w:sz="4" w:space="0"/>
                    <w:right w:val="single" w:color="auto" w:sz="4" w:space="0"/>
                  </w:tcBorders>
                  <w:vAlign w:val="center"/>
                </w:tcPr>
                <w:p w14:paraId="1511D72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r>
            <w:tr w14:paraId="68AD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97EBAB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6DCCD12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1750" w:type="dxa"/>
                  <w:tcBorders>
                    <w:top w:val="single" w:color="auto" w:sz="4" w:space="0"/>
                    <w:left w:val="single" w:color="auto" w:sz="4" w:space="0"/>
                    <w:bottom w:val="single" w:color="auto" w:sz="4" w:space="0"/>
                    <w:right w:val="single" w:color="auto" w:sz="4" w:space="0"/>
                  </w:tcBorders>
                  <w:vAlign w:val="center"/>
                </w:tcPr>
                <w:p w14:paraId="658159A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67-66-3</w:t>
                  </w:r>
                </w:p>
              </w:tc>
              <w:tc>
                <w:tcPr>
                  <w:tcW w:w="1414" w:type="dxa"/>
                  <w:tcBorders>
                    <w:top w:val="single" w:color="auto" w:sz="4" w:space="0"/>
                    <w:left w:val="single" w:color="auto" w:sz="4" w:space="0"/>
                    <w:bottom w:val="single" w:color="auto" w:sz="4" w:space="0"/>
                    <w:right w:val="single" w:color="auto" w:sz="4" w:space="0"/>
                  </w:tcBorders>
                  <w:vAlign w:val="center"/>
                </w:tcPr>
                <w:p w14:paraId="2E593F6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595" w:type="dxa"/>
                  <w:tcBorders>
                    <w:top w:val="single" w:color="auto" w:sz="4" w:space="0"/>
                    <w:left w:val="single" w:color="auto" w:sz="4" w:space="0"/>
                    <w:bottom w:val="single" w:color="auto" w:sz="4" w:space="0"/>
                    <w:right w:val="single" w:color="auto" w:sz="4" w:space="0"/>
                  </w:tcBorders>
                  <w:vAlign w:val="center"/>
                </w:tcPr>
                <w:p w14:paraId="30E1FCD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4166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53831E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67DF588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1750" w:type="dxa"/>
                  <w:tcBorders>
                    <w:top w:val="single" w:color="auto" w:sz="4" w:space="0"/>
                    <w:left w:val="single" w:color="auto" w:sz="4" w:space="0"/>
                    <w:bottom w:val="single" w:color="auto" w:sz="4" w:space="0"/>
                    <w:right w:val="single" w:color="auto" w:sz="4" w:space="0"/>
                  </w:tcBorders>
                  <w:vAlign w:val="center"/>
                </w:tcPr>
                <w:p w14:paraId="7E54760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74-87-3</w:t>
                  </w:r>
                </w:p>
              </w:tc>
              <w:tc>
                <w:tcPr>
                  <w:tcW w:w="1414" w:type="dxa"/>
                  <w:tcBorders>
                    <w:top w:val="single" w:color="auto" w:sz="4" w:space="0"/>
                    <w:left w:val="single" w:color="auto" w:sz="4" w:space="0"/>
                    <w:bottom w:val="single" w:color="auto" w:sz="4" w:space="0"/>
                    <w:right w:val="single" w:color="auto" w:sz="4" w:space="0"/>
                  </w:tcBorders>
                  <w:vAlign w:val="center"/>
                </w:tcPr>
                <w:p w14:paraId="093FF65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1595" w:type="dxa"/>
                  <w:tcBorders>
                    <w:top w:val="single" w:color="auto" w:sz="4" w:space="0"/>
                    <w:left w:val="single" w:color="auto" w:sz="4" w:space="0"/>
                    <w:bottom w:val="single" w:color="auto" w:sz="4" w:space="0"/>
                    <w:right w:val="single" w:color="auto" w:sz="4" w:space="0"/>
                  </w:tcBorders>
                  <w:vAlign w:val="center"/>
                </w:tcPr>
                <w:p w14:paraId="75D9D8F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r>
            <w:tr w14:paraId="0CF4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13247DCD">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79FAD82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1,1-二氯乙烷</w:t>
                  </w:r>
                </w:p>
              </w:tc>
              <w:tc>
                <w:tcPr>
                  <w:tcW w:w="1750" w:type="dxa"/>
                  <w:tcBorders>
                    <w:top w:val="single" w:color="auto" w:sz="4" w:space="0"/>
                    <w:left w:val="single" w:color="auto" w:sz="4" w:space="0"/>
                    <w:bottom w:val="single" w:color="auto" w:sz="4" w:space="0"/>
                    <w:right w:val="single" w:color="auto" w:sz="4" w:space="0"/>
                  </w:tcBorders>
                  <w:vAlign w:val="center"/>
                </w:tcPr>
                <w:p w14:paraId="2743DA6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75-34-3</w:t>
                  </w:r>
                </w:p>
              </w:tc>
              <w:tc>
                <w:tcPr>
                  <w:tcW w:w="1414" w:type="dxa"/>
                  <w:tcBorders>
                    <w:top w:val="single" w:color="auto" w:sz="4" w:space="0"/>
                    <w:left w:val="single" w:color="auto" w:sz="4" w:space="0"/>
                    <w:bottom w:val="single" w:color="auto" w:sz="4" w:space="0"/>
                    <w:right w:val="single" w:color="auto" w:sz="4" w:space="0"/>
                  </w:tcBorders>
                  <w:vAlign w:val="center"/>
                </w:tcPr>
                <w:p w14:paraId="711DF00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595" w:type="dxa"/>
                  <w:tcBorders>
                    <w:top w:val="single" w:color="auto" w:sz="4" w:space="0"/>
                    <w:left w:val="single" w:color="auto" w:sz="4" w:space="0"/>
                    <w:bottom w:val="single" w:color="auto" w:sz="4" w:space="0"/>
                    <w:right w:val="single" w:color="auto" w:sz="4" w:space="0"/>
                  </w:tcBorders>
                  <w:vAlign w:val="center"/>
                </w:tcPr>
                <w:p w14:paraId="248E94F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4FEC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1B991B2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5BB361F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1750" w:type="dxa"/>
                  <w:tcBorders>
                    <w:top w:val="single" w:color="auto" w:sz="4" w:space="0"/>
                    <w:left w:val="single" w:color="auto" w:sz="4" w:space="0"/>
                    <w:bottom w:val="single" w:color="auto" w:sz="4" w:space="0"/>
                    <w:right w:val="single" w:color="auto" w:sz="4" w:space="0"/>
                  </w:tcBorders>
                  <w:vAlign w:val="center"/>
                </w:tcPr>
                <w:p w14:paraId="0BC2F0F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107-06-2</w:t>
                  </w:r>
                </w:p>
              </w:tc>
              <w:tc>
                <w:tcPr>
                  <w:tcW w:w="1414" w:type="dxa"/>
                  <w:tcBorders>
                    <w:top w:val="single" w:color="auto" w:sz="4" w:space="0"/>
                    <w:left w:val="single" w:color="auto" w:sz="4" w:space="0"/>
                    <w:bottom w:val="single" w:color="auto" w:sz="4" w:space="0"/>
                    <w:right w:val="single" w:color="auto" w:sz="4" w:space="0"/>
                  </w:tcBorders>
                  <w:vAlign w:val="center"/>
                </w:tcPr>
                <w:p w14:paraId="50A212B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95" w:type="dxa"/>
                  <w:tcBorders>
                    <w:top w:val="single" w:color="auto" w:sz="4" w:space="0"/>
                    <w:left w:val="single" w:color="auto" w:sz="4" w:space="0"/>
                    <w:bottom w:val="single" w:color="auto" w:sz="4" w:space="0"/>
                    <w:right w:val="single" w:color="auto" w:sz="4" w:space="0"/>
                  </w:tcBorders>
                  <w:vAlign w:val="center"/>
                </w:tcPr>
                <w:p w14:paraId="74B49CB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r>
            <w:tr w14:paraId="4744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143A8A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BAA615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1750" w:type="dxa"/>
                  <w:tcBorders>
                    <w:top w:val="single" w:color="auto" w:sz="4" w:space="0"/>
                    <w:left w:val="single" w:color="auto" w:sz="4" w:space="0"/>
                    <w:bottom w:val="single" w:color="auto" w:sz="4" w:space="0"/>
                    <w:right w:val="single" w:color="auto" w:sz="4" w:space="0"/>
                  </w:tcBorders>
                  <w:vAlign w:val="center"/>
                </w:tcPr>
                <w:p w14:paraId="2266244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75-35-4</w:t>
                  </w:r>
                </w:p>
              </w:tc>
              <w:tc>
                <w:tcPr>
                  <w:tcW w:w="1414" w:type="dxa"/>
                  <w:tcBorders>
                    <w:top w:val="single" w:color="auto" w:sz="4" w:space="0"/>
                    <w:left w:val="single" w:color="auto" w:sz="4" w:space="0"/>
                    <w:bottom w:val="single" w:color="auto" w:sz="4" w:space="0"/>
                    <w:right w:val="single" w:color="auto" w:sz="4" w:space="0"/>
                  </w:tcBorders>
                  <w:vAlign w:val="center"/>
                </w:tcPr>
                <w:p w14:paraId="438B469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1595" w:type="dxa"/>
                  <w:tcBorders>
                    <w:top w:val="single" w:color="auto" w:sz="4" w:space="0"/>
                    <w:left w:val="single" w:color="auto" w:sz="4" w:space="0"/>
                    <w:bottom w:val="single" w:color="auto" w:sz="4" w:space="0"/>
                    <w:right w:val="single" w:color="auto" w:sz="4" w:space="0"/>
                  </w:tcBorders>
                  <w:vAlign w:val="center"/>
                </w:tcPr>
                <w:p w14:paraId="511FAD3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14:paraId="66BE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27173D7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419D161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1750" w:type="dxa"/>
                  <w:tcBorders>
                    <w:top w:val="single" w:color="auto" w:sz="4" w:space="0"/>
                    <w:left w:val="single" w:color="auto" w:sz="4" w:space="0"/>
                    <w:bottom w:val="single" w:color="auto" w:sz="4" w:space="0"/>
                    <w:right w:val="single" w:color="auto" w:sz="4" w:space="0"/>
                  </w:tcBorders>
                  <w:vAlign w:val="center"/>
                </w:tcPr>
                <w:p w14:paraId="4264EB0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156-59-2</w:t>
                  </w:r>
                </w:p>
              </w:tc>
              <w:tc>
                <w:tcPr>
                  <w:tcW w:w="1414" w:type="dxa"/>
                  <w:tcBorders>
                    <w:top w:val="single" w:color="auto" w:sz="4" w:space="0"/>
                    <w:left w:val="single" w:color="auto" w:sz="4" w:space="0"/>
                    <w:bottom w:val="single" w:color="auto" w:sz="4" w:space="0"/>
                    <w:right w:val="single" w:color="auto" w:sz="4" w:space="0"/>
                  </w:tcBorders>
                  <w:vAlign w:val="center"/>
                </w:tcPr>
                <w:p w14:paraId="3499961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w:t>
                  </w:r>
                </w:p>
              </w:tc>
              <w:tc>
                <w:tcPr>
                  <w:tcW w:w="1595" w:type="dxa"/>
                  <w:tcBorders>
                    <w:top w:val="single" w:color="auto" w:sz="4" w:space="0"/>
                    <w:left w:val="single" w:color="auto" w:sz="4" w:space="0"/>
                    <w:bottom w:val="single" w:color="auto" w:sz="4" w:space="0"/>
                    <w:right w:val="single" w:color="auto" w:sz="4" w:space="0"/>
                  </w:tcBorders>
                  <w:vAlign w:val="center"/>
                </w:tcPr>
                <w:p w14:paraId="031F66F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14:paraId="43C1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433390E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C4A891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1750" w:type="dxa"/>
                  <w:tcBorders>
                    <w:top w:val="single" w:color="auto" w:sz="4" w:space="0"/>
                    <w:left w:val="single" w:color="auto" w:sz="4" w:space="0"/>
                    <w:bottom w:val="single" w:color="auto" w:sz="4" w:space="0"/>
                    <w:right w:val="single" w:color="auto" w:sz="4" w:space="0"/>
                  </w:tcBorders>
                  <w:vAlign w:val="center"/>
                </w:tcPr>
                <w:p w14:paraId="427B1B4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156-60-5</w:t>
                  </w:r>
                </w:p>
              </w:tc>
              <w:tc>
                <w:tcPr>
                  <w:tcW w:w="1414" w:type="dxa"/>
                  <w:tcBorders>
                    <w:top w:val="single" w:color="auto" w:sz="4" w:space="0"/>
                    <w:left w:val="single" w:color="auto" w:sz="4" w:space="0"/>
                    <w:bottom w:val="single" w:color="auto" w:sz="4" w:space="0"/>
                    <w:right w:val="single" w:color="auto" w:sz="4" w:space="0"/>
                  </w:tcBorders>
                  <w:vAlign w:val="center"/>
                </w:tcPr>
                <w:p w14:paraId="07D1D19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1595" w:type="dxa"/>
                  <w:tcBorders>
                    <w:top w:val="single" w:color="auto" w:sz="4" w:space="0"/>
                    <w:left w:val="single" w:color="auto" w:sz="4" w:space="0"/>
                    <w:bottom w:val="single" w:color="auto" w:sz="4" w:space="0"/>
                    <w:right w:val="single" w:color="auto" w:sz="4" w:space="0"/>
                  </w:tcBorders>
                  <w:vAlign w:val="center"/>
                </w:tcPr>
                <w:p w14:paraId="1762C8E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w:t>
                  </w:r>
                </w:p>
              </w:tc>
            </w:tr>
            <w:tr w14:paraId="486D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332DDD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3174A91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1750" w:type="dxa"/>
                  <w:tcBorders>
                    <w:top w:val="single" w:color="auto" w:sz="4" w:space="0"/>
                    <w:left w:val="single" w:color="auto" w:sz="4" w:space="0"/>
                    <w:bottom w:val="single" w:color="auto" w:sz="4" w:space="0"/>
                    <w:right w:val="single" w:color="auto" w:sz="4" w:space="0"/>
                  </w:tcBorders>
                  <w:vAlign w:val="center"/>
                </w:tcPr>
                <w:p w14:paraId="6386BA9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75-09-2</w:t>
                  </w:r>
                </w:p>
              </w:tc>
              <w:tc>
                <w:tcPr>
                  <w:tcW w:w="1414" w:type="dxa"/>
                  <w:tcBorders>
                    <w:top w:val="single" w:color="auto" w:sz="4" w:space="0"/>
                    <w:left w:val="single" w:color="auto" w:sz="4" w:space="0"/>
                    <w:bottom w:val="single" w:color="auto" w:sz="4" w:space="0"/>
                    <w:right w:val="single" w:color="auto" w:sz="4" w:space="0"/>
                  </w:tcBorders>
                  <w:vAlign w:val="center"/>
                </w:tcPr>
                <w:p w14:paraId="42B1A67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w:t>
                  </w:r>
                </w:p>
              </w:tc>
              <w:tc>
                <w:tcPr>
                  <w:tcW w:w="1595" w:type="dxa"/>
                  <w:tcBorders>
                    <w:top w:val="single" w:color="auto" w:sz="4" w:space="0"/>
                    <w:left w:val="single" w:color="auto" w:sz="4" w:space="0"/>
                    <w:bottom w:val="single" w:color="auto" w:sz="4" w:space="0"/>
                    <w:right w:val="single" w:color="auto" w:sz="4" w:space="0"/>
                  </w:tcBorders>
                  <w:vAlign w:val="center"/>
                </w:tcPr>
                <w:p w14:paraId="344B50F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14:paraId="029D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3F66B2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F799B3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1750" w:type="dxa"/>
                  <w:tcBorders>
                    <w:top w:val="single" w:color="auto" w:sz="4" w:space="0"/>
                    <w:left w:val="single" w:color="auto" w:sz="4" w:space="0"/>
                    <w:bottom w:val="single" w:color="auto" w:sz="4" w:space="0"/>
                    <w:right w:val="single" w:color="auto" w:sz="4" w:space="0"/>
                  </w:tcBorders>
                  <w:vAlign w:val="center"/>
                </w:tcPr>
                <w:p w14:paraId="4743B9C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78-87-5</w:t>
                  </w:r>
                </w:p>
              </w:tc>
              <w:tc>
                <w:tcPr>
                  <w:tcW w:w="1414" w:type="dxa"/>
                  <w:tcBorders>
                    <w:top w:val="single" w:color="auto" w:sz="4" w:space="0"/>
                    <w:left w:val="single" w:color="auto" w:sz="4" w:space="0"/>
                    <w:bottom w:val="single" w:color="auto" w:sz="4" w:space="0"/>
                    <w:right w:val="single" w:color="auto" w:sz="4" w:space="0"/>
                  </w:tcBorders>
                  <w:vAlign w:val="center"/>
                </w:tcPr>
                <w:p w14:paraId="0C3C229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95" w:type="dxa"/>
                  <w:tcBorders>
                    <w:top w:val="single" w:color="auto" w:sz="4" w:space="0"/>
                    <w:left w:val="single" w:color="auto" w:sz="4" w:space="0"/>
                    <w:bottom w:val="single" w:color="auto" w:sz="4" w:space="0"/>
                    <w:right w:val="single" w:color="auto" w:sz="4" w:space="0"/>
                  </w:tcBorders>
                  <w:vAlign w:val="center"/>
                </w:tcPr>
                <w:p w14:paraId="7A073C3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r>
            <w:tr w14:paraId="34D2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7F14373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4596C65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1750" w:type="dxa"/>
                  <w:tcBorders>
                    <w:top w:val="single" w:color="auto" w:sz="4" w:space="0"/>
                    <w:left w:val="single" w:color="auto" w:sz="4" w:space="0"/>
                    <w:bottom w:val="single" w:color="auto" w:sz="4" w:space="0"/>
                    <w:right w:val="single" w:color="auto" w:sz="4" w:space="0"/>
                  </w:tcBorders>
                  <w:vAlign w:val="center"/>
                </w:tcPr>
                <w:p w14:paraId="44430F1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630-20-6</w:t>
                  </w:r>
                </w:p>
              </w:tc>
              <w:tc>
                <w:tcPr>
                  <w:tcW w:w="1414" w:type="dxa"/>
                  <w:tcBorders>
                    <w:top w:val="single" w:color="auto" w:sz="4" w:space="0"/>
                    <w:left w:val="single" w:color="auto" w:sz="4" w:space="0"/>
                    <w:bottom w:val="single" w:color="auto" w:sz="4" w:space="0"/>
                    <w:right w:val="single" w:color="auto" w:sz="4" w:space="0"/>
                  </w:tcBorders>
                  <w:vAlign w:val="center"/>
                </w:tcPr>
                <w:p w14:paraId="5BA6638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95" w:type="dxa"/>
                  <w:tcBorders>
                    <w:top w:val="single" w:color="auto" w:sz="4" w:space="0"/>
                    <w:left w:val="single" w:color="auto" w:sz="4" w:space="0"/>
                    <w:bottom w:val="single" w:color="auto" w:sz="4" w:space="0"/>
                    <w:right w:val="single" w:color="auto" w:sz="4" w:space="0"/>
                  </w:tcBorders>
                  <w:vAlign w:val="center"/>
                </w:tcPr>
                <w:p w14:paraId="1946310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65D5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1270DF9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F3EA03D">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1750" w:type="dxa"/>
                  <w:tcBorders>
                    <w:top w:val="single" w:color="auto" w:sz="4" w:space="0"/>
                    <w:left w:val="single" w:color="auto" w:sz="4" w:space="0"/>
                    <w:bottom w:val="single" w:color="auto" w:sz="4" w:space="0"/>
                    <w:right w:val="single" w:color="auto" w:sz="4" w:space="0"/>
                  </w:tcBorders>
                  <w:vAlign w:val="center"/>
                </w:tcPr>
                <w:p w14:paraId="70960BB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79-34-5</w:t>
                  </w:r>
                </w:p>
              </w:tc>
              <w:tc>
                <w:tcPr>
                  <w:tcW w:w="1414" w:type="dxa"/>
                  <w:tcBorders>
                    <w:top w:val="single" w:color="auto" w:sz="4" w:space="0"/>
                    <w:left w:val="single" w:color="auto" w:sz="4" w:space="0"/>
                    <w:bottom w:val="single" w:color="auto" w:sz="4" w:space="0"/>
                    <w:right w:val="single" w:color="auto" w:sz="4" w:space="0"/>
                  </w:tcBorders>
                  <w:vAlign w:val="center"/>
                </w:tcPr>
                <w:p w14:paraId="474C573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1595" w:type="dxa"/>
                  <w:tcBorders>
                    <w:top w:val="single" w:color="auto" w:sz="4" w:space="0"/>
                    <w:left w:val="single" w:color="auto" w:sz="4" w:space="0"/>
                    <w:bottom w:val="single" w:color="auto" w:sz="4" w:space="0"/>
                    <w:right w:val="single" w:color="auto" w:sz="4" w:space="0"/>
                  </w:tcBorders>
                  <w:vAlign w:val="center"/>
                </w:tcPr>
                <w:p w14:paraId="56BB2DB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7BE1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C345A7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3F7E963D">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1750" w:type="dxa"/>
                  <w:tcBorders>
                    <w:top w:val="single" w:color="auto" w:sz="4" w:space="0"/>
                    <w:left w:val="single" w:color="auto" w:sz="4" w:space="0"/>
                    <w:bottom w:val="single" w:color="auto" w:sz="4" w:space="0"/>
                    <w:right w:val="single" w:color="auto" w:sz="4" w:space="0"/>
                  </w:tcBorders>
                  <w:vAlign w:val="center"/>
                </w:tcPr>
                <w:p w14:paraId="76567F4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127-18-4</w:t>
                  </w:r>
                </w:p>
              </w:tc>
              <w:tc>
                <w:tcPr>
                  <w:tcW w:w="1414" w:type="dxa"/>
                  <w:tcBorders>
                    <w:top w:val="single" w:color="auto" w:sz="4" w:space="0"/>
                    <w:left w:val="single" w:color="auto" w:sz="4" w:space="0"/>
                    <w:bottom w:val="single" w:color="auto" w:sz="4" w:space="0"/>
                    <w:right w:val="single" w:color="auto" w:sz="4" w:space="0"/>
                  </w:tcBorders>
                  <w:vAlign w:val="center"/>
                </w:tcPr>
                <w:p w14:paraId="6F5E57F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1595" w:type="dxa"/>
                  <w:tcBorders>
                    <w:top w:val="single" w:color="auto" w:sz="4" w:space="0"/>
                    <w:left w:val="single" w:color="auto" w:sz="4" w:space="0"/>
                    <w:bottom w:val="single" w:color="auto" w:sz="4" w:space="0"/>
                    <w:right w:val="single" w:color="auto" w:sz="4" w:space="0"/>
                  </w:tcBorders>
                  <w:vAlign w:val="center"/>
                </w:tcPr>
                <w:p w14:paraId="11621C3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183</w:t>
                  </w:r>
                </w:p>
              </w:tc>
            </w:tr>
            <w:tr w14:paraId="6C35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0908429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1CEF4B5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1750" w:type="dxa"/>
                  <w:tcBorders>
                    <w:top w:val="single" w:color="auto" w:sz="4" w:space="0"/>
                    <w:left w:val="single" w:color="auto" w:sz="4" w:space="0"/>
                    <w:bottom w:val="single" w:color="auto" w:sz="4" w:space="0"/>
                    <w:right w:val="single" w:color="auto" w:sz="4" w:space="0"/>
                  </w:tcBorders>
                  <w:vAlign w:val="center"/>
                </w:tcPr>
                <w:p w14:paraId="2329E9B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71-55-6</w:t>
                  </w:r>
                </w:p>
              </w:tc>
              <w:tc>
                <w:tcPr>
                  <w:tcW w:w="1414" w:type="dxa"/>
                  <w:tcBorders>
                    <w:top w:val="single" w:color="auto" w:sz="4" w:space="0"/>
                    <w:left w:val="single" w:color="auto" w:sz="4" w:space="0"/>
                    <w:bottom w:val="single" w:color="auto" w:sz="4" w:space="0"/>
                    <w:right w:val="single" w:color="auto" w:sz="4" w:space="0"/>
                  </w:tcBorders>
                  <w:vAlign w:val="center"/>
                </w:tcPr>
                <w:p w14:paraId="19F842FD">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1595" w:type="dxa"/>
                  <w:tcBorders>
                    <w:top w:val="single" w:color="auto" w:sz="4" w:space="0"/>
                    <w:left w:val="single" w:color="auto" w:sz="4" w:space="0"/>
                    <w:bottom w:val="single" w:color="auto" w:sz="4" w:space="0"/>
                    <w:right w:val="single" w:color="auto" w:sz="4" w:space="0"/>
                  </w:tcBorders>
                  <w:vAlign w:val="center"/>
                </w:tcPr>
                <w:p w14:paraId="642EA32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r>
            <w:tr w14:paraId="14D8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739717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1C1B88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1750" w:type="dxa"/>
                  <w:tcBorders>
                    <w:top w:val="single" w:color="auto" w:sz="4" w:space="0"/>
                    <w:left w:val="single" w:color="auto" w:sz="4" w:space="0"/>
                    <w:bottom w:val="single" w:color="auto" w:sz="4" w:space="0"/>
                    <w:right w:val="single" w:color="auto" w:sz="4" w:space="0"/>
                  </w:tcBorders>
                  <w:vAlign w:val="center"/>
                </w:tcPr>
                <w:p w14:paraId="1FD0903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79-00-5</w:t>
                  </w:r>
                </w:p>
              </w:tc>
              <w:tc>
                <w:tcPr>
                  <w:tcW w:w="1414" w:type="dxa"/>
                  <w:tcBorders>
                    <w:top w:val="single" w:color="auto" w:sz="4" w:space="0"/>
                    <w:left w:val="single" w:color="auto" w:sz="4" w:space="0"/>
                    <w:bottom w:val="single" w:color="auto" w:sz="4" w:space="0"/>
                    <w:right w:val="single" w:color="auto" w:sz="4" w:space="0"/>
                  </w:tcBorders>
                  <w:vAlign w:val="center"/>
                </w:tcPr>
                <w:p w14:paraId="1F38ABC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595" w:type="dxa"/>
                  <w:tcBorders>
                    <w:top w:val="single" w:color="auto" w:sz="4" w:space="0"/>
                    <w:left w:val="single" w:color="auto" w:sz="4" w:space="0"/>
                    <w:bottom w:val="single" w:color="auto" w:sz="4" w:space="0"/>
                    <w:right w:val="single" w:color="auto" w:sz="4" w:space="0"/>
                  </w:tcBorders>
                  <w:vAlign w:val="center"/>
                </w:tcPr>
                <w:p w14:paraId="5C21B99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14:paraId="27EE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F43F5C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4D37EEF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三氯乙烷</w:t>
                  </w:r>
                </w:p>
              </w:tc>
              <w:tc>
                <w:tcPr>
                  <w:tcW w:w="1750" w:type="dxa"/>
                  <w:tcBorders>
                    <w:top w:val="single" w:color="auto" w:sz="4" w:space="0"/>
                    <w:left w:val="single" w:color="auto" w:sz="4" w:space="0"/>
                    <w:bottom w:val="single" w:color="auto" w:sz="4" w:space="0"/>
                    <w:right w:val="single" w:color="auto" w:sz="4" w:space="0"/>
                  </w:tcBorders>
                  <w:vAlign w:val="center"/>
                </w:tcPr>
                <w:p w14:paraId="75D74B4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79-01-6</w:t>
                  </w:r>
                </w:p>
              </w:tc>
              <w:tc>
                <w:tcPr>
                  <w:tcW w:w="1414" w:type="dxa"/>
                  <w:tcBorders>
                    <w:top w:val="single" w:color="auto" w:sz="4" w:space="0"/>
                    <w:left w:val="single" w:color="auto" w:sz="4" w:space="0"/>
                    <w:bottom w:val="single" w:color="auto" w:sz="4" w:space="0"/>
                    <w:right w:val="single" w:color="auto" w:sz="4" w:space="0"/>
                  </w:tcBorders>
                  <w:vAlign w:val="center"/>
                </w:tcPr>
                <w:p w14:paraId="5F6EC81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595" w:type="dxa"/>
                  <w:tcBorders>
                    <w:top w:val="single" w:color="auto" w:sz="4" w:space="0"/>
                    <w:left w:val="single" w:color="auto" w:sz="4" w:space="0"/>
                    <w:bottom w:val="single" w:color="auto" w:sz="4" w:space="0"/>
                    <w:right w:val="single" w:color="auto" w:sz="4" w:space="0"/>
                  </w:tcBorders>
                  <w:vAlign w:val="center"/>
                </w:tcPr>
                <w:p w14:paraId="37FE0AB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14:paraId="1768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71884ED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1544D8C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1750" w:type="dxa"/>
                  <w:tcBorders>
                    <w:top w:val="single" w:color="auto" w:sz="4" w:space="0"/>
                    <w:left w:val="single" w:color="auto" w:sz="4" w:space="0"/>
                    <w:bottom w:val="single" w:color="auto" w:sz="4" w:space="0"/>
                    <w:right w:val="single" w:color="auto" w:sz="4" w:space="0"/>
                  </w:tcBorders>
                  <w:vAlign w:val="center"/>
                </w:tcPr>
                <w:p w14:paraId="0D3C57B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96-18-4</w:t>
                  </w:r>
                </w:p>
              </w:tc>
              <w:tc>
                <w:tcPr>
                  <w:tcW w:w="1414" w:type="dxa"/>
                  <w:tcBorders>
                    <w:top w:val="single" w:color="auto" w:sz="4" w:space="0"/>
                    <w:left w:val="single" w:color="auto" w:sz="4" w:space="0"/>
                    <w:bottom w:val="single" w:color="auto" w:sz="4" w:space="0"/>
                    <w:right w:val="single" w:color="auto" w:sz="4" w:space="0"/>
                  </w:tcBorders>
                  <w:vAlign w:val="center"/>
                </w:tcPr>
                <w:p w14:paraId="5EFE5ED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95" w:type="dxa"/>
                  <w:tcBorders>
                    <w:top w:val="single" w:color="auto" w:sz="4" w:space="0"/>
                    <w:left w:val="single" w:color="auto" w:sz="4" w:space="0"/>
                    <w:bottom w:val="single" w:color="auto" w:sz="4" w:space="0"/>
                    <w:right w:val="single" w:color="auto" w:sz="4" w:space="0"/>
                  </w:tcBorders>
                  <w:vAlign w:val="center"/>
                </w:tcPr>
                <w:p w14:paraId="5F889FD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r>
            <w:tr w14:paraId="0D28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2C1175D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34E267B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1750" w:type="dxa"/>
                  <w:tcBorders>
                    <w:top w:val="single" w:color="auto" w:sz="4" w:space="0"/>
                    <w:left w:val="single" w:color="auto" w:sz="4" w:space="0"/>
                    <w:bottom w:val="single" w:color="auto" w:sz="4" w:space="0"/>
                    <w:right w:val="single" w:color="auto" w:sz="4" w:space="0"/>
                  </w:tcBorders>
                  <w:vAlign w:val="center"/>
                </w:tcPr>
                <w:p w14:paraId="6CB18A3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75-01-4</w:t>
                  </w:r>
                </w:p>
              </w:tc>
              <w:tc>
                <w:tcPr>
                  <w:tcW w:w="1414" w:type="dxa"/>
                  <w:tcBorders>
                    <w:top w:val="single" w:color="auto" w:sz="4" w:space="0"/>
                    <w:left w:val="single" w:color="auto" w:sz="4" w:space="0"/>
                    <w:bottom w:val="single" w:color="auto" w:sz="4" w:space="0"/>
                    <w:right w:val="single" w:color="auto" w:sz="4" w:space="0"/>
                  </w:tcBorders>
                  <w:vAlign w:val="center"/>
                </w:tcPr>
                <w:p w14:paraId="720FEBF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w:t>
                  </w:r>
                </w:p>
              </w:tc>
              <w:tc>
                <w:tcPr>
                  <w:tcW w:w="1595" w:type="dxa"/>
                  <w:tcBorders>
                    <w:top w:val="single" w:color="auto" w:sz="4" w:space="0"/>
                    <w:left w:val="single" w:color="auto" w:sz="4" w:space="0"/>
                    <w:bottom w:val="single" w:color="auto" w:sz="4" w:space="0"/>
                    <w:right w:val="single" w:color="auto" w:sz="4" w:space="0"/>
                  </w:tcBorders>
                  <w:vAlign w:val="center"/>
                </w:tcPr>
                <w:p w14:paraId="67DC655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r>
            <w:tr w14:paraId="7D16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B09C9E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19352A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1750" w:type="dxa"/>
                  <w:tcBorders>
                    <w:top w:val="single" w:color="auto" w:sz="4" w:space="0"/>
                    <w:left w:val="single" w:color="auto" w:sz="4" w:space="0"/>
                    <w:bottom w:val="single" w:color="auto" w:sz="4" w:space="0"/>
                    <w:right w:val="single" w:color="auto" w:sz="4" w:space="0"/>
                  </w:tcBorders>
                  <w:vAlign w:val="center"/>
                </w:tcPr>
                <w:p w14:paraId="2BD678D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71-43-2</w:t>
                  </w:r>
                </w:p>
              </w:tc>
              <w:tc>
                <w:tcPr>
                  <w:tcW w:w="1414" w:type="dxa"/>
                  <w:tcBorders>
                    <w:top w:val="single" w:color="auto" w:sz="4" w:space="0"/>
                    <w:left w:val="single" w:color="auto" w:sz="4" w:space="0"/>
                    <w:bottom w:val="single" w:color="auto" w:sz="4" w:space="0"/>
                    <w:right w:val="single" w:color="auto" w:sz="4" w:space="0"/>
                  </w:tcBorders>
                  <w:vAlign w:val="center"/>
                </w:tcPr>
                <w:p w14:paraId="5DE644A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14:paraId="65E4296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14:paraId="3091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FE20B2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7DD4006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1750" w:type="dxa"/>
                  <w:tcBorders>
                    <w:top w:val="single" w:color="auto" w:sz="4" w:space="0"/>
                    <w:left w:val="single" w:color="auto" w:sz="4" w:space="0"/>
                    <w:bottom w:val="single" w:color="auto" w:sz="4" w:space="0"/>
                    <w:right w:val="single" w:color="auto" w:sz="4" w:space="0"/>
                  </w:tcBorders>
                  <w:vAlign w:val="center"/>
                </w:tcPr>
                <w:p w14:paraId="491FA88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108-90-7</w:t>
                  </w:r>
                </w:p>
              </w:tc>
              <w:tc>
                <w:tcPr>
                  <w:tcW w:w="1414" w:type="dxa"/>
                  <w:tcBorders>
                    <w:top w:val="single" w:color="auto" w:sz="4" w:space="0"/>
                    <w:left w:val="single" w:color="auto" w:sz="4" w:space="0"/>
                    <w:bottom w:val="single" w:color="auto" w:sz="4" w:space="0"/>
                    <w:right w:val="single" w:color="auto" w:sz="4" w:space="0"/>
                  </w:tcBorders>
                  <w:vAlign w:val="center"/>
                </w:tcPr>
                <w:p w14:paraId="5E91703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w:t>
                  </w:r>
                </w:p>
              </w:tc>
              <w:tc>
                <w:tcPr>
                  <w:tcW w:w="1595" w:type="dxa"/>
                  <w:tcBorders>
                    <w:top w:val="single" w:color="auto" w:sz="4" w:space="0"/>
                    <w:left w:val="single" w:color="auto" w:sz="4" w:space="0"/>
                    <w:bottom w:val="single" w:color="auto" w:sz="4" w:space="0"/>
                    <w:right w:val="single" w:color="auto" w:sz="4" w:space="0"/>
                  </w:tcBorders>
                  <w:vAlign w:val="center"/>
                </w:tcPr>
                <w:p w14:paraId="0C8A4BF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r w14:paraId="13C7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4755BD7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3F53538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1750" w:type="dxa"/>
                  <w:tcBorders>
                    <w:top w:val="single" w:color="auto" w:sz="4" w:space="0"/>
                    <w:left w:val="single" w:color="auto" w:sz="4" w:space="0"/>
                    <w:bottom w:val="single" w:color="auto" w:sz="4" w:space="0"/>
                    <w:right w:val="single" w:color="auto" w:sz="4" w:space="0"/>
                  </w:tcBorders>
                  <w:vAlign w:val="center"/>
                </w:tcPr>
                <w:p w14:paraId="7AB84A3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95-50-1</w:t>
                  </w:r>
                </w:p>
              </w:tc>
              <w:tc>
                <w:tcPr>
                  <w:tcW w:w="1414" w:type="dxa"/>
                  <w:tcBorders>
                    <w:top w:val="single" w:color="auto" w:sz="4" w:space="0"/>
                    <w:left w:val="single" w:color="auto" w:sz="4" w:space="0"/>
                    <w:bottom w:val="single" w:color="auto" w:sz="4" w:space="0"/>
                    <w:right w:val="single" w:color="auto" w:sz="4" w:space="0"/>
                  </w:tcBorders>
                  <w:vAlign w:val="center"/>
                </w:tcPr>
                <w:p w14:paraId="0B03261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1595" w:type="dxa"/>
                  <w:tcBorders>
                    <w:top w:val="single" w:color="auto" w:sz="4" w:space="0"/>
                    <w:left w:val="single" w:color="auto" w:sz="4" w:space="0"/>
                    <w:bottom w:val="single" w:color="auto" w:sz="4" w:space="0"/>
                    <w:right w:val="single" w:color="auto" w:sz="4" w:space="0"/>
                  </w:tcBorders>
                  <w:vAlign w:val="center"/>
                </w:tcPr>
                <w:p w14:paraId="12D86C8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r>
            <w:tr w14:paraId="5E7D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E5C399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6319989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1750" w:type="dxa"/>
                  <w:tcBorders>
                    <w:top w:val="single" w:color="auto" w:sz="4" w:space="0"/>
                    <w:left w:val="single" w:color="auto" w:sz="4" w:space="0"/>
                    <w:bottom w:val="single" w:color="auto" w:sz="4" w:space="0"/>
                    <w:right w:val="single" w:color="auto" w:sz="4" w:space="0"/>
                  </w:tcBorders>
                  <w:vAlign w:val="center"/>
                </w:tcPr>
                <w:p w14:paraId="67FEB65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106-46-7</w:t>
                  </w:r>
                </w:p>
              </w:tc>
              <w:tc>
                <w:tcPr>
                  <w:tcW w:w="1414" w:type="dxa"/>
                  <w:tcBorders>
                    <w:top w:val="single" w:color="auto" w:sz="4" w:space="0"/>
                    <w:left w:val="single" w:color="auto" w:sz="4" w:space="0"/>
                    <w:bottom w:val="single" w:color="auto" w:sz="4" w:space="0"/>
                    <w:right w:val="single" w:color="auto" w:sz="4" w:space="0"/>
                  </w:tcBorders>
                  <w:vAlign w:val="center"/>
                </w:tcPr>
                <w:p w14:paraId="31A5DBE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595" w:type="dxa"/>
                  <w:tcBorders>
                    <w:top w:val="single" w:color="auto" w:sz="4" w:space="0"/>
                    <w:left w:val="single" w:color="auto" w:sz="4" w:space="0"/>
                    <w:bottom w:val="single" w:color="auto" w:sz="4" w:space="0"/>
                    <w:right w:val="single" w:color="auto" w:sz="4" w:space="0"/>
                  </w:tcBorders>
                  <w:vAlign w:val="center"/>
                </w:tcPr>
                <w:p w14:paraId="42F224E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14:paraId="597E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14295D3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11EADEE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1750" w:type="dxa"/>
                  <w:tcBorders>
                    <w:top w:val="single" w:color="auto" w:sz="4" w:space="0"/>
                    <w:left w:val="single" w:color="auto" w:sz="4" w:space="0"/>
                    <w:bottom w:val="single" w:color="auto" w:sz="4" w:space="0"/>
                    <w:right w:val="single" w:color="auto" w:sz="4" w:space="0"/>
                  </w:tcBorders>
                  <w:vAlign w:val="center"/>
                </w:tcPr>
                <w:p w14:paraId="7A76136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100-41-4</w:t>
                  </w:r>
                </w:p>
              </w:tc>
              <w:tc>
                <w:tcPr>
                  <w:tcW w:w="1414" w:type="dxa"/>
                  <w:tcBorders>
                    <w:top w:val="single" w:color="auto" w:sz="4" w:space="0"/>
                    <w:left w:val="single" w:color="auto" w:sz="4" w:space="0"/>
                    <w:bottom w:val="single" w:color="auto" w:sz="4" w:space="0"/>
                    <w:right w:val="single" w:color="auto" w:sz="4" w:space="0"/>
                  </w:tcBorders>
                  <w:vAlign w:val="center"/>
                </w:tcPr>
                <w:p w14:paraId="1ED3BEF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1595" w:type="dxa"/>
                  <w:tcBorders>
                    <w:top w:val="single" w:color="auto" w:sz="4" w:space="0"/>
                    <w:left w:val="single" w:color="auto" w:sz="4" w:space="0"/>
                    <w:bottom w:val="single" w:color="auto" w:sz="4" w:space="0"/>
                    <w:right w:val="single" w:color="auto" w:sz="4" w:space="0"/>
                  </w:tcBorders>
                  <w:vAlign w:val="center"/>
                </w:tcPr>
                <w:p w14:paraId="3C530F4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w:t>
                  </w:r>
                </w:p>
              </w:tc>
            </w:tr>
            <w:tr w14:paraId="0016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7478F2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6F4BE88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1750" w:type="dxa"/>
                  <w:tcBorders>
                    <w:top w:val="single" w:color="auto" w:sz="4" w:space="0"/>
                    <w:left w:val="single" w:color="auto" w:sz="4" w:space="0"/>
                    <w:bottom w:val="single" w:color="auto" w:sz="4" w:space="0"/>
                    <w:right w:val="single" w:color="auto" w:sz="4" w:space="0"/>
                  </w:tcBorders>
                  <w:vAlign w:val="center"/>
                </w:tcPr>
                <w:p w14:paraId="4E23FAE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100-42-5</w:t>
                  </w:r>
                </w:p>
              </w:tc>
              <w:tc>
                <w:tcPr>
                  <w:tcW w:w="1414" w:type="dxa"/>
                  <w:tcBorders>
                    <w:top w:val="single" w:color="auto" w:sz="4" w:space="0"/>
                    <w:left w:val="single" w:color="auto" w:sz="4" w:space="0"/>
                    <w:bottom w:val="single" w:color="auto" w:sz="4" w:space="0"/>
                    <w:right w:val="single" w:color="auto" w:sz="4" w:space="0"/>
                  </w:tcBorders>
                  <w:vAlign w:val="center"/>
                </w:tcPr>
                <w:p w14:paraId="555C450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c>
                <w:tcPr>
                  <w:tcW w:w="1595" w:type="dxa"/>
                  <w:tcBorders>
                    <w:top w:val="single" w:color="auto" w:sz="4" w:space="0"/>
                    <w:left w:val="single" w:color="auto" w:sz="4" w:space="0"/>
                    <w:bottom w:val="single" w:color="auto" w:sz="4" w:space="0"/>
                    <w:right w:val="single" w:color="auto" w:sz="4" w:space="0"/>
                  </w:tcBorders>
                  <w:vAlign w:val="center"/>
                </w:tcPr>
                <w:p w14:paraId="4FD02B3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r>
            <w:tr w14:paraId="231D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7022FAC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8FAE7F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750" w:type="dxa"/>
                  <w:tcBorders>
                    <w:top w:val="single" w:color="auto" w:sz="4" w:space="0"/>
                    <w:left w:val="single" w:color="auto" w:sz="4" w:space="0"/>
                    <w:bottom w:val="single" w:color="auto" w:sz="4" w:space="0"/>
                    <w:right w:val="single" w:color="auto" w:sz="4" w:space="0"/>
                  </w:tcBorders>
                  <w:vAlign w:val="center"/>
                </w:tcPr>
                <w:p w14:paraId="1CA240E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108-88-3</w:t>
                  </w:r>
                </w:p>
              </w:tc>
              <w:tc>
                <w:tcPr>
                  <w:tcW w:w="1414" w:type="dxa"/>
                  <w:tcBorders>
                    <w:top w:val="single" w:color="auto" w:sz="4" w:space="0"/>
                    <w:left w:val="single" w:color="auto" w:sz="4" w:space="0"/>
                    <w:bottom w:val="single" w:color="auto" w:sz="4" w:space="0"/>
                    <w:right w:val="single" w:color="auto" w:sz="4" w:space="0"/>
                  </w:tcBorders>
                  <w:vAlign w:val="center"/>
                </w:tcPr>
                <w:p w14:paraId="17A0CB0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c>
                <w:tcPr>
                  <w:tcW w:w="1595" w:type="dxa"/>
                  <w:tcBorders>
                    <w:top w:val="single" w:color="auto" w:sz="4" w:space="0"/>
                    <w:left w:val="single" w:color="auto" w:sz="4" w:space="0"/>
                    <w:bottom w:val="single" w:color="auto" w:sz="4" w:space="0"/>
                    <w:right w:val="single" w:color="auto" w:sz="4" w:space="0"/>
                  </w:tcBorders>
                  <w:vAlign w:val="center"/>
                </w:tcPr>
                <w:p w14:paraId="0E991DE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r>
            <w:tr w14:paraId="0D31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862E68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453197E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间二甲苯+对二甲苯</w:t>
                  </w:r>
                </w:p>
              </w:tc>
              <w:tc>
                <w:tcPr>
                  <w:tcW w:w="1750" w:type="dxa"/>
                  <w:tcBorders>
                    <w:top w:val="single" w:color="auto" w:sz="4" w:space="0"/>
                    <w:left w:val="single" w:color="auto" w:sz="4" w:space="0"/>
                    <w:bottom w:val="single" w:color="auto" w:sz="4" w:space="0"/>
                    <w:right w:val="single" w:color="auto" w:sz="4" w:space="0"/>
                  </w:tcBorders>
                  <w:vAlign w:val="center"/>
                </w:tcPr>
                <w:p w14:paraId="1A9DB69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108-38-3，</w:t>
                  </w:r>
                </w:p>
                <w:p w14:paraId="2F7181E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106-42-3</w:t>
                  </w:r>
                </w:p>
              </w:tc>
              <w:tc>
                <w:tcPr>
                  <w:tcW w:w="1414" w:type="dxa"/>
                  <w:tcBorders>
                    <w:top w:val="single" w:color="auto" w:sz="4" w:space="0"/>
                    <w:left w:val="single" w:color="auto" w:sz="4" w:space="0"/>
                    <w:bottom w:val="single" w:color="auto" w:sz="4" w:space="0"/>
                    <w:right w:val="single" w:color="auto" w:sz="4" w:space="0"/>
                  </w:tcBorders>
                  <w:vAlign w:val="center"/>
                </w:tcPr>
                <w:p w14:paraId="3090B78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c>
                <w:tcPr>
                  <w:tcW w:w="1595" w:type="dxa"/>
                  <w:tcBorders>
                    <w:top w:val="single" w:color="auto" w:sz="4" w:space="0"/>
                    <w:left w:val="single" w:color="auto" w:sz="4" w:space="0"/>
                    <w:bottom w:val="single" w:color="auto" w:sz="4" w:space="0"/>
                    <w:right w:val="single" w:color="auto" w:sz="4" w:space="0"/>
                  </w:tcBorders>
                  <w:vAlign w:val="center"/>
                </w:tcPr>
                <w:p w14:paraId="3ADEB77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r>
            <w:tr w14:paraId="6513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FB829F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172F8AE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1750" w:type="dxa"/>
                  <w:tcBorders>
                    <w:top w:val="single" w:color="auto" w:sz="4" w:space="0"/>
                    <w:left w:val="single" w:color="auto" w:sz="4" w:space="0"/>
                    <w:bottom w:val="single" w:color="auto" w:sz="4" w:space="0"/>
                    <w:right w:val="single" w:color="auto" w:sz="4" w:space="0"/>
                  </w:tcBorders>
                  <w:vAlign w:val="center"/>
                </w:tcPr>
                <w:p w14:paraId="15F192E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95-47-6</w:t>
                  </w:r>
                </w:p>
              </w:tc>
              <w:tc>
                <w:tcPr>
                  <w:tcW w:w="1414" w:type="dxa"/>
                  <w:tcBorders>
                    <w:top w:val="single" w:color="auto" w:sz="4" w:space="0"/>
                    <w:left w:val="single" w:color="auto" w:sz="4" w:space="0"/>
                    <w:bottom w:val="single" w:color="auto" w:sz="4" w:space="0"/>
                    <w:right w:val="single" w:color="auto" w:sz="4" w:space="0"/>
                  </w:tcBorders>
                  <w:vAlign w:val="center"/>
                </w:tcPr>
                <w:p w14:paraId="6F9D2B2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1595" w:type="dxa"/>
                  <w:tcBorders>
                    <w:top w:val="single" w:color="auto" w:sz="4" w:space="0"/>
                    <w:left w:val="single" w:color="auto" w:sz="4" w:space="0"/>
                    <w:bottom w:val="single" w:color="auto" w:sz="4" w:space="0"/>
                    <w:right w:val="single" w:color="auto" w:sz="4" w:space="0"/>
                  </w:tcBorders>
                  <w:vAlign w:val="center"/>
                </w:tcPr>
                <w:p w14:paraId="7B8CD6A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r>
            <w:tr w14:paraId="56A3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4" w:type="dxa"/>
                  <w:gridSpan w:val="6"/>
                  <w:tcBorders>
                    <w:top w:val="single" w:color="auto" w:sz="4" w:space="0"/>
                    <w:left w:val="single" w:color="auto" w:sz="4" w:space="0"/>
                    <w:bottom w:val="single" w:color="auto" w:sz="4" w:space="0"/>
                    <w:right w:val="single" w:color="auto" w:sz="4" w:space="0"/>
                  </w:tcBorders>
                  <w:vAlign w:val="center"/>
                </w:tcPr>
                <w:p w14:paraId="37F1E9C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半挥发性有机物</w:t>
                  </w:r>
                </w:p>
              </w:tc>
            </w:tr>
            <w:tr w14:paraId="5784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86C780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5446A09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1750" w:type="dxa"/>
                  <w:tcBorders>
                    <w:top w:val="single" w:color="auto" w:sz="4" w:space="0"/>
                    <w:left w:val="single" w:color="auto" w:sz="4" w:space="0"/>
                    <w:bottom w:val="single" w:color="auto" w:sz="4" w:space="0"/>
                    <w:right w:val="single" w:color="auto" w:sz="4" w:space="0"/>
                  </w:tcBorders>
                  <w:vAlign w:val="center"/>
                </w:tcPr>
                <w:p w14:paraId="348B326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98-95-3</w:t>
                  </w:r>
                </w:p>
              </w:tc>
              <w:tc>
                <w:tcPr>
                  <w:tcW w:w="1414" w:type="dxa"/>
                  <w:tcBorders>
                    <w:top w:val="single" w:color="auto" w:sz="4" w:space="0"/>
                    <w:left w:val="single" w:color="auto" w:sz="4" w:space="0"/>
                    <w:bottom w:val="single" w:color="auto" w:sz="4" w:space="0"/>
                    <w:right w:val="single" w:color="auto" w:sz="4" w:space="0"/>
                  </w:tcBorders>
                  <w:vAlign w:val="center"/>
                </w:tcPr>
                <w:p w14:paraId="5B19245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1595" w:type="dxa"/>
                  <w:tcBorders>
                    <w:top w:val="single" w:color="auto" w:sz="4" w:space="0"/>
                    <w:left w:val="single" w:color="auto" w:sz="4" w:space="0"/>
                    <w:bottom w:val="single" w:color="auto" w:sz="4" w:space="0"/>
                    <w:right w:val="single" w:color="auto" w:sz="4" w:space="0"/>
                  </w:tcBorders>
                  <w:vAlign w:val="center"/>
                </w:tcPr>
                <w:p w14:paraId="6E94A4D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r>
            <w:tr w14:paraId="0C20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06382661">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3325160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1750" w:type="dxa"/>
                  <w:tcBorders>
                    <w:top w:val="single" w:color="auto" w:sz="4" w:space="0"/>
                    <w:left w:val="single" w:color="auto" w:sz="4" w:space="0"/>
                    <w:bottom w:val="single" w:color="auto" w:sz="4" w:space="0"/>
                    <w:right w:val="single" w:color="auto" w:sz="4" w:space="0"/>
                  </w:tcBorders>
                  <w:vAlign w:val="center"/>
                </w:tcPr>
                <w:p w14:paraId="30CAECA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62-53-3</w:t>
                  </w:r>
                </w:p>
              </w:tc>
              <w:tc>
                <w:tcPr>
                  <w:tcW w:w="1414" w:type="dxa"/>
                  <w:tcBorders>
                    <w:top w:val="single" w:color="auto" w:sz="4" w:space="0"/>
                    <w:left w:val="single" w:color="auto" w:sz="4" w:space="0"/>
                    <w:bottom w:val="single" w:color="auto" w:sz="4" w:space="0"/>
                    <w:right w:val="single" w:color="auto" w:sz="4" w:space="0"/>
                  </w:tcBorders>
                  <w:vAlign w:val="center"/>
                </w:tcPr>
                <w:p w14:paraId="73E4870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1595" w:type="dxa"/>
                  <w:tcBorders>
                    <w:top w:val="single" w:color="auto" w:sz="4" w:space="0"/>
                    <w:left w:val="single" w:color="auto" w:sz="4" w:space="0"/>
                    <w:bottom w:val="single" w:color="auto" w:sz="4" w:space="0"/>
                    <w:right w:val="single" w:color="auto" w:sz="4" w:space="0"/>
                  </w:tcBorders>
                  <w:vAlign w:val="center"/>
                </w:tcPr>
                <w:p w14:paraId="211DB7C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663</w:t>
                  </w:r>
                </w:p>
              </w:tc>
            </w:tr>
            <w:tr w14:paraId="4809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5E3B9B2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FBC855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2-氯酚</w:t>
                  </w:r>
                </w:p>
              </w:tc>
              <w:tc>
                <w:tcPr>
                  <w:tcW w:w="1750" w:type="dxa"/>
                  <w:tcBorders>
                    <w:top w:val="single" w:color="auto" w:sz="4" w:space="0"/>
                    <w:left w:val="single" w:color="auto" w:sz="4" w:space="0"/>
                    <w:bottom w:val="single" w:color="auto" w:sz="4" w:space="0"/>
                    <w:right w:val="single" w:color="auto" w:sz="4" w:space="0"/>
                  </w:tcBorders>
                  <w:vAlign w:val="center"/>
                </w:tcPr>
                <w:p w14:paraId="6E53D70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95-57-8</w:t>
                  </w:r>
                </w:p>
              </w:tc>
              <w:tc>
                <w:tcPr>
                  <w:tcW w:w="1414" w:type="dxa"/>
                  <w:tcBorders>
                    <w:top w:val="single" w:color="auto" w:sz="4" w:space="0"/>
                    <w:left w:val="single" w:color="auto" w:sz="4" w:space="0"/>
                    <w:bottom w:val="single" w:color="auto" w:sz="4" w:space="0"/>
                    <w:right w:val="single" w:color="auto" w:sz="4" w:space="0"/>
                  </w:tcBorders>
                  <w:vAlign w:val="center"/>
                </w:tcPr>
                <w:p w14:paraId="216C4C5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2256</w:t>
                  </w:r>
                </w:p>
              </w:tc>
              <w:tc>
                <w:tcPr>
                  <w:tcW w:w="1595" w:type="dxa"/>
                  <w:tcBorders>
                    <w:top w:val="single" w:color="auto" w:sz="4" w:space="0"/>
                    <w:left w:val="single" w:color="auto" w:sz="4" w:space="0"/>
                    <w:bottom w:val="single" w:color="auto" w:sz="4" w:space="0"/>
                    <w:right w:val="single" w:color="auto" w:sz="4" w:space="0"/>
                  </w:tcBorders>
                  <w:vAlign w:val="center"/>
                </w:tcPr>
                <w:p w14:paraId="52BA16C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w:t>
                  </w:r>
                </w:p>
              </w:tc>
            </w:tr>
            <w:tr w14:paraId="2432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03A528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487CA26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苯并[a]蒽</w:t>
                  </w:r>
                </w:p>
              </w:tc>
              <w:tc>
                <w:tcPr>
                  <w:tcW w:w="1750" w:type="dxa"/>
                  <w:tcBorders>
                    <w:top w:val="single" w:color="auto" w:sz="4" w:space="0"/>
                    <w:left w:val="single" w:color="auto" w:sz="4" w:space="0"/>
                    <w:bottom w:val="single" w:color="auto" w:sz="4" w:space="0"/>
                    <w:right w:val="single" w:color="auto" w:sz="4" w:space="0"/>
                  </w:tcBorders>
                  <w:vAlign w:val="center"/>
                </w:tcPr>
                <w:p w14:paraId="706F9E2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56-55-3</w:t>
                  </w:r>
                </w:p>
              </w:tc>
              <w:tc>
                <w:tcPr>
                  <w:tcW w:w="1414" w:type="dxa"/>
                  <w:tcBorders>
                    <w:top w:val="single" w:color="auto" w:sz="4" w:space="0"/>
                    <w:left w:val="single" w:color="auto" w:sz="4" w:space="0"/>
                    <w:bottom w:val="single" w:color="auto" w:sz="4" w:space="0"/>
                    <w:right w:val="single" w:color="auto" w:sz="4" w:space="0"/>
                  </w:tcBorders>
                  <w:vAlign w:val="center"/>
                </w:tcPr>
                <w:p w14:paraId="0512988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95" w:type="dxa"/>
                  <w:tcBorders>
                    <w:top w:val="single" w:color="auto" w:sz="4" w:space="0"/>
                    <w:left w:val="single" w:color="auto" w:sz="4" w:space="0"/>
                    <w:bottom w:val="single" w:color="auto" w:sz="4" w:space="0"/>
                    <w:right w:val="single" w:color="auto" w:sz="4" w:space="0"/>
                  </w:tcBorders>
                  <w:vAlign w:val="center"/>
                </w:tcPr>
                <w:p w14:paraId="3573528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14:paraId="06DD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2E702E8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0B5501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1750" w:type="dxa"/>
                  <w:tcBorders>
                    <w:top w:val="single" w:color="auto" w:sz="4" w:space="0"/>
                    <w:left w:val="single" w:color="auto" w:sz="4" w:space="0"/>
                    <w:bottom w:val="single" w:color="auto" w:sz="4" w:space="0"/>
                    <w:right w:val="single" w:color="auto" w:sz="4" w:space="0"/>
                  </w:tcBorders>
                  <w:vAlign w:val="center"/>
                </w:tcPr>
                <w:p w14:paraId="66CDC5BD">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50-32-8</w:t>
                  </w:r>
                </w:p>
              </w:tc>
              <w:tc>
                <w:tcPr>
                  <w:tcW w:w="1414" w:type="dxa"/>
                  <w:tcBorders>
                    <w:top w:val="single" w:color="auto" w:sz="4" w:space="0"/>
                    <w:left w:val="single" w:color="auto" w:sz="4" w:space="0"/>
                    <w:bottom w:val="single" w:color="auto" w:sz="4" w:space="0"/>
                    <w:right w:val="single" w:color="auto" w:sz="4" w:space="0"/>
                  </w:tcBorders>
                  <w:vAlign w:val="center"/>
                </w:tcPr>
                <w:p w14:paraId="7F27BF85">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95" w:type="dxa"/>
                  <w:tcBorders>
                    <w:top w:val="single" w:color="auto" w:sz="4" w:space="0"/>
                    <w:left w:val="single" w:color="auto" w:sz="4" w:space="0"/>
                    <w:bottom w:val="single" w:color="auto" w:sz="4" w:space="0"/>
                    <w:right w:val="single" w:color="auto" w:sz="4" w:space="0"/>
                  </w:tcBorders>
                  <w:vAlign w:val="center"/>
                </w:tcPr>
                <w:p w14:paraId="32EB45A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14:paraId="38DA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78F447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7E41A50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1750" w:type="dxa"/>
                  <w:tcBorders>
                    <w:top w:val="single" w:color="auto" w:sz="4" w:space="0"/>
                    <w:left w:val="single" w:color="auto" w:sz="4" w:space="0"/>
                    <w:bottom w:val="single" w:color="auto" w:sz="4" w:space="0"/>
                    <w:right w:val="single" w:color="auto" w:sz="4" w:space="0"/>
                  </w:tcBorders>
                  <w:vAlign w:val="center"/>
                </w:tcPr>
                <w:p w14:paraId="3765C32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205-99-2</w:t>
                  </w:r>
                </w:p>
              </w:tc>
              <w:tc>
                <w:tcPr>
                  <w:tcW w:w="1414" w:type="dxa"/>
                  <w:tcBorders>
                    <w:top w:val="single" w:color="auto" w:sz="4" w:space="0"/>
                    <w:left w:val="single" w:color="auto" w:sz="4" w:space="0"/>
                    <w:bottom w:val="single" w:color="auto" w:sz="4" w:space="0"/>
                    <w:right w:val="single" w:color="auto" w:sz="4" w:space="0"/>
                  </w:tcBorders>
                  <w:vAlign w:val="center"/>
                </w:tcPr>
                <w:p w14:paraId="55FDA56F">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95" w:type="dxa"/>
                  <w:tcBorders>
                    <w:top w:val="single" w:color="auto" w:sz="4" w:space="0"/>
                    <w:left w:val="single" w:color="auto" w:sz="4" w:space="0"/>
                    <w:bottom w:val="single" w:color="auto" w:sz="4" w:space="0"/>
                    <w:right w:val="single" w:color="auto" w:sz="4" w:space="0"/>
                  </w:tcBorders>
                  <w:vAlign w:val="center"/>
                </w:tcPr>
                <w:p w14:paraId="7EC0787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14:paraId="7F0E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B60BA6B">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8DC5BE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1750" w:type="dxa"/>
                  <w:tcBorders>
                    <w:top w:val="single" w:color="auto" w:sz="4" w:space="0"/>
                    <w:left w:val="single" w:color="auto" w:sz="4" w:space="0"/>
                    <w:bottom w:val="single" w:color="auto" w:sz="4" w:space="0"/>
                    <w:right w:val="single" w:color="auto" w:sz="4" w:space="0"/>
                  </w:tcBorders>
                  <w:vAlign w:val="center"/>
                </w:tcPr>
                <w:p w14:paraId="08BEC699">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207-08-9</w:t>
                  </w:r>
                </w:p>
              </w:tc>
              <w:tc>
                <w:tcPr>
                  <w:tcW w:w="1414" w:type="dxa"/>
                  <w:tcBorders>
                    <w:top w:val="single" w:color="auto" w:sz="4" w:space="0"/>
                    <w:left w:val="single" w:color="auto" w:sz="4" w:space="0"/>
                    <w:bottom w:val="single" w:color="auto" w:sz="4" w:space="0"/>
                    <w:right w:val="single" w:color="auto" w:sz="4" w:space="0"/>
                  </w:tcBorders>
                  <w:vAlign w:val="center"/>
                </w:tcPr>
                <w:p w14:paraId="19D5A3F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1595" w:type="dxa"/>
                  <w:tcBorders>
                    <w:top w:val="single" w:color="auto" w:sz="4" w:space="0"/>
                    <w:left w:val="single" w:color="auto" w:sz="4" w:space="0"/>
                    <w:bottom w:val="single" w:color="auto" w:sz="4" w:space="0"/>
                    <w:right w:val="single" w:color="auto" w:sz="4" w:space="0"/>
                  </w:tcBorders>
                  <w:vAlign w:val="center"/>
                </w:tcPr>
                <w:p w14:paraId="3400000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r>
            <w:tr w14:paraId="7F24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64A52777">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EE7DAF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1750" w:type="dxa"/>
                  <w:tcBorders>
                    <w:top w:val="single" w:color="auto" w:sz="4" w:space="0"/>
                    <w:left w:val="single" w:color="auto" w:sz="4" w:space="0"/>
                    <w:bottom w:val="single" w:color="auto" w:sz="4" w:space="0"/>
                    <w:right w:val="single" w:color="auto" w:sz="4" w:space="0"/>
                  </w:tcBorders>
                  <w:vAlign w:val="center"/>
                </w:tcPr>
                <w:p w14:paraId="0FC834A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218-01-9</w:t>
                  </w:r>
                </w:p>
              </w:tc>
              <w:tc>
                <w:tcPr>
                  <w:tcW w:w="1414" w:type="dxa"/>
                  <w:tcBorders>
                    <w:top w:val="single" w:color="auto" w:sz="4" w:space="0"/>
                    <w:left w:val="single" w:color="auto" w:sz="4" w:space="0"/>
                    <w:bottom w:val="single" w:color="auto" w:sz="4" w:space="0"/>
                    <w:right w:val="single" w:color="auto" w:sz="4" w:space="0"/>
                  </w:tcBorders>
                  <w:vAlign w:val="center"/>
                </w:tcPr>
                <w:p w14:paraId="0E9905B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c>
                <w:tcPr>
                  <w:tcW w:w="1595" w:type="dxa"/>
                  <w:tcBorders>
                    <w:top w:val="single" w:color="auto" w:sz="4" w:space="0"/>
                    <w:left w:val="single" w:color="auto" w:sz="4" w:space="0"/>
                    <w:bottom w:val="single" w:color="auto" w:sz="4" w:space="0"/>
                    <w:right w:val="single" w:color="auto" w:sz="4" w:space="0"/>
                  </w:tcBorders>
                  <w:vAlign w:val="center"/>
                </w:tcPr>
                <w:p w14:paraId="1F7C506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12900</w:t>
                  </w:r>
                </w:p>
              </w:tc>
            </w:tr>
            <w:tr w14:paraId="6A14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D2D328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9F8F60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1750" w:type="dxa"/>
                  <w:tcBorders>
                    <w:top w:val="single" w:color="auto" w:sz="4" w:space="0"/>
                    <w:left w:val="single" w:color="auto" w:sz="4" w:space="0"/>
                    <w:bottom w:val="single" w:color="auto" w:sz="4" w:space="0"/>
                    <w:right w:val="single" w:color="auto" w:sz="4" w:space="0"/>
                  </w:tcBorders>
                  <w:vAlign w:val="center"/>
                </w:tcPr>
                <w:p w14:paraId="2F0279B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53-70-3</w:t>
                  </w:r>
                </w:p>
              </w:tc>
              <w:tc>
                <w:tcPr>
                  <w:tcW w:w="1414" w:type="dxa"/>
                  <w:tcBorders>
                    <w:top w:val="single" w:color="auto" w:sz="4" w:space="0"/>
                    <w:left w:val="single" w:color="auto" w:sz="4" w:space="0"/>
                    <w:bottom w:val="single" w:color="auto" w:sz="4" w:space="0"/>
                    <w:right w:val="single" w:color="auto" w:sz="4" w:space="0"/>
                  </w:tcBorders>
                  <w:vAlign w:val="center"/>
                </w:tcPr>
                <w:p w14:paraId="0D03B31A">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95" w:type="dxa"/>
                  <w:tcBorders>
                    <w:top w:val="single" w:color="auto" w:sz="4" w:space="0"/>
                    <w:left w:val="single" w:color="auto" w:sz="4" w:space="0"/>
                    <w:bottom w:val="single" w:color="auto" w:sz="4" w:space="0"/>
                    <w:right w:val="single" w:color="auto" w:sz="4" w:space="0"/>
                  </w:tcBorders>
                  <w:vAlign w:val="center"/>
                </w:tcPr>
                <w:p w14:paraId="61FAB59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14:paraId="398B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63EE39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25AD45D0">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1750" w:type="dxa"/>
                  <w:tcBorders>
                    <w:top w:val="single" w:color="auto" w:sz="4" w:space="0"/>
                    <w:left w:val="single" w:color="auto" w:sz="4" w:space="0"/>
                    <w:bottom w:val="single" w:color="auto" w:sz="4" w:space="0"/>
                    <w:right w:val="single" w:color="auto" w:sz="4" w:space="0"/>
                  </w:tcBorders>
                  <w:vAlign w:val="center"/>
                </w:tcPr>
                <w:p w14:paraId="035BF403">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139-39-5</w:t>
                  </w:r>
                </w:p>
              </w:tc>
              <w:tc>
                <w:tcPr>
                  <w:tcW w:w="1414" w:type="dxa"/>
                  <w:tcBorders>
                    <w:top w:val="single" w:color="auto" w:sz="4" w:space="0"/>
                    <w:left w:val="single" w:color="auto" w:sz="4" w:space="0"/>
                    <w:bottom w:val="single" w:color="auto" w:sz="4" w:space="0"/>
                    <w:right w:val="single" w:color="auto" w:sz="4" w:space="0"/>
                  </w:tcBorders>
                  <w:vAlign w:val="center"/>
                </w:tcPr>
                <w:p w14:paraId="79ACDA72">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95" w:type="dxa"/>
                  <w:tcBorders>
                    <w:top w:val="single" w:color="auto" w:sz="4" w:space="0"/>
                    <w:left w:val="single" w:color="auto" w:sz="4" w:space="0"/>
                    <w:bottom w:val="single" w:color="auto" w:sz="4" w:space="0"/>
                    <w:right w:val="single" w:color="auto" w:sz="4" w:space="0"/>
                  </w:tcBorders>
                  <w:vAlign w:val="center"/>
                </w:tcPr>
                <w:p w14:paraId="774552ED">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r>
            <w:tr w14:paraId="2587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tcBorders>
                    <w:top w:val="single" w:color="auto" w:sz="4" w:space="0"/>
                    <w:left w:val="single" w:color="auto" w:sz="4" w:space="0"/>
                    <w:bottom w:val="single" w:color="auto" w:sz="4" w:space="0"/>
                    <w:right w:val="single" w:color="auto" w:sz="4" w:space="0"/>
                  </w:tcBorders>
                  <w:vAlign w:val="center"/>
                </w:tcPr>
                <w:p w14:paraId="3189A33C">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2154" w:type="dxa"/>
                  <w:gridSpan w:val="2"/>
                  <w:tcBorders>
                    <w:top w:val="single" w:color="auto" w:sz="4" w:space="0"/>
                    <w:left w:val="single" w:color="auto" w:sz="4" w:space="0"/>
                    <w:bottom w:val="single" w:color="auto" w:sz="4" w:space="0"/>
                    <w:right w:val="single" w:color="auto" w:sz="4" w:space="0"/>
                  </w:tcBorders>
                  <w:vAlign w:val="center"/>
                </w:tcPr>
                <w:p w14:paraId="084813F6">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1750" w:type="dxa"/>
                  <w:tcBorders>
                    <w:top w:val="single" w:color="auto" w:sz="4" w:space="0"/>
                    <w:left w:val="single" w:color="auto" w:sz="4" w:space="0"/>
                    <w:bottom w:val="single" w:color="auto" w:sz="4" w:space="0"/>
                    <w:right w:val="single" w:color="auto" w:sz="4" w:space="0"/>
                  </w:tcBorders>
                  <w:vAlign w:val="center"/>
                </w:tcPr>
                <w:p w14:paraId="50326BB4">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91-20-3</w:t>
                  </w:r>
                </w:p>
              </w:tc>
              <w:tc>
                <w:tcPr>
                  <w:tcW w:w="1414" w:type="dxa"/>
                  <w:tcBorders>
                    <w:top w:val="single" w:color="auto" w:sz="4" w:space="0"/>
                    <w:left w:val="single" w:color="auto" w:sz="4" w:space="0"/>
                    <w:bottom w:val="single" w:color="auto" w:sz="4" w:space="0"/>
                    <w:right w:val="single" w:color="auto" w:sz="4" w:space="0"/>
                  </w:tcBorders>
                  <w:vAlign w:val="center"/>
                </w:tcPr>
                <w:p w14:paraId="395AC018">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595" w:type="dxa"/>
                  <w:tcBorders>
                    <w:top w:val="single" w:color="auto" w:sz="4" w:space="0"/>
                    <w:left w:val="single" w:color="auto" w:sz="4" w:space="0"/>
                    <w:bottom w:val="single" w:color="auto" w:sz="4" w:space="0"/>
                    <w:right w:val="single" w:color="auto" w:sz="4" w:space="0"/>
                  </w:tcBorders>
                  <w:vAlign w:val="center"/>
                </w:tcPr>
                <w:p w14:paraId="69881B2E">
                  <w:pPr>
                    <w:pStyle w:val="17"/>
                    <w:spacing w:before="72" w:beforeLines="30" w:after="72"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r>
          </w:tbl>
          <w:p w14:paraId="5CF7C443">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（2）土壤环境质量现状</w:t>
            </w:r>
          </w:p>
          <w:p w14:paraId="2831312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本项目为纸制品制造业，不涉及纸浆、溶解浆、纤维浆等制造，且无制浆工艺，土壤污染途径仅为生产过程中涂料、溶剂跑冒滴漏和废气污染物大气降尘，但项目建成后实行分区防渗措施，可有效防止土壤污染。</w:t>
            </w:r>
            <w:r>
              <w:rPr>
                <w:rFonts w:hint="default" w:ascii="Times New Roman" w:hAnsi="Times New Roman" w:eastAsia="宋体" w:cs="Times New Roman"/>
                <w:color w:val="auto"/>
                <w:szCs w:val="21"/>
              </w:rPr>
              <w:t>由于项目租用已建厂房进行</w:t>
            </w:r>
            <w:r>
              <w:rPr>
                <w:rFonts w:hint="default" w:ascii="Times New Roman" w:hAnsi="Times New Roman" w:eastAsia="宋体" w:cs="Times New Roman"/>
                <w:color w:val="auto"/>
                <w:szCs w:val="21"/>
                <w:lang w:val="en-US" w:eastAsia="zh-CN"/>
              </w:rPr>
              <w:t>纸箱</w:t>
            </w:r>
            <w:r>
              <w:rPr>
                <w:rFonts w:hint="default" w:ascii="Times New Roman" w:hAnsi="Times New Roman" w:eastAsia="宋体" w:cs="Times New Roman"/>
                <w:color w:val="auto"/>
                <w:szCs w:val="21"/>
              </w:rPr>
              <w:t>生产，已全部使用 20cm 混凝土硬化，不具备土壤监测条件，</w:t>
            </w:r>
            <w:r>
              <w:rPr>
                <w:rFonts w:hint="default" w:ascii="Times New Roman" w:hAnsi="Times New Roman" w:eastAsia="宋体" w:cs="Times New Roman"/>
                <w:color w:val="auto"/>
              </w:rPr>
              <w:t>因此本次未对土壤进行现状监测</w:t>
            </w:r>
            <w:r>
              <w:rPr>
                <w:rFonts w:hint="default" w:ascii="Times New Roman" w:hAnsi="Times New Roman" w:eastAsia="宋体" w:cs="Times New Roman"/>
                <w:color w:val="auto"/>
                <w:szCs w:val="21"/>
              </w:rPr>
              <w:t>。</w:t>
            </w:r>
          </w:p>
          <w:p w14:paraId="0236A352">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1"/>
              </w:rPr>
              <w:t>根据项目所在地规划图件可知，项目用地属于工业用地，执行《土壤环境质量建设用地土壤污染风险管控标准》（GB36600-2018）中第二类用地中筛选值标准要求。通过查阅资料，项目所在区域土壤类型主要为红壤，用地已无耕作土层，地块未发生土壤污染事件，项目区土壤环境良好。</w:t>
            </w:r>
          </w:p>
        </w:tc>
      </w:tr>
      <w:tr w14:paraId="12665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dxa"/>
            <w:vAlign w:val="center"/>
          </w:tcPr>
          <w:p w14:paraId="5A34F80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3D1BCB1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14:paraId="6E4C43B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目标</w:t>
            </w:r>
          </w:p>
        </w:tc>
        <w:tc>
          <w:tcPr>
            <w:tcW w:w="8729" w:type="dxa"/>
            <w:vAlign w:val="center"/>
          </w:tcPr>
          <w:p w14:paraId="40D77393">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3.7 大气环境保护目标</w:t>
            </w:r>
          </w:p>
          <w:p w14:paraId="580E64C8">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本项目厂界外500米范围内的大气环境保护目标详见下表。</w:t>
            </w:r>
          </w:p>
          <w:p w14:paraId="464F18BD">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表3-9  大气环境保护目标一览表</w:t>
            </w:r>
          </w:p>
          <w:tbl>
            <w:tblPr>
              <w:tblStyle w:val="25"/>
              <w:tblW w:w="8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171"/>
              <w:gridCol w:w="1051"/>
              <w:gridCol w:w="988"/>
              <w:gridCol w:w="2146"/>
              <w:gridCol w:w="1007"/>
              <w:gridCol w:w="1319"/>
            </w:tblGrid>
            <w:tr w14:paraId="744A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restart"/>
                  <w:vAlign w:val="center"/>
                </w:tcPr>
                <w:p w14:paraId="54143CD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保护目标</w:t>
                  </w:r>
                </w:p>
              </w:tc>
              <w:tc>
                <w:tcPr>
                  <w:tcW w:w="1295" w:type="pct"/>
                  <w:gridSpan w:val="2"/>
                  <w:vAlign w:val="center"/>
                </w:tcPr>
                <w:p w14:paraId="2DEFDBA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坐标</w:t>
                  </w:r>
                </w:p>
              </w:tc>
              <w:tc>
                <w:tcPr>
                  <w:tcW w:w="576" w:type="pct"/>
                  <w:vMerge w:val="restart"/>
                  <w:vAlign w:val="center"/>
                </w:tcPr>
                <w:p w14:paraId="211B463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保护对象（人）</w:t>
                  </w:r>
                </w:p>
              </w:tc>
              <w:tc>
                <w:tcPr>
                  <w:tcW w:w="1251" w:type="pct"/>
                  <w:vMerge w:val="restart"/>
                  <w:vAlign w:val="center"/>
                </w:tcPr>
                <w:p w14:paraId="2C35246B">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环境功</w:t>
                  </w:r>
                  <w:r>
                    <w:rPr>
                      <w:rFonts w:hint="default" w:ascii="Times New Roman" w:hAnsi="Times New Roman" w:eastAsia="宋体" w:cs="Times New Roman"/>
                      <w:b/>
                      <w:color w:val="auto"/>
                      <w:szCs w:val="21"/>
                    </w:rPr>
                    <w:cr/>
                  </w:r>
                  <w:r>
                    <w:rPr>
                      <w:rFonts w:hint="default" w:ascii="Times New Roman" w:hAnsi="Times New Roman" w:eastAsia="宋体" w:cs="Times New Roman"/>
                      <w:b/>
                      <w:color w:val="auto"/>
                      <w:szCs w:val="21"/>
                    </w:rPr>
                    <w:t>区</w:t>
                  </w:r>
                </w:p>
              </w:tc>
              <w:tc>
                <w:tcPr>
                  <w:tcW w:w="587" w:type="pct"/>
                  <w:vMerge w:val="restart"/>
                  <w:vAlign w:val="center"/>
                </w:tcPr>
                <w:p w14:paraId="7DFF5A2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相对本项目方位</w:t>
                  </w:r>
                </w:p>
              </w:tc>
              <w:tc>
                <w:tcPr>
                  <w:tcW w:w="769" w:type="pct"/>
                  <w:vMerge w:val="restart"/>
                  <w:vAlign w:val="center"/>
                </w:tcPr>
                <w:p w14:paraId="2B252C2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相对本项目厂界距离/m</w:t>
                  </w:r>
                </w:p>
              </w:tc>
            </w:tr>
            <w:tr w14:paraId="5DB8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vAlign w:val="center"/>
                </w:tcPr>
                <w:p w14:paraId="10C43340">
                  <w:pPr>
                    <w:adjustRightInd w:val="0"/>
                    <w:snapToGrid w:val="0"/>
                    <w:jc w:val="center"/>
                    <w:rPr>
                      <w:rFonts w:hint="default" w:ascii="Times New Roman" w:hAnsi="Times New Roman" w:eastAsia="宋体" w:cs="Times New Roman"/>
                      <w:color w:val="auto"/>
                      <w:szCs w:val="21"/>
                    </w:rPr>
                  </w:pPr>
                </w:p>
              </w:tc>
              <w:tc>
                <w:tcPr>
                  <w:tcW w:w="682" w:type="pct"/>
                  <w:vAlign w:val="center"/>
                </w:tcPr>
                <w:p w14:paraId="42D4E81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经度</w:t>
                  </w:r>
                </w:p>
              </w:tc>
              <w:tc>
                <w:tcPr>
                  <w:tcW w:w="612" w:type="pct"/>
                  <w:vAlign w:val="center"/>
                </w:tcPr>
                <w:p w14:paraId="22CF470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纬度</w:t>
                  </w:r>
                </w:p>
              </w:tc>
              <w:tc>
                <w:tcPr>
                  <w:tcW w:w="576" w:type="pct"/>
                  <w:vMerge w:val="continue"/>
                  <w:vAlign w:val="center"/>
                </w:tcPr>
                <w:p w14:paraId="1DFF656E">
                  <w:pPr>
                    <w:adjustRightInd w:val="0"/>
                    <w:snapToGrid w:val="0"/>
                    <w:jc w:val="center"/>
                    <w:rPr>
                      <w:rFonts w:hint="default" w:ascii="Times New Roman" w:hAnsi="Times New Roman" w:eastAsia="宋体" w:cs="Times New Roman"/>
                      <w:color w:val="auto"/>
                      <w:szCs w:val="21"/>
                    </w:rPr>
                  </w:pPr>
                </w:p>
              </w:tc>
              <w:tc>
                <w:tcPr>
                  <w:tcW w:w="1251" w:type="pct"/>
                  <w:vMerge w:val="continue"/>
                  <w:vAlign w:val="center"/>
                </w:tcPr>
                <w:p w14:paraId="5C957FFC">
                  <w:pPr>
                    <w:adjustRightInd w:val="0"/>
                    <w:snapToGrid w:val="0"/>
                    <w:jc w:val="center"/>
                    <w:rPr>
                      <w:rFonts w:hint="default" w:ascii="Times New Roman" w:hAnsi="Times New Roman" w:eastAsia="宋体" w:cs="Times New Roman"/>
                      <w:color w:val="auto"/>
                      <w:szCs w:val="21"/>
                    </w:rPr>
                  </w:pPr>
                </w:p>
              </w:tc>
              <w:tc>
                <w:tcPr>
                  <w:tcW w:w="587" w:type="pct"/>
                  <w:vMerge w:val="continue"/>
                  <w:vAlign w:val="center"/>
                </w:tcPr>
                <w:p w14:paraId="74A68F7F">
                  <w:pPr>
                    <w:adjustRightInd w:val="0"/>
                    <w:snapToGrid w:val="0"/>
                    <w:jc w:val="center"/>
                    <w:rPr>
                      <w:rFonts w:hint="default" w:ascii="Times New Roman" w:hAnsi="Times New Roman" w:eastAsia="宋体" w:cs="Times New Roman"/>
                      <w:color w:val="auto"/>
                      <w:szCs w:val="21"/>
                    </w:rPr>
                  </w:pPr>
                </w:p>
              </w:tc>
              <w:tc>
                <w:tcPr>
                  <w:tcW w:w="769" w:type="pct"/>
                  <w:vMerge w:val="continue"/>
                  <w:vAlign w:val="center"/>
                </w:tcPr>
                <w:p w14:paraId="0061C4D6">
                  <w:pPr>
                    <w:adjustRightInd w:val="0"/>
                    <w:snapToGrid w:val="0"/>
                    <w:jc w:val="center"/>
                    <w:rPr>
                      <w:rFonts w:hint="default" w:ascii="Times New Roman" w:hAnsi="Times New Roman" w:eastAsia="宋体" w:cs="Times New Roman"/>
                      <w:color w:val="auto"/>
                      <w:szCs w:val="21"/>
                    </w:rPr>
                  </w:pPr>
                </w:p>
              </w:tc>
            </w:tr>
            <w:tr w14:paraId="2CA0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14:paraId="6467976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太极名城</w:t>
                  </w:r>
                </w:p>
              </w:tc>
              <w:tc>
                <w:tcPr>
                  <w:tcW w:w="682" w:type="pct"/>
                  <w:vAlign w:val="center"/>
                </w:tcPr>
                <w:p w14:paraId="677F6DBA">
                  <w:pPr>
                    <w:kinsoku w:val="0"/>
                    <w:overflowPunct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
                      <w:szCs w:val="21"/>
                    </w:rPr>
                    <w:t>102°32'50.64"</w:t>
                  </w:r>
                </w:p>
              </w:tc>
              <w:tc>
                <w:tcPr>
                  <w:tcW w:w="612" w:type="pct"/>
                  <w:vAlign w:val="center"/>
                </w:tcPr>
                <w:p w14:paraId="4E1701E2">
                  <w:pPr>
                    <w:kinsoku w:val="0"/>
                    <w:overflowPunct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
                      <w:szCs w:val="21"/>
                    </w:rPr>
                    <w:t>24°23'45.6"</w:t>
                  </w:r>
                </w:p>
              </w:tc>
              <w:tc>
                <w:tcPr>
                  <w:tcW w:w="576" w:type="pct"/>
                  <w:vAlign w:val="center"/>
                </w:tcPr>
                <w:p w14:paraId="1A594F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321</w:t>
                  </w:r>
                </w:p>
              </w:tc>
              <w:tc>
                <w:tcPr>
                  <w:tcW w:w="1251" w:type="pct"/>
                  <w:vMerge w:val="restart"/>
                  <w:vAlign w:val="center"/>
                </w:tcPr>
                <w:p w14:paraId="2D59855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《环境空气质量标准》（GB3095-2012）二级</w:t>
                  </w:r>
                </w:p>
              </w:tc>
              <w:tc>
                <w:tcPr>
                  <w:tcW w:w="587" w:type="pct"/>
                  <w:vAlign w:val="center"/>
                </w:tcPr>
                <w:p w14:paraId="0DA02C0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东面</w:t>
                  </w:r>
                </w:p>
              </w:tc>
              <w:tc>
                <w:tcPr>
                  <w:tcW w:w="769" w:type="pct"/>
                  <w:vAlign w:val="center"/>
                </w:tcPr>
                <w:p w14:paraId="0907407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142</w:t>
                  </w:r>
                </w:p>
              </w:tc>
            </w:tr>
            <w:tr w14:paraId="3863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14:paraId="1B4FCFBF">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刘家山坡</w:t>
                  </w:r>
                </w:p>
              </w:tc>
              <w:tc>
                <w:tcPr>
                  <w:tcW w:w="682" w:type="pct"/>
                  <w:vAlign w:val="center"/>
                </w:tcPr>
                <w:p w14:paraId="53D53AFA">
                  <w:pPr>
                    <w:kinsoku w:val="0"/>
                    <w:overflowPunct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
                      <w:szCs w:val="21"/>
                    </w:rPr>
                    <w:t>102°32'31.92"</w:t>
                  </w:r>
                </w:p>
              </w:tc>
              <w:tc>
                <w:tcPr>
                  <w:tcW w:w="612" w:type="pct"/>
                  <w:vAlign w:val="center"/>
                </w:tcPr>
                <w:p w14:paraId="2DAAA8AB">
                  <w:pPr>
                    <w:kinsoku w:val="0"/>
                    <w:overflowPunct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3"/>
                      <w:szCs w:val="21"/>
                    </w:rPr>
                    <w:t>24°23'48.84"</w:t>
                  </w:r>
                </w:p>
              </w:tc>
              <w:tc>
                <w:tcPr>
                  <w:tcW w:w="576" w:type="pct"/>
                  <w:vAlign w:val="center"/>
                </w:tcPr>
                <w:p w14:paraId="2383109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230</w:t>
                  </w:r>
                </w:p>
              </w:tc>
              <w:tc>
                <w:tcPr>
                  <w:tcW w:w="1251" w:type="pct"/>
                  <w:vMerge w:val="continue"/>
                  <w:vAlign w:val="center"/>
                </w:tcPr>
                <w:p w14:paraId="51513DCE">
                  <w:pPr>
                    <w:adjustRightInd w:val="0"/>
                    <w:snapToGrid w:val="0"/>
                    <w:jc w:val="center"/>
                    <w:rPr>
                      <w:rFonts w:hint="default" w:ascii="Times New Roman" w:hAnsi="Times New Roman" w:eastAsia="宋体" w:cs="Times New Roman"/>
                      <w:color w:val="auto"/>
                      <w:szCs w:val="21"/>
                    </w:rPr>
                  </w:pPr>
                </w:p>
              </w:tc>
              <w:tc>
                <w:tcPr>
                  <w:tcW w:w="587" w:type="pct"/>
                  <w:vAlign w:val="center"/>
                </w:tcPr>
                <w:p w14:paraId="3C33B64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西面</w:t>
                  </w:r>
                </w:p>
              </w:tc>
              <w:tc>
                <w:tcPr>
                  <w:tcW w:w="769" w:type="pct"/>
                  <w:vAlign w:val="center"/>
                </w:tcPr>
                <w:p w14:paraId="2FC2A0F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96</w:t>
                  </w:r>
                </w:p>
              </w:tc>
            </w:tr>
            <w:tr w14:paraId="7035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14:paraId="5C04CFF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顾家屯</w:t>
                  </w:r>
                </w:p>
              </w:tc>
              <w:tc>
                <w:tcPr>
                  <w:tcW w:w="682" w:type="pct"/>
                  <w:vAlign w:val="center"/>
                </w:tcPr>
                <w:p w14:paraId="37FB8093">
                  <w:pPr>
                    <w:kinsoku w:val="0"/>
                    <w:overflowPunct w:val="0"/>
                    <w:jc w:val="center"/>
                    <w:rPr>
                      <w:rFonts w:hint="default" w:ascii="Times New Roman" w:hAnsi="Times New Roman" w:eastAsia="宋体" w:cs="Times New Roman"/>
                      <w:color w:val="auto"/>
                      <w:spacing w:val="-3"/>
                      <w:szCs w:val="21"/>
                    </w:rPr>
                  </w:pPr>
                  <w:r>
                    <w:rPr>
                      <w:rFonts w:hint="default" w:ascii="Times New Roman" w:hAnsi="Times New Roman" w:eastAsia="宋体" w:cs="Times New Roman"/>
                      <w:color w:val="auto"/>
                      <w:spacing w:val="-3"/>
                      <w:szCs w:val="21"/>
                    </w:rPr>
                    <w:t>102°32'36.96"</w:t>
                  </w:r>
                </w:p>
              </w:tc>
              <w:tc>
                <w:tcPr>
                  <w:tcW w:w="612" w:type="pct"/>
                  <w:vAlign w:val="center"/>
                </w:tcPr>
                <w:p w14:paraId="266D300C">
                  <w:pPr>
                    <w:kinsoku w:val="0"/>
                    <w:overflowPunct w:val="0"/>
                    <w:jc w:val="center"/>
                    <w:rPr>
                      <w:rFonts w:hint="default" w:ascii="Times New Roman" w:hAnsi="Times New Roman" w:eastAsia="宋体" w:cs="Times New Roman"/>
                      <w:color w:val="auto"/>
                      <w:spacing w:val="-3"/>
                      <w:szCs w:val="21"/>
                    </w:rPr>
                  </w:pPr>
                  <w:r>
                    <w:rPr>
                      <w:rFonts w:hint="default" w:ascii="Times New Roman" w:hAnsi="Times New Roman" w:eastAsia="宋体" w:cs="Times New Roman"/>
                      <w:color w:val="auto"/>
                      <w:spacing w:val="-3"/>
                      <w:szCs w:val="21"/>
                    </w:rPr>
                    <w:t>24°24'1.80"</w:t>
                  </w:r>
                </w:p>
              </w:tc>
              <w:tc>
                <w:tcPr>
                  <w:tcW w:w="576" w:type="pct"/>
                  <w:vAlign w:val="center"/>
                </w:tcPr>
                <w:p w14:paraId="79E3C67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220</w:t>
                  </w:r>
                </w:p>
              </w:tc>
              <w:tc>
                <w:tcPr>
                  <w:tcW w:w="1251" w:type="pct"/>
                  <w:vMerge w:val="continue"/>
                  <w:vAlign w:val="center"/>
                </w:tcPr>
                <w:p w14:paraId="69AF241C">
                  <w:pPr>
                    <w:adjustRightInd w:val="0"/>
                    <w:snapToGrid w:val="0"/>
                    <w:jc w:val="center"/>
                    <w:rPr>
                      <w:rFonts w:hint="default" w:ascii="Times New Roman" w:hAnsi="Times New Roman" w:eastAsia="宋体" w:cs="Times New Roman"/>
                      <w:color w:val="auto"/>
                      <w:szCs w:val="21"/>
                    </w:rPr>
                  </w:pPr>
                </w:p>
              </w:tc>
              <w:tc>
                <w:tcPr>
                  <w:tcW w:w="587" w:type="pct"/>
                  <w:vAlign w:val="center"/>
                </w:tcPr>
                <w:p w14:paraId="7671AC2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西北面</w:t>
                  </w:r>
                </w:p>
              </w:tc>
              <w:tc>
                <w:tcPr>
                  <w:tcW w:w="769" w:type="pct"/>
                  <w:vAlign w:val="center"/>
                </w:tcPr>
                <w:p w14:paraId="40504D6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314</w:t>
                  </w:r>
                </w:p>
              </w:tc>
            </w:tr>
            <w:tr w14:paraId="65B5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14:paraId="57DF73C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滕家边</w:t>
                  </w:r>
                </w:p>
              </w:tc>
              <w:tc>
                <w:tcPr>
                  <w:tcW w:w="682" w:type="pct"/>
                  <w:vAlign w:val="center"/>
                </w:tcPr>
                <w:p w14:paraId="2DCAEAB3">
                  <w:pPr>
                    <w:kinsoku w:val="0"/>
                    <w:overflowPunct w:val="0"/>
                    <w:jc w:val="center"/>
                    <w:rPr>
                      <w:rFonts w:hint="default" w:ascii="Times New Roman" w:hAnsi="Times New Roman" w:eastAsia="宋体" w:cs="Times New Roman"/>
                      <w:color w:val="auto"/>
                      <w:spacing w:val="-3"/>
                      <w:szCs w:val="21"/>
                    </w:rPr>
                  </w:pPr>
                  <w:r>
                    <w:rPr>
                      <w:rFonts w:hint="default" w:ascii="Times New Roman" w:hAnsi="Times New Roman" w:eastAsia="宋体" w:cs="Times New Roman"/>
                      <w:color w:val="auto"/>
                      <w:spacing w:val="-3"/>
                      <w:szCs w:val="21"/>
                    </w:rPr>
                    <w:t>102°32'44.52"</w:t>
                  </w:r>
                </w:p>
              </w:tc>
              <w:tc>
                <w:tcPr>
                  <w:tcW w:w="612" w:type="pct"/>
                  <w:vAlign w:val="center"/>
                </w:tcPr>
                <w:p w14:paraId="2603C121">
                  <w:pPr>
                    <w:kinsoku w:val="0"/>
                    <w:overflowPunct w:val="0"/>
                    <w:jc w:val="center"/>
                    <w:rPr>
                      <w:rFonts w:hint="default" w:ascii="Times New Roman" w:hAnsi="Times New Roman" w:eastAsia="宋体" w:cs="Times New Roman"/>
                      <w:color w:val="auto"/>
                      <w:spacing w:val="-3"/>
                      <w:szCs w:val="21"/>
                    </w:rPr>
                  </w:pPr>
                  <w:r>
                    <w:rPr>
                      <w:rFonts w:hint="default" w:ascii="Times New Roman" w:hAnsi="Times New Roman" w:eastAsia="宋体" w:cs="Times New Roman"/>
                      <w:color w:val="auto"/>
                      <w:spacing w:val="-3"/>
                      <w:szCs w:val="21"/>
                    </w:rPr>
                    <w:t>24°23'55.68"</w:t>
                  </w:r>
                </w:p>
              </w:tc>
              <w:tc>
                <w:tcPr>
                  <w:tcW w:w="576" w:type="pct"/>
                  <w:vAlign w:val="center"/>
                </w:tcPr>
                <w:p w14:paraId="6EF1B04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200</w:t>
                  </w:r>
                </w:p>
              </w:tc>
              <w:tc>
                <w:tcPr>
                  <w:tcW w:w="1251" w:type="pct"/>
                  <w:vMerge w:val="continue"/>
                  <w:vAlign w:val="center"/>
                </w:tcPr>
                <w:p w14:paraId="35A32799">
                  <w:pPr>
                    <w:adjustRightInd w:val="0"/>
                    <w:snapToGrid w:val="0"/>
                    <w:jc w:val="center"/>
                    <w:rPr>
                      <w:rFonts w:hint="default" w:ascii="Times New Roman" w:hAnsi="Times New Roman" w:eastAsia="宋体" w:cs="Times New Roman"/>
                      <w:color w:val="auto"/>
                      <w:szCs w:val="21"/>
                    </w:rPr>
                  </w:pPr>
                </w:p>
              </w:tc>
              <w:tc>
                <w:tcPr>
                  <w:tcW w:w="587" w:type="pct"/>
                  <w:vAlign w:val="center"/>
                </w:tcPr>
                <w:p w14:paraId="69DDE7D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东北面</w:t>
                  </w:r>
                </w:p>
              </w:tc>
              <w:tc>
                <w:tcPr>
                  <w:tcW w:w="769" w:type="pct"/>
                  <w:vAlign w:val="center"/>
                </w:tcPr>
                <w:p w14:paraId="3DD0CA4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203</w:t>
                  </w:r>
                </w:p>
              </w:tc>
            </w:tr>
            <w:tr w14:paraId="41D8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Align w:val="center"/>
                </w:tcPr>
                <w:p w14:paraId="4035E78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戴家边</w:t>
                  </w:r>
                </w:p>
              </w:tc>
              <w:tc>
                <w:tcPr>
                  <w:tcW w:w="682" w:type="pct"/>
                  <w:vAlign w:val="center"/>
                </w:tcPr>
                <w:p w14:paraId="4B5AEFD1">
                  <w:pPr>
                    <w:kinsoku w:val="0"/>
                    <w:overflowPunct w:val="0"/>
                    <w:jc w:val="center"/>
                    <w:rPr>
                      <w:rFonts w:hint="default" w:ascii="Times New Roman" w:hAnsi="Times New Roman" w:eastAsia="宋体" w:cs="Times New Roman"/>
                      <w:color w:val="auto"/>
                      <w:spacing w:val="-3"/>
                      <w:szCs w:val="21"/>
                    </w:rPr>
                  </w:pPr>
                  <w:r>
                    <w:rPr>
                      <w:rFonts w:hint="default" w:ascii="Times New Roman" w:hAnsi="Times New Roman" w:eastAsia="宋体" w:cs="Times New Roman"/>
                      <w:color w:val="auto"/>
                      <w:spacing w:val="-3"/>
                      <w:szCs w:val="21"/>
                    </w:rPr>
                    <w:t>102°32'42</w:t>
                  </w:r>
                  <w:r>
                    <w:rPr>
                      <w:rFonts w:hint="default" w:ascii="Times New Roman" w:hAnsi="Times New Roman" w:eastAsia="宋体" w:cs="Times New Roman"/>
                      <w:color w:val="auto"/>
                      <w:spacing w:val="-3"/>
                      <w:szCs w:val="21"/>
                      <w:lang w:val="en-US" w:eastAsia="zh-CN"/>
                    </w:rPr>
                    <w:t>.13</w:t>
                  </w:r>
                  <w:r>
                    <w:rPr>
                      <w:rFonts w:hint="default" w:ascii="Times New Roman" w:hAnsi="Times New Roman" w:eastAsia="宋体" w:cs="Times New Roman"/>
                      <w:color w:val="auto"/>
                      <w:spacing w:val="-3"/>
                      <w:szCs w:val="21"/>
                    </w:rPr>
                    <w:t>"</w:t>
                  </w:r>
                </w:p>
              </w:tc>
              <w:tc>
                <w:tcPr>
                  <w:tcW w:w="612" w:type="pct"/>
                  <w:vAlign w:val="center"/>
                </w:tcPr>
                <w:p w14:paraId="68F5DAAC">
                  <w:pPr>
                    <w:kinsoku w:val="0"/>
                    <w:overflowPunct w:val="0"/>
                    <w:jc w:val="center"/>
                    <w:rPr>
                      <w:rFonts w:hint="default" w:ascii="Times New Roman" w:hAnsi="Times New Roman" w:eastAsia="宋体" w:cs="Times New Roman"/>
                      <w:color w:val="auto"/>
                      <w:spacing w:val="-3"/>
                      <w:szCs w:val="21"/>
                    </w:rPr>
                  </w:pPr>
                  <w:r>
                    <w:rPr>
                      <w:rFonts w:hint="default" w:ascii="Times New Roman" w:hAnsi="Times New Roman" w:eastAsia="宋体" w:cs="Times New Roman"/>
                      <w:color w:val="auto"/>
                      <w:spacing w:val="-3"/>
                      <w:szCs w:val="21"/>
                    </w:rPr>
                    <w:t>24°23'33.36"</w:t>
                  </w:r>
                </w:p>
              </w:tc>
              <w:tc>
                <w:tcPr>
                  <w:tcW w:w="576" w:type="pct"/>
                  <w:vAlign w:val="center"/>
                </w:tcPr>
                <w:p w14:paraId="4BC1CAA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380</w:t>
                  </w:r>
                </w:p>
              </w:tc>
              <w:tc>
                <w:tcPr>
                  <w:tcW w:w="1251" w:type="pct"/>
                  <w:vMerge w:val="continue"/>
                  <w:vAlign w:val="center"/>
                </w:tcPr>
                <w:p w14:paraId="64B18832">
                  <w:pPr>
                    <w:adjustRightInd w:val="0"/>
                    <w:snapToGrid w:val="0"/>
                    <w:jc w:val="center"/>
                    <w:rPr>
                      <w:rFonts w:hint="default" w:ascii="Times New Roman" w:hAnsi="Times New Roman" w:eastAsia="宋体" w:cs="Times New Roman"/>
                      <w:color w:val="auto"/>
                      <w:szCs w:val="21"/>
                    </w:rPr>
                  </w:pPr>
                </w:p>
              </w:tc>
              <w:tc>
                <w:tcPr>
                  <w:tcW w:w="587" w:type="pct"/>
                  <w:vAlign w:val="center"/>
                </w:tcPr>
                <w:p w14:paraId="19CF22A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东南面</w:t>
                  </w:r>
                </w:p>
              </w:tc>
              <w:tc>
                <w:tcPr>
                  <w:tcW w:w="769" w:type="pct"/>
                  <w:vAlign w:val="center"/>
                </w:tcPr>
                <w:p w14:paraId="6CCB835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201</w:t>
                  </w:r>
                </w:p>
              </w:tc>
            </w:tr>
          </w:tbl>
          <w:p w14:paraId="00DB66EB">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3.8 声环境保护目标</w:t>
            </w:r>
          </w:p>
          <w:p w14:paraId="04000BA3">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本项目厂界50m范围内无声环境保护目标。</w:t>
            </w:r>
          </w:p>
          <w:p w14:paraId="11191E8C">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3.9 地下水环境保护目标</w:t>
            </w:r>
          </w:p>
          <w:p w14:paraId="16063D59">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本项目厂界外500m范围内不存在地下水集中式饮用水水源和热水、矿泉水、温泉等特殊地下水资源。</w:t>
            </w:r>
          </w:p>
          <w:p w14:paraId="045690CB">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3.10 生态环境保护目标</w:t>
            </w:r>
          </w:p>
          <w:p w14:paraId="0CE2007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eastAsia="zh-CN"/>
              </w:rPr>
              <w:t>云南省玉溪春和街道孙井社区太极山</w:t>
            </w:r>
            <w:r>
              <w:rPr>
                <w:rFonts w:hint="default" w:ascii="Times New Roman" w:hAnsi="Times New Roman" w:eastAsia="宋体" w:cs="Times New Roman"/>
                <w:color w:val="auto"/>
              </w:rPr>
              <w:t>，为</w:t>
            </w:r>
            <w:r>
              <w:rPr>
                <w:rFonts w:hint="default" w:ascii="Times New Roman" w:hAnsi="Times New Roman" w:eastAsia="宋体" w:cs="Times New Roman"/>
                <w:color w:val="auto"/>
                <w:lang w:val="en-US" w:eastAsia="zh-CN"/>
              </w:rPr>
              <w:t>现有厂房内建设</w:t>
            </w:r>
            <w:r>
              <w:rPr>
                <w:rFonts w:hint="default" w:ascii="Times New Roman" w:hAnsi="Times New Roman" w:eastAsia="宋体" w:cs="Times New Roman"/>
                <w:color w:val="auto"/>
              </w:rPr>
              <w:t>，不存在新增用地范围内生态环境保护目标。</w:t>
            </w:r>
          </w:p>
          <w:p w14:paraId="68D2F4B2">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3.11 地表水环境保护目标</w:t>
            </w:r>
          </w:p>
          <w:p w14:paraId="2D13FD94">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本项目地表水环境保护目标详见下表。</w:t>
            </w:r>
          </w:p>
          <w:p w14:paraId="6B4B452D">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表3-11  地表水环境保护目标一览表</w:t>
            </w:r>
          </w:p>
          <w:tbl>
            <w:tblPr>
              <w:tblStyle w:val="25"/>
              <w:tblW w:w="5103" w:type="pct"/>
              <w:jc w:val="center"/>
              <w:tblLayout w:type="fixed"/>
              <w:tblCellMar>
                <w:top w:w="0" w:type="dxa"/>
                <w:left w:w="0" w:type="dxa"/>
                <w:bottom w:w="0" w:type="dxa"/>
                <w:right w:w="0" w:type="dxa"/>
              </w:tblCellMar>
            </w:tblPr>
            <w:tblGrid>
              <w:gridCol w:w="1072"/>
              <w:gridCol w:w="1136"/>
              <w:gridCol w:w="901"/>
              <w:gridCol w:w="1241"/>
              <w:gridCol w:w="2530"/>
              <w:gridCol w:w="803"/>
              <w:gridCol w:w="1006"/>
            </w:tblGrid>
            <w:tr w14:paraId="35CA24C8">
              <w:tblPrEx>
                <w:tblCellMar>
                  <w:top w:w="0" w:type="dxa"/>
                  <w:left w:w="0" w:type="dxa"/>
                  <w:bottom w:w="0" w:type="dxa"/>
                  <w:right w:w="0" w:type="dxa"/>
                </w:tblCellMar>
              </w:tblPrEx>
              <w:trPr>
                <w:trHeight w:val="433" w:hRule="atLeast"/>
                <w:jc w:val="center"/>
              </w:trPr>
              <w:tc>
                <w:tcPr>
                  <w:tcW w:w="616" w:type="pct"/>
                  <w:vMerge w:val="restart"/>
                  <w:tcBorders>
                    <w:top w:val="single" w:color="000000" w:sz="4" w:space="0"/>
                    <w:left w:val="single" w:color="000000" w:sz="4" w:space="0"/>
                    <w:right w:val="single" w:color="000000" w:sz="4" w:space="0"/>
                  </w:tcBorders>
                  <w:vAlign w:val="center"/>
                </w:tcPr>
                <w:p w14:paraId="380A960B">
                  <w:pPr>
                    <w:kinsoku w:val="0"/>
                    <w:overflowPunct w:val="0"/>
                    <w:autoSpaceDE w:val="0"/>
                    <w:autoSpaceDN w:val="0"/>
                    <w:adjustRightInd w:val="0"/>
                    <w:spacing w:before="74"/>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szCs w:val="21"/>
                    </w:rPr>
                    <w:t>名称</w:t>
                  </w:r>
                </w:p>
              </w:tc>
              <w:tc>
                <w:tcPr>
                  <w:tcW w:w="1172" w:type="pct"/>
                  <w:gridSpan w:val="2"/>
                  <w:tcBorders>
                    <w:top w:val="single" w:color="000000" w:sz="4" w:space="0"/>
                    <w:left w:val="single" w:color="000000" w:sz="4" w:space="0"/>
                    <w:bottom w:val="single" w:color="000000" w:sz="4" w:space="0"/>
                    <w:right w:val="single" w:color="000000" w:sz="4" w:space="0"/>
                  </w:tcBorders>
                  <w:vAlign w:val="center"/>
                </w:tcPr>
                <w:p w14:paraId="4CE810B4">
                  <w:pPr>
                    <w:adjustRightInd w:val="0"/>
                    <w:snapToGrid w:val="0"/>
                    <w:jc w:val="center"/>
                    <w:rPr>
                      <w:rFonts w:hint="default" w:ascii="Times New Roman" w:hAnsi="Times New Roman" w:eastAsia="宋体" w:cs="Times New Roman"/>
                      <w:b/>
                      <w:bCs/>
                      <w:color w:val="auto"/>
                      <w:spacing w:val="-2"/>
                      <w:szCs w:val="21"/>
                    </w:rPr>
                  </w:pPr>
                  <w:r>
                    <w:rPr>
                      <w:rFonts w:hint="default" w:ascii="Times New Roman" w:hAnsi="Times New Roman" w:eastAsia="宋体" w:cs="Times New Roman"/>
                      <w:b/>
                      <w:color w:val="auto"/>
                      <w:szCs w:val="21"/>
                    </w:rPr>
                    <w:t>坐标</w:t>
                  </w:r>
                </w:p>
              </w:tc>
              <w:tc>
                <w:tcPr>
                  <w:tcW w:w="714" w:type="pct"/>
                  <w:vMerge w:val="restart"/>
                  <w:tcBorders>
                    <w:top w:val="single" w:color="000000" w:sz="4" w:space="0"/>
                    <w:left w:val="single" w:color="000000" w:sz="4" w:space="0"/>
                    <w:right w:val="single" w:color="000000" w:sz="4" w:space="0"/>
                  </w:tcBorders>
                  <w:vAlign w:val="center"/>
                </w:tcPr>
                <w:p w14:paraId="6468FACD">
                  <w:pPr>
                    <w:kinsoku w:val="0"/>
                    <w:overflowPunct w:val="0"/>
                    <w:autoSpaceDE w:val="0"/>
                    <w:autoSpaceDN w:val="0"/>
                    <w:adjustRightInd w:val="0"/>
                    <w:spacing w:before="74"/>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szCs w:val="21"/>
                    </w:rPr>
                    <w:t>保护内容</w:t>
                  </w:r>
                </w:p>
              </w:tc>
              <w:tc>
                <w:tcPr>
                  <w:tcW w:w="1456" w:type="pct"/>
                  <w:vMerge w:val="restart"/>
                  <w:tcBorders>
                    <w:top w:val="single" w:color="000000" w:sz="4" w:space="0"/>
                    <w:left w:val="single" w:color="000000" w:sz="4" w:space="0"/>
                    <w:right w:val="single" w:color="000000" w:sz="4" w:space="0"/>
                  </w:tcBorders>
                  <w:vAlign w:val="center"/>
                </w:tcPr>
                <w:p w14:paraId="15CE90F9">
                  <w:pPr>
                    <w:kinsoku w:val="0"/>
                    <w:overflowPunct w:val="0"/>
                    <w:autoSpaceDE w:val="0"/>
                    <w:autoSpaceDN w:val="0"/>
                    <w:adjustRightInd w:val="0"/>
                    <w:spacing w:before="74"/>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szCs w:val="21"/>
                    </w:rPr>
                    <w:t>环境功能区</w:t>
                  </w:r>
                </w:p>
              </w:tc>
              <w:tc>
                <w:tcPr>
                  <w:tcW w:w="462" w:type="pct"/>
                  <w:vMerge w:val="restart"/>
                  <w:tcBorders>
                    <w:top w:val="single" w:color="000000" w:sz="4" w:space="0"/>
                    <w:left w:val="single" w:color="000000" w:sz="4" w:space="0"/>
                    <w:right w:val="single" w:color="000000" w:sz="4" w:space="0"/>
                  </w:tcBorders>
                  <w:vAlign w:val="center"/>
                </w:tcPr>
                <w:p w14:paraId="0EDA66C0">
                  <w:pPr>
                    <w:kinsoku w:val="0"/>
                    <w:overflowPunct w:val="0"/>
                    <w:autoSpaceDE w:val="0"/>
                    <w:autoSpaceDN w:val="0"/>
                    <w:adjustRightInd w:val="0"/>
                    <w:spacing w:before="74"/>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pacing w:val="-3"/>
                      <w:szCs w:val="21"/>
                    </w:rPr>
                    <w:t>相对厂界方位</w:t>
                  </w:r>
                </w:p>
              </w:tc>
              <w:tc>
                <w:tcPr>
                  <w:tcW w:w="578" w:type="pct"/>
                  <w:vMerge w:val="restart"/>
                  <w:tcBorders>
                    <w:top w:val="single" w:color="000000" w:sz="4" w:space="0"/>
                    <w:left w:val="single" w:color="000000" w:sz="4" w:space="0"/>
                    <w:right w:val="single" w:color="000000" w:sz="4" w:space="0"/>
                  </w:tcBorders>
                  <w:vAlign w:val="center"/>
                </w:tcPr>
                <w:p w14:paraId="591C51F0">
                  <w:pPr>
                    <w:kinsoku w:val="0"/>
                    <w:overflowPunct w:val="0"/>
                    <w:autoSpaceDE w:val="0"/>
                    <w:autoSpaceDN w:val="0"/>
                    <w:adjustRightInd w:val="0"/>
                    <w:spacing w:before="74"/>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pacing w:val="-3"/>
                      <w:szCs w:val="21"/>
                    </w:rPr>
                    <w:t>相对厂界距离/m</w:t>
                  </w:r>
                </w:p>
              </w:tc>
            </w:tr>
            <w:tr w14:paraId="6989F600">
              <w:tblPrEx>
                <w:tblCellMar>
                  <w:top w:w="0" w:type="dxa"/>
                  <w:left w:w="0" w:type="dxa"/>
                  <w:bottom w:w="0" w:type="dxa"/>
                  <w:right w:w="0" w:type="dxa"/>
                </w:tblCellMar>
              </w:tblPrEx>
              <w:trPr>
                <w:trHeight w:val="626" w:hRule="atLeast"/>
                <w:jc w:val="center"/>
              </w:trPr>
              <w:tc>
                <w:tcPr>
                  <w:tcW w:w="616" w:type="pct"/>
                  <w:vMerge w:val="continue"/>
                  <w:tcBorders>
                    <w:left w:val="single" w:color="000000" w:sz="4" w:space="0"/>
                    <w:bottom w:val="single" w:color="000000" w:sz="4" w:space="0"/>
                    <w:right w:val="single" w:color="000000" w:sz="4" w:space="0"/>
                  </w:tcBorders>
                  <w:vAlign w:val="center"/>
                </w:tcPr>
                <w:p w14:paraId="38B44546">
                  <w:pPr>
                    <w:kinsoku w:val="0"/>
                    <w:overflowPunct w:val="0"/>
                    <w:autoSpaceDE w:val="0"/>
                    <w:autoSpaceDN w:val="0"/>
                    <w:adjustRightInd w:val="0"/>
                    <w:spacing w:before="74"/>
                    <w:jc w:val="center"/>
                    <w:rPr>
                      <w:rFonts w:hint="default" w:ascii="Times New Roman" w:hAnsi="Times New Roman" w:eastAsia="宋体" w:cs="Times New Roman"/>
                      <w:color w:val="auto"/>
                    </w:rPr>
                  </w:pPr>
                </w:p>
              </w:tc>
              <w:tc>
                <w:tcPr>
                  <w:tcW w:w="653" w:type="pct"/>
                  <w:tcBorders>
                    <w:top w:val="single" w:color="000000" w:sz="4" w:space="0"/>
                    <w:left w:val="single" w:color="000000" w:sz="4" w:space="0"/>
                    <w:bottom w:val="single" w:color="000000" w:sz="4" w:space="0"/>
                    <w:right w:val="single" w:color="000000" w:sz="4" w:space="0"/>
                  </w:tcBorders>
                  <w:vAlign w:val="center"/>
                </w:tcPr>
                <w:p w14:paraId="0E5E981D">
                  <w:pPr>
                    <w:adjustRightInd w:val="0"/>
                    <w:snapToGrid w:val="0"/>
                    <w:jc w:val="center"/>
                    <w:rPr>
                      <w:rFonts w:hint="default" w:ascii="Times New Roman" w:hAnsi="Times New Roman" w:eastAsia="宋体" w:cs="Times New Roman"/>
                      <w:b/>
                      <w:bCs/>
                      <w:color w:val="auto"/>
                      <w:spacing w:val="-2"/>
                      <w:szCs w:val="21"/>
                    </w:rPr>
                  </w:pPr>
                  <w:r>
                    <w:rPr>
                      <w:rFonts w:hint="default" w:ascii="Times New Roman" w:hAnsi="Times New Roman" w:eastAsia="宋体" w:cs="Times New Roman"/>
                      <w:b/>
                      <w:color w:val="auto"/>
                      <w:szCs w:val="21"/>
                    </w:rPr>
                    <w:t>经度</w:t>
                  </w:r>
                </w:p>
              </w:tc>
              <w:tc>
                <w:tcPr>
                  <w:tcW w:w="518" w:type="pct"/>
                  <w:tcBorders>
                    <w:top w:val="single" w:color="000000" w:sz="4" w:space="0"/>
                    <w:left w:val="single" w:color="000000" w:sz="4" w:space="0"/>
                    <w:bottom w:val="single" w:color="000000" w:sz="4" w:space="0"/>
                    <w:right w:val="single" w:color="000000" w:sz="4" w:space="0"/>
                  </w:tcBorders>
                  <w:vAlign w:val="center"/>
                </w:tcPr>
                <w:p w14:paraId="50832E97">
                  <w:pPr>
                    <w:adjustRightInd w:val="0"/>
                    <w:snapToGrid w:val="0"/>
                    <w:jc w:val="center"/>
                    <w:rPr>
                      <w:rFonts w:hint="default" w:ascii="Times New Roman" w:hAnsi="Times New Roman" w:eastAsia="宋体" w:cs="Times New Roman"/>
                      <w:b/>
                      <w:bCs/>
                      <w:color w:val="auto"/>
                      <w:spacing w:val="-2"/>
                      <w:szCs w:val="21"/>
                    </w:rPr>
                  </w:pPr>
                  <w:r>
                    <w:rPr>
                      <w:rFonts w:hint="default" w:ascii="Times New Roman" w:hAnsi="Times New Roman" w:eastAsia="宋体" w:cs="Times New Roman"/>
                      <w:b/>
                      <w:color w:val="auto"/>
                      <w:szCs w:val="21"/>
                    </w:rPr>
                    <w:t>纬度</w:t>
                  </w:r>
                </w:p>
              </w:tc>
              <w:tc>
                <w:tcPr>
                  <w:tcW w:w="714" w:type="pct"/>
                  <w:vMerge w:val="continue"/>
                  <w:tcBorders>
                    <w:left w:val="single" w:color="000000" w:sz="4" w:space="0"/>
                    <w:bottom w:val="single" w:color="000000" w:sz="4" w:space="0"/>
                    <w:right w:val="single" w:color="000000" w:sz="4" w:space="0"/>
                  </w:tcBorders>
                  <w:vAlign w:val="center"/>
                </w:tcPr>
                <w:p w14:paraId="66CA4EEC">
                  <w:pPr>
                    <w:kinsoku w:val="0"/>
                    <w:overflowPunct w:val="0"/>
                    <w:autoSpaceDE w:val="0"/>
                    <w:autoSpaceDN w:val="0"/>
                    <w:adjustRightInd w:val="0"/>
                    <w:spacing w:before="74"/>
                    <w:jc w:val="center"/>
                    <w:rPr>
                      <w:rFonts w:hint="default" w:ascii="Times New Roman" w:hAnsi="Times New Roman" w:eastAsia="宋体" w:cs="Times New Roman"/>
                      <w:b/>
                      <w:bCs/>
                      <w:color w:val="auto"/>
                      <w:spacing w:val="-2"/>
                      <w:szCs w:val="21"/>
                    </w:rPr>
                  </w:pPr>
                </w:p>
              </w:tc>
              <w:tc>
                <w:tcPr>
                  <w:tcW w:w="1456" w:type="pct"/>
                  <w:vMerge w:val="continue"/>
                  <w:tcBorders>
                    <w:left w:val="single" w:color="000000" w:sz="4" w:space="0"/>
                    <w:bottom w:val="single" w:color="000000" w:sz="4" w:space="0"/>
                    <w:right w:val="single" w:color="000000" w:sz="4" w:space="0"/>
                  </w:tcBorders>
                  <w:vAlign w:val="center"/>
                </w:tcPr>
                <w:p w14:paraId="63910566">
                  <w:pPr>
                    <w:kinsoku w:val="0"/>
                    <w:overflowPunct w:val="0"/>
                    <w:autoSpaceDE w:val="0"/>
                    <w:autoSpaceDN w:val="0"/>
                    <w:adjustRightInd w:val="0"/>
                    <w:spacing w:before="74"/>
                    <w:jc w:val="center"/>
                    <w:rPr>
                      <w:rFonts w:hint="default" w:ascii="Times New Roman" w:hAnsi="Times New Roman" w:eastAsia="宋体" w:cs="Times New Roman"/>
                      <w:b/>
                      <w:bCs/>
                      <w:color w:val="auto"/>
                      <w:spacing w:val="-2"/>
                      <w:szCs w:val="21"/>
                    </w:rPr>
                  </w:pPr>
                </w:p>
              </w:tc>
              <w:tc>
                <w:tcPr>
                  <w:tcW w:w="462" w:type="pct"/>
                  <w:vMerge w:val="continue"/>
                  <w:tcBorders>
                    <w:left w:val="single" w:color="000000" w:sz="4" w:space="0"/>
                    <w:bottom w:val="single" w:color="000000" w:sz="4" w:space="0"/>
                    <w:right w:val="single" w:color="000000" w:sz="4" w:space="0"/>
                  </w:tcBorders>
                  <w:vAlign w:val="center"/>
                </w:tcPr>
                <w:p w14:paraId="2EB6700D">
                  <w:pPr>
                    <w:kinsoku w:val="0"/>
                    <w:overflowPunct w:val="0"/>
                    <w:autoSpaceDE w:val="0"/>
                    <w:autoSpaceDN w:val="0"/>
                    <w:adjustRightInd w:val="0"/>
                    <w:spacing w:before="74"/>
                    <w:jc w:val="center"/>
                    <w:rPr>
                      <w:rFonts w:hint="default" w:ascii="Times New Roman" w:hAnsi="Times New Roman" w:eastAsia="宋体" w:cs="Times New Roman"/>
                      <w:b/>
                      <w:bCs/>
                      <w:color w:val="auto"/>
                      <w:spacing w:val="-2"/>
                      <w:szCs w:val="21"/>
                    </w:rPr>
                  </w:pPr>
                </w:p>
              </w:tc>
              <w:tc>
                <w:tcPr>
                  <w:tcW w:w="578" w:type="pct"/>
                  <w:vMerge w:val="continue"/>
                  <w:tcBorders>
                    <w:left w:val="single" w:color="000000" w:sz="4" w:space="0"/>
                    <w:bottom w:val="single" w:color="000000" w:sz="4" w:space="0"/>
                    <w:right w:val="single" w:color="000000" w:sz="4" w:space="0"/>
                  </w:tcBorders>
                  <w:vAlign w:val="center"/>
                </w:tcPr>
                <w:p w14:paraId="1E2A4B1C">
                  <w:pPr>
                    <w:kinsoku w:val="0"/>
                    <w:overflowPunct w:val="0"/>
                    <w:autoSpaceDE w:val="0"/>
                    <w:autoSpaceDN w:val="0"/>
                    <w:adjustRightInd w:val="0"/>
                    <w:spacing w:before="74"/>
                    <w:jc w:val="center"/>
                    <w:rPr>
                      <w:rFonts w:hint="default" w:ascii="Times New Roman" w:hAnsi="Times New Roman" w:eastAsia="宋体" w:cs="Times New Roman"/>
                      <w:b/>
                      <w:bCs/>
                      <w:color w:val="auto"/>
                      <w:spacing w:val="-2"/>
                      <w:szCs w:val="21"/>
                    </w:rPr>
                  </w:pPr>
                </w:p>
              </w:tc>
            </w:tr>
            <w:tr w14:paraId="2A767F28">
              <w:tblPrEx>
                <w:tblCellMar>
                  <w:top w:w="0" w:type="dxa"/>
                  <w:left w:w="0" w:type="dxa"/>
                  <w:bottom w:w="0" w:type="dxa"/>
                  <w:right w:w="0" w:type="dxa"/>
                </w:tblCellMar>
              </w:tblPrEx>
              <w:trPr>
                <w:trHeight w:val="474" w:hRule="atLeast"/>
                <w:jc w:val="center"/>
              </w:trPr>
              <w:tc>
                <w:tcPr>
                  <w:tcW w:w="616" w:type="pct"/>
                  <w:tcBorders>
                    <w:left w:val="single" w:color="000000" w:sz="4" w:space="0"/>
                    <w:bottom w:val="single" w:color="000000" w:sz="4" w:space="0"/>
                    <w:right w:val="single" w:color="000000" w:sz="4" w:space="0"/>
                  </w:tcBorders>
                  <w:vAlign w:val="center"/>
                </w:tcPr>
                <w:p w14:paraId="50DC5748">
                  <w:pPr>
                    <w:kinsoku w:val="0"/>
                    <w:overflowPunct w:val="0"/>
                    <w:autoSpaceDE w:val="0"/>
                    <w:autoSpaceDN w:val="0"/>
                    <w:adjustRightInd w:val="0"/>
                    <w:spacing w:before="7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八里大沟</w:t>
                  </w:r>
                </w:p>
              </w:tc>
              <w:tc>
                <w:tcPr>
                  <w:tcW w:w="653" w:type="pct"/>
                  <w:tcBorders>
                    <w:top w:val="single" w:color="000000" w:sz="4" w:space="0"/>
                    <w:left w:val="single" w:color="000000" w:sz="4" w:space="0"/>
                    <w:bottom w:val="single" w:color="000000" w:sz="4" w:space="0"/>
                    <w:right w:val="single" w:color="000000" w:sz="4" w:space="0"/>
                  </w:tcBorders>
                  <w:vAlign w:val="center"/>
                </w:tcPr>
                <w:p w14:paraId="53CFF8B5">
                  <w:pPr>
                    <w:adjustRightInd w:val="0"/>
                    <w:snapToGrid w:val="0"/>
                    <w:jc w:val="center"/>
                    <w:rPr>
                      <w:rFonts w:hint="default" w:ascii="Times New Roman" w:hAnsi="Times New Roman" w:eastAsia="宋体" w:cs="Times New Roman"/>
                      <w:b/>
                      <w:color w:val="auto"/>
                      <w:szCs w:val="21"/>
                    </w:rPr>
                  </w:pPr>
                </w:p>
              </w:tc>
              <w:tc>
                <w:tcPr>
                  <w:tcW w:w="518" w:type="pct"/>
                  <w:tcBorders>
                    <w:top w:val="single" w:color="000000" w:sz="4" w:space="0"/>
                    <w:left w:val="single" w:color="000000" w:sz="4" w:space="0"/>
                    <w:bottom w:val="single" w:color="000000" w:sz="4" w:space="0"/>
                    <w:right w:val="single" w:color="000000" w:sz="4" w:space="0"/>
                  </w:tcBorders>
                  <w:vAlign w:val="center"/>
                </w:tcPr>
                <w:p w14:paraId="521DFC3C">
                  <w:pPr>
                    <w:adjustRightInd w:val="0"/>
                    <w:snapToGrid w:val="0"/>
                    <w:jc w:val="center"/>
                    <w:rPr>
                      <w:rFonts w:hint="default" w:ascii="Times New Roman" w:hAnsi="Times New Roman" w:eastAsia="宋体" w:cs="Times New Roman"/>
                      <w:b/>
                      <w:color w:val="auto"/>
                      <w:szCs w:val="21"/>
                    </w:rPr>
                  </w:pPr>
                </w:p>
              </w:tc>
              <w:tc>
                <w:tcPr>
                  <w:tcW w:w="714" w:type="pct"/>
                  <w:vMerge w:val="restart"/>
                  <w:tcBorders>
                    <w:left w:val="single" w:color="000000" w:sz="4" w:space="0"/>
                    <w:right w:val="single" w:color="000000" w:sz="4" w:space="0"/>
                  </w:tcBorders>
                  <w:vAlign w:val="center"/>
                </w:tcPr>
                <w:p w14:paraId="25E3F8CE">
                  <w:pPr>
                    <w:kinsoku w:val="0"/>
                    <w:overflowPunct w:val="0"/>
                    <w:autoSpaceDE w:val="0"/>
                    <w:autoSpaceDN w:val="0"/>
                    <w:adjustRightInd w:val="0"/>
                    <w:spacing w:before="94"/>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szCs w:val="21"/>
                    </w:rPr>
                    <w:t>地表水</w:t>
                  </w:r>
                </w:p>
              </w:tc>
              <w:tc>
                <w:tcPr>
                  <w:tcW w:w="1456" w:type="pct"/>
                  <w:vMerge w:val="restart"/>
                  <w:tcBorders>
                    <w:left w:val="single" w:color="000000" w:sz="4" w:space="0"/>
                    <w:right w:val="single" w:color="000000" w:sz="4" w:space="0"/>
                  </w:tcBorders>
                  <w:vAlign w:val="center"/>
                </w:tcPr>
                <w:p w14:paraId="37B1F59E">
                  <w:pPr>
                    <w:kinsoku w:val="0"/>
                    <w:overflowPunct w:val="0"/>
                    <w:autoSpaceDE w:val="0"/>
                    <w:autoSpaceDN w:val="0"/>
                    <w:adjustRightInd w:val="0"/>
                    <w:spacing w:before="10" w:line="272" w:lineRule="exact"/>
                    <w:ind w:left="113" w:right="108"/>
                    <w:jc w:val="center"/>
                    <w:rPr>
                      <w:rFonts w:hint="default" w:ascii="Times New Roman" w:hAnsi="Times New Roman" w:eastAsia="宋体" w:cs="Times New Roman"/>
                      <w:b w:val="0"/>
                      <w:bCs w:val="0"/>
                      <w:color w:val="auto"/>
                      <w:spacing w:val="-2"/>
                      <w:szCs w:val="21"/>
                    </w:rPr>
                  </w:pPr>
                  <w:r>
                    <w:rPr>
                      <w:rFonts w:hint="default" w:ascii="Times New Roman" w:hAnsi="Times New Roman" w:eastAsia="宋体" w:cs="Times New Roman"/>
                      <w:b w:val="0"/>
                      <w:bCs w:val="0"/>
                      <w:color w:val="auto"/>
                      <w:spacing w:val="-2"/>
                      <w:szCs w:val="21"/>
                    </w:rPr>
                    <w:t>《地表水环境质量标准》</w:t>
                  </w:r>
                </w:p>
                <w:p w14:paraId="28DE0420">
                  <w:pPr>
                    <w:kinsoku w:val="0"/>
                    <w:overflowPunct w:val="0"/>
                    <w:autoSpaceDE w:val="0"/>
                    <w:autoSpaceDN w:val="0"/>
                    <w:adjustRightInd w:val="0"/>
                    <w:spacing w:before="10" w:line="272" w:lineRule="exact"/>
                    <w:ind w:left="113" w:right="108"/>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2"/>
                      <w:szCs w:val="21"/>
                    </w:rPr>
                    <w:t>（GB3838-2002）Ⅴ</w:t>
                  </w:r>
                  <w:r>
                    <w:rPr>
                      <w:rFonts w:hint="default" w:ascii="Times New Roman" w:hAnsi="Times New Roman" w:eastAsia="宋体" w:cs="Times New Roman"/>
                      <w:b w:val="0"/>
                      <w:bCs w:val="0"/>
                      <w:color w:val="auto"/>
                      <w:spacing w:val="-3"/>
                      <w:szCs w:val="21"/>
                    </w:rPr>
                    <w:t>类</w:t>
                  </w:r>
                </w:p>
              </w:tc>
              <w:tc>
                <w:tcPr>
                  <w:tcW w:w="462" w:type="pct"/>
                  <w:tcBorders>
                    <w:left w:val="single" w:color="000000" w:sz="4" w:space="0"/>
                    <w:bottom w:val="single" w:color="000000" w:sz="4" w:space="0"/>
                    <w:right w:val="single" w:color="000000" w:sz="4" w:space="0"/>
                  </w:tcBorders>
                  <w:vAlign w:val="center"/>
                </w:tcPr>
                <w:p w14:paraId="04708507">
                  <w:pPr>
                    <w:kinsoku w:val="0"/>
                    <w:overflowPunct w:val="0"/>
                    <w:autoSpaceDE w:val="0"/>
                    <w:autoSpaceDN w:val="0"/>
                    <w:adjustRightInd w:val="0"/>
                    <w:spacing w:before="74"/>
                    <w:jc w:val="center"/>
                    <w:rPr>
                      <w:rFonts w:hint="default" w:ascii="Times New Roman" w:hAnsi="Times New Roman" w:eastAsia="宋体" w:cs="Times New Roman"/>
                      <w:b w:val="0"/>
                      <w:bCs w:val="0"/>
                      <w:color w:val="auto"/>
                      <w:spacing w:val="-2"/>
                      <w:szCs w:val="21"/>
                      <w:lang w:val="en-US" w:eastAsia="zh-CN"/>
                    </w:rPr>
                  </w:pPr>
                  <w:r>
                    <w:rPr>
                      <w:rFonts w:hint="default" w:ascii="Times New Roman" w:hAnsi="Times New Roman" w:eastAsia="宋体" w:cs="Times New Roman"/>
                      <w:b w:val="0"/>
                      <w:bCs w:val="0"/>
                      <w:color w:val="auto"/>
                      <w:spacing w:val="-2"/>
                      <w:szCs w:val="21"/>
                      <w:lang w:val="en-US" w:eastAsia="zh-CN"/>
                    </w:rPr>
                    <w:t>西面</w:t>
                  </w:r>
                </w:p>
              </w:tc>
              <w:tc>
                <w:tcPr>
                  <w:tcW w:w="578" w:type="pct"/>
                  <w:tcBorders>
                    <w:left w:val="single" w:color="000000" w:sz="4" w:space="0"/>
                    <w:bottom w:val="single" w:color="000000" w:sz="4" w:space="0"/>
                    <w:right w:val="single" w:color="000000" w:sz="4" w:space="0"/>
                  </w:tcBorders>
                  <w:vAlign w:val="center"/>
                </w:tcPr>
                <w:p w14:paraId="5375246B">
                  <w:pPr>
                    <w:kinsoku w:val="0"/>
                    <w:overflowPunct w:val="0"/>
                    <w:autoSpaceDE w:val="0"/>
                    <w:autoSpaceDN w:val="0"/>
                    <w:adjustRightInd w:val="0"/>
                    <w:spacing w:before="74"/>
                    <w:jc w:val="center"/>
                    <w:rPr>
                      <w:rFonts w:hint="default" w:ascii="Times New Roman" w:hAnsi="Times New Roman" w:eastAsia="宋体" w:cs="Times New Roman"/>
                      <w:b/>
                      <w:bCs/>
                      <w:color w:val="auto"/>
                      <w:spacing w:val="-2"/>
                      <w:szCs w:val="21"/>
                      <w:lang w:val="en-US" w:eastAsia="zh-CN"/>
                    </w:rPr>
                  </w:pPr>
                  <w:r>
                    <w:rPr>
                      <w:rFonts w:hint="default" w:ascii="Times New Roman" w:hAnsi="Times New Roman" w:eastAsia="宋体" w:cs="Times New Roman"/>
                      <w:b w:val="0"/>
                      <w:bCs w:val="0"/>
                      <w:color w:val="auto"/>
                      <w:spacing w:val="-2"/>
                      <w:szCs w:val="21"/>
                      <w:lang w:val="en-US" w:eastAsia="zh-CN"/>
                    </w:rPr>
                    <w:t>196</w:t>
                  </w:r>
                </w:p>
              </w:tc>
            </w:tr>
            <w:tr w14:paraId="42E763DF">
              <w:tblPrEx>
                <w:tblCellMar>
                  <w:top w:w="0" w:type="dxa"/>
                  <w:left w:w="0" w:type="dxa"/>
                  <w:bottom w:w="0" w:type="dxa"/>
                  <w:right w:w="0" w:type="dxa"/>
                </w:tblCellMar>
              </w:tblPrEx>
              <w:trPr>
                <w:trHeight w:val="700" w:hRule="exact"/>
                <w:jc w:val="center"/>
              </w:trPr>
              <w:tc>
                <w:tcPr>
                  <w:tcW w:w="616" w:type="pct"/>
                  <w:tcBorders>
                    <w:top w:val="single" w:color="000000" w:sz="4" w:space="0"/>
                    <w:left w:val="single" w:color="000000" w:sz="4" w:space="0"/>
                    <w:bottom w:val="single" w:color="000000" w:sz="4" w:space="0"/>
                    <w:right w:val="single" w:color="000000" w:sz="4" w:space="0"/>
                  </w:tcBorders>
                  <w:vAlign w:val="center"/>
                </w:tcPr>
                <w:p w14:paraId="57EECEF9">
                  <w:pPr>
                    <w:kinsoku w:val="0"/>
                    <w:overflowPunct w:val="0"/>
                    <w:autoSpaceDE w:val="0"/>
                    <w:autoSpaceDN w:val="0"/>
                    <w:adjustRightInd w:val="0"/>
                    <w:spacing w:before="45"/>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szCs w:val="21"/>
                    </w:rPr>
                    <w:t>新西河</w:t>
                  </w:r>
                </w:p>
              </w:tc>
              <w:tc>
                <w:tcPr>
                  <w:tcW w:w="653" w:type="pct"/>
                  <w:tcBorders>
                    <w:top w:val="single" w:color="000000" w:sz="4" w:space="0"/>
                    <w:left w:val="single" w:color="000000" w:sz="4" w:space="0"/>
                    <w:bottom w:val="single" w:color="000000" w:sz="4" w:space="0"/>
                    <w:right w:val="single" w:color="000000" w:sz="4" w:space="0"/>
                  </w:tcBorders>
                  <w:vAlign w:val="center"/>
                </w:tcPr>
                <w:p w14:paraId="3F398B17">
                  <w:pPr>
                    <w:kinsoku w:val="0"/>
                    <w:overflowPunct w:val="0"/>
                    <w:autoSpaceDE w:val="0"/>
                    <w:autoSpaceDN w:val="0"/>
                    <w:adjustRightInd w:val="0"/>
                    <w:spacing w:before="94"/>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518" w:type="pct"/>
                  <w:tcBorders>
                    <w:top w:val="single" w:color="000000" w:sz="4" w:space="0"/>
                    <w:left w:val="single" w:color="000000" w:sz="4" w:space="0"/>
                    <w:bottom w:val="single" w:color="000000" w:sz="4" w:space="0"/>
                    <w:right w:val="single" w:color="000000" w:sz="4" w:space="0"/>
                  </w:tcBorders>
                  <w:vAlign w:val="center"/>
                </w:tcPr>
                <w:p w14:paraId="75D1D568">
                  <w:pPr>
                    <w:kinsoku w:val="0"/>
                    <w:overflowPunct w:val="0"/>
                    <w:autoSpaceDE w:val="0"/>
                    <w:autoSpaceDN w:val="0"/>
                    <w:adjustRightInd w:val="0"/>
                    <w:spacing w:before="94"/>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14" w:type="pct"/>
                  <w:vMerge w:val="continue"/>
                  <w:tcBorders>
                    <w:left w:val="single" w:color="000000" w:sz="4" w:space="0"/>
                    <w:bottom w:val="single" w:color="000000" w:sz="4" w:space="0"/>
                    <w:right w:val="single" w:color="000000" w:sz="4" w:space="0"/>
                  </w:tcBorders>
                  <w:vAlign w:val="center"/>
                </w:tcPr>
                <w:p w14:paraId="53899A36">
                  <w:pPr>
                    <w:kinsoku w:val="0"/>
                    <w:overflowPunct w:val="0"/>
                    <w:autoSpaceDE w:val="0"/>
                    <w:autoSpaceDN w:val="0"/>
                    <w:adjustRightInd w:val="0"/>
                    <w:spacing w:before="94"/>
                    <w:jc w:val="center"/>
                    <w:rPr>
                      <w:rFonts w:hint="default" w:ascii="Times New Roman" w:hAnsi="Times New Roman" w:eastAsia="宋体" w:cs="Times New Roman"/>
                      <w:color w:val="auto"/>
                    </w:rPr>
                  </w:pPr>
                </w:p>
              </w:tc>
              <w:tc>
                <w:tcPr>
                  <w:tcW w:w="1456" w:type="pct"/>
                  <w:vMerge w:val="continue"/>
                  <w:tcBorders>
                    <w:left w:val="single" w:color="000000" w:sz="4" w:space="0"/>
                    <w:bottom w:val="single" w:color="000000" w:sz="4" w:space="0"/>
                    <w:right w:val="single" w:color="000000" w:sz="4" w:space="0"/>
                  </w:tcBorders>
                  <w:vAlign w:val="center"/>
                </w:tcPr>
                <w:p w14:paraId="0FB85AE0">
                  <w:pPr>
                    <w:kinsoku w:val="0"/>
                    <w:overflowPunct w:val="0"/>
                    <w:autoSpaceDE w:val="0"/>
                    <w:autoSpaceDN w:val="0"/>
                    <w:adjustRightInd w:val="0"/>
                    <w:spacing w:before="10" w:line="272" w:lineRule="exact"/>
                    <w:ind w:left="113" w:right="108"/>
                    <w:jc w:val="center"/>
                    <w:rPr>
                      <w:rFonts w:hint="default" w:ascii="Times New Roman" w:hAnsi="Times New Roman" w:eastAsia="宋体" w:cs="Times New Roman"/>
                      <w:color w:val="auto"/>
                    </w:rPr>
                  </w:pPr>
                </w:p>
              </w:tc>
              <w:tc>
                <w:tcPr>
                  <w:tcW w:w="462" w:type="pct"/>
                  <w:tcBorders>
                    <w:top w:val="single" w:color="000000" w:sz="4" w:space="0"/>
                    <w:left w:val="single" w:color="000000" w:sz="4" w:space="0"/>
                    <w:bottom w:val="single" w:color="000000" w:sz="4" w:space="0"/>
                    <w:right w:val="single" w:color="000000" w:sz="4" w:space="0"/>
                  </w:tcBorders>
                  <w:vAlign w:val="center"/>
                </w:tcPr>
                <w:p w14:paraId="6249389C">
                  <w:pPr>
                    <w:kinsoku w:val="0"/>
                    <w:overflowPunct w:val="0"/>
                    <w:autoSpaceDE w:val="0"/>
                    <w:autoSpaceDN w:val="0"/>
                    <w:adjustRightInd w:val="0"/>
                    <w:spacing w:before="94"/>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lang w:val="en-US" w:eastAsia="zh-CN"/>
                    </w:rPr>
                    <w:t>西</w:t>
                  </w:r>
                  <w:r>
                    <w:rPr>
                      <w:rFonts w:hint="default" w:ascii="Times New Roman" w:hAnsi="Times New Roman" w:eastAsia="宋体" w:cs="Times New Roman"/>
                      <w:color w:val="auto"/>
                      <w:szCs w:val="21"/>
                    </w:rPr>
                    <w:t>南面</w:t>
                  </w:r>
                </w:p>
              </w:tc>
              <w:tc>
                <w:tcPr>
                  <w:tcW w:w="578" w:type="pct"/>
                  <w:tcBorders>
                    <w:top w:val="single" w:color="000000" w:sz="4" w:space="0"/>
                    <w:left w:val="single" w:color="000000" w:sz="4" w:space="0"/>
                    <w:bottom w:val="single" w:color="000000" w:sz="4" w:space="0"/>
                    <w:right w:val="single" w:color="000000" w:sz="4" w:space="0"/>
                  </w:tcBorders>
                  <w:vAlign w:val="center"/>
                </w:tcPr>
                <w:p w14:paraId="3D754C4A">
                  <w:pPr>
                    <w:kinsoku w:val="0"/>
                    <w:overflowPunct w:val="0"/>
                    <w:autoSpaceDE w:val="0"/>
                    <w:autoSpaceDN w:val="0"/>
                    <w:adjustRightInd w:val="0"/>
                    <w:spacing w:before="94"/>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2981</w:t>
                  </w:r>
                </w:p>
              </w:tc>
            </w:tr>
            <w:tr w14:paraId="75B82CB8">
              <w:tblPrEx>
                <w:tblCellMar>
                  <w:top w:w="0" w:type="dxa"/>
                  <w:left w:w="0" w:type="dxa"/>
                  <w:bottom w:w="0" w:type="dxa"/>
                  <w:right w:w="0" w:type="dxa"/>
                </w:tblCellMar>
              </w:tblPrEx>
              <w:trPr>
                <w:trHeight w:val="1146" w:hRule="exact"/>
                <w:jc w:val="center"/>
              </w:trPr>
              <w:tc>
                <w:tcPr>
                  <w:tcW w:w="616" w:type="pct"/>
                  <w:tcBorders>
                    <w:top w:val="single" w:color="000000" w:sz="4" w:space="0"/>
                    <w:left w:val="single" w:color="000000" w:sz="4" w:space="0"/>
                    <w:bottom w:val="single" w:color="000000" w:sz="4" w:space="0"/>
                    <w:right w:val="single" w:color="000000" w:sz="4" w:space="0"/>
                  </w:tcBorders>
                  <w:vAlign w:val="center"/>
                </w:tcPr>
                <w:p w14:paraId="4429A8A9">
                  <w:pPr>
                    <w:kinsoku w:val="0"/>
                    <w:overflowPunct w:val="0"/>
                    <w:autoSpaceDE w:val="0"/>
                    <w:autoSpaceDN w:val="0"/>
                    <w:adjustRightInd w:val="0"/>
                    <w:spacing w:before="45"/>
                    <w:jc w:val="center"/>
                    <w:rPr>
                      <w:rFonts w:hint="default" w:ascii="Times New Roman" w:hAnsi="Times New Roman" w:eastAsia="宋体" w:cs="Times New Roman"/>
                      <w:color w:val="auto"/>
                      <w:spacing w:val="-2"/>
                      <w:szCs w:val="21"/>
                    </w:rPr>
                  </w:pPr>
                  <w:r>
                    <w:rPr>
                      <w:rFonts w:hint="default" w:ascii="Times New Roman" w:hAnsi="Times New Roman" w:eastAsia="宋体" w:cs="Times New Roman"/>
                      <w:color w:val="auto"/>
                      <w:spacing w:val="-2"/>
                      <w:szCs w:val="21"/>
                    </w:rPr>
                    <w:t>玉溪大河</w:t>
                  </w:r>
                </w:p>
              </w:tc>
              <w:tc>
                <w:tcPr>
                  <w:tcW w:w="653" w:type="pct"/>
                  <w:tcBorders>
                    <w:top w:val="single" w:color="000000" w:sz="4" w:space="0"/>
                    <w:left w:val="single" w:color="000000" w:sz="4" w:space="0"/>
                    <w:bottom w:val="single" w:color="000000" w:sz="4" w:space="0"/>
                    <w:right w:val="single" w:color="000000" w:sz="4" w:space="0"/>
                  </w:tcBorders>
                  <w:vAlign w:val="center"/>
                </w:tcPr>
                <w:p w14:paraId="1869468B">
                  <w:pPr>
                    <w:kinsoku w:val="0"/>
                    <w:overflowPunct w:val="0"/>
                    <w:autoSpaceDE w:val="0"/>
                    <w:autoSpaceDN w:val="0"/>
                    <w:adjustRightInd w:val="0"/>
                    <w:spacing w:before="94"/>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518" w:type="pct"/>
                  <w:tcBorders>
                    <w:top w:val="single" w:color="000000" w:sz="4" w:space="0"/>
                    <w:left w:val="single" w:color="000000" w:sz="4" w:space="0"/>
                    <w:bottom w:val="single" w:color="000000" w:sz="4" w:space="0"/>
                    <w:right w:val="single" w:color="000000" w:sz="4" w:space="0"/>
                  </w:tcBorders>
                  <w:vAlign w:val="center"/>
                </w:tcPr>
                <w:p w14:paraId="545C2995">
                  <w:pPr>
                    <w:kinsoku w:val="0"/>
                    <w:overflowPunct w:val="0"/>
                    <w:autoSpaceDE w:val="0"/>
                    <w:autoSpaceDN w:val="0"/>
                    <w:adjustRightInd w:val="0"/>
                    <w:spacing w:before="94"/>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c>
                <w:tcPr>
                  <w:tcW w:w="714" w:type="pct"/>
                  <w:tcBorders>
                    <w:top w:val="single" w:color="000000" w:sz="4" w:space="0"/>
                    <w:left w:val="single" w:color="000000" w:sz="4" w:space="0"/>
                    <w:bottom w:val="single" w:color="000000" w:sz="4" w:space="0"/>
                    <w:right w:val="single" w:color="000000" w:sz="4" w:space="0"/>
                  </w:tcBorders>
                  <w:vAlign w:val="center"/>
                </w:tcPr>
                <w:p w14:paraId="191AA1AF">
                  <w:pPr>
                    <w:kinsoku w:val="0"/>
                    <w:overflowPunct w:val="0"/>
                    <w:autoSpaceDE w:val="0"/>
                    <w:autoSpaceDN w:val="0"/>
                    <w:adjustRightInd w:val="0"/>
                    <w:spacing w:before="9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2"/>
                      <w:szCs w:val="21"/>
                    </w:rPr>
                    <w:t>地表水</w:t>
                  </w:r>
                </w:p>
              </w:tc>
              <w:tc>
                <w:tcPr>
                  <w:tcW w:w="1456" w:type="pct"/>
                  <w:tcBorders>
                    <w:top w:val="single" w:color="000000" w:sz="4" w:space="0"/>
                    <w:left w:val="single" w:color="000000" w:sz="4" w:space="0"/>
                    <w:bottom w:val="single" w:color="000000" w:sz="4" w:space="0"/>
                    <w:right w:val="single" w:color="000000" w:sz="4" w:space="0"/>
                  </w:tcBorders>
                  <w:vAlign w:val="center"/>
                </w:tcPr>
                <w:p w14:paraId="0D3C7169">
                  <w:pPr>
                    <w:kinsoku w:val="0"/>
                    <w:overflowPunct w:val="0"/>
                    <w:autoSpaceDE w:val="0"/>
                    <w:autoSpaceDN w:val="0"/>
                    <w:adjustRightInd w:val="0"/>
                    <w:spacing w:before="10" w:line="272" w:lineRule="exact"/>
                    <w:ind w:left="113" w:right="108"/>
                    <w:jc w:val="center"/>
                    <w:rPr>
                      <w:rFonts w:hint="default" w:ascii="Times New Roman" w:hAnsi="Times New Roman" w:eastAsia="宋体" w:cs="Times New Roman"/>
                      <w:color w:val="auto"/>
                      <w:spacing w:val="-2"/>
                      <w:szCs w:val="21"/>
                    </w:rPr>
                  </w:pPr>
                  <w:r>
                    <w:rPr>
                      <w:rFonts w:hint="default" w:ascii="Times New Roman" w:hAnsi="Times New Roman" w:eastAsia="宋体" w:cs="Times New Roman"/>
                      <w:color w:val="auto"/>
                      <w:spacing w:val="-2"/>
                      <w:szCs w:val="21"/>
                    </w:rPr>
                    <w:t>《地表水环境质量标准》</w:t>
                  </w:r>
                </w:p>
                <w:p w14:paraId="656C1694">
                  <w:pPr>
                    <w:kinsoku w:val="0"/>
                    <w:overflowPunct w:val="0"/>
                    <w:autoSpaceDE w:val="0"/>
                    <w:autoSpaceDN w:val="0"/>
                    <w:adjustRightInd w:val="0"/>
                    <w:spacing w:before="10" w:line="272" w:lineRule="exact"/>
                    <w:ind w:left="113" w:right="108"/>
                    <w:jc w:val="center"/>
                    <w:rPr>
                      <w:rFonts w:hint="default" w:ascii="Times New Roman" w:hAnsi="Times New Roman" w:eastAsia="宋体" w:cs="Times New Roman"/>
                      <w:color w:val="auto"/>
                      <w:spacing w:val="-2"/>
                      <w:szCs w:val="21"/>
                    </w:rPr>
                  </w:pPr>
                  <w:r>
                    <w:rPr>
                      <w:rFonts w:hint="default" w:ascii="Times New Roman" w:hAnsi="Times New Roman" w:eastAsia="宋体" w:cs="Times New Roman"/>
                      <w:color w:val="auto"/>
                      <w:spacing w:val="-2"/>
                      <w:szCs w:val="21"/>
                    </w:rPr>
                    <w:t>（GB3838-2002）Ⅲ</w:t>
                  </w:r>
                  <w:r>
                    <w:rPr>
                      <w:rFonts w:hint="default" w:ascii="Times New Roman" w:hAnsi="Times New Roman" w:eastAsia="宋体" w:cs="Times New Roman"/>
                      <w:color w:val="auto"/>
                      <w:spacing w:val="-3"/>
                      <w:szCs w:val="21"/>
                    </w:rPr>
                    <w:t>类</w:t>
                  </w:r>
                </w:p>
              </w:tc>
              <w:tc>
                <w:tcPr>
                  <w:tcW w:w="462" w:type="pct"/>
                  <w:tcBorders>
                    <w:top w:val="single" w:color="000000" w:sz="4" w:space="0"/>
                    <w:left w:val="single" w:color="000000" w:sz="4" w:space="0"/>
                    <w:bottom w:val="single" w:color="000000" w:sz="4" w:space="0"/>
                    <w:right w:val="single" w:color="000000" w:sz="4" w:space="0"/>
                  </w:tcBorders>
                  <w:vAlign w:val="center"/>
                </w:tcPr>
                <w:p w14:paraId="64A765A1">
                  <w:pPr>
                    <w:kinsoku w:val="0"/>
                    <w:overflowPunct w:val="0"/>
                    <w:autoSpaceDE w:val="0"/>
                    <w:autoSpaceDN w:val="0"/>
                    <w:adjustRightInd w:val="0"/>
                    <w:spacing w:before="94"/>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西</w:t>
                  </w:r>
                  <w:r>
                    <w:rPr>
                      <w:rFonts w:hint="default" w:ascii="Times New Roman" w:hAnsi="Times New Roman" w:eastAsia="宋体" w:cs="Times New Roman"/>
                      <w:color w:val="auto"/>
                      <w:szCs w:val="21"/>
                    </w:rPr>
                    <w:t>南面</w:t>
                  </w:r>
                </w:p>
              </w:tc>
              <w:tc>
                <w:tcPr>
                  <w:tcW w:w="578" w:type="pct"/>
                  <w:tcBorders>
                    <w:top w:val="single" w:color="000000" w:sz="4" w:space="0"/>
                    <w:left w:val="single" w:color="000000" w:sz="4" w:space="0"/>
                    <w:bottom w:val="single" w:color="000000" w:sz="4" w:space="0"/>
                    <w:right w:val="single" w:color="000000" w:sz="4" w:space="0"/>
                  </w:tcBorders>
                  <w:vAlign w:val="center"/>
                </w:tcPr>
                <w:p w14:paraId="27AF0053">
                  <w:pPr>
                    <w:kinsoku w:val="0"/>
                    <w:overflowPunct w:val="0"/>
                    <w:autoSpaceDE w:val="0"/>
                    <w:autoSpaceDN w:val="0"/>
                    <w:adjustRightInd w:val="0"/>
                    <w:spacing w:before="94"/>
                    <w:jc w:val="center"/>
                    <w:rPr>
                      <w:rFonts w:hint="default" w:ascii="Times New Roman" w:hAnsi="Times New Roman" w:eastAsia="宋体" w:cs="Times New Roman"/>
                      <w:color w:val="auto"/>
                      <w:spacing w:val="-2"/>
                      <w:szCs w:val="21"/>
                      <w:lang w:val="en-US" w:eastAsia="zh-CN"/>
                    </w:rPr>
                  </w:pPr>
                  <w:r>
                    <w:rPr>
                      <w:rFonts w:hint="default" w:ascii="Times New Roman" w:hAnsi="Times New Roman" w:eastAsia="宋体" w:cs="Times New Roman"/>
                      <w:color w:val="auto"/>
                      <w:spacing w:val="-2"/>
                      <w:szCs w:val="21"/>
                      <w:lang w:val="en-US" w:eastAsia="zh-CN"/>
                    </w:rPr>
                    <w:t>3598</w:t>
                  </w:r>
                </w:p>
              </w:tc>
            </w:tr>
          </w:tbl>
          <w:p w14:paraId="4C405688">
            <w:pPr>
              <w:adjustRightInd w:val="0"/>
              <w:snapToGrid w:val="0"/>
              <w:rPr>
                <w:rFonts w:hint="default" w:ascii="Times New Roman" w:hAnsi="Times New Roman" w:eastAsia="宋体" w:cs="Times New Roman"/>
                <w:color w:val="auto"/>
                <w:kern w:val="0"/>
                <w:szCs w:val="21"/>
              </w:rPr>
            </w:pPr>
          </w:p>
        </w:tc>
      </w:tr>
      <w:tr w14:paraId="17061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459" w:type="dxa"/>
            <w:tcMar>
              <w:left w:w="28" w:type="dxa"/>
              <w:right w:w="28" w:type="dxa"/>
            </w:tcMar>
            <w:vAlign w:val="center"/>
          </w:tcPr>
          <w:p w14:paraId="7AC80CC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w:t>
            </w:r>
          </w:p>
          <w:p w14:paraId="679F2C0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物排</w:t>
            </w:r>
          </w:p>
          <w:p w14:paraId="6068B439">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放控</w:t>
            </w:r>
          </w:p>
          <w:p w14:paraId="2BD6EAF1">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制标</w:t>
            </w:r>
          </w:p>
          <w:p w14:paraId="6EFFD92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准</w:t>
            </w:r>
          </w:p>
        </w:tc>
        <w:tc>
          <w:tcPr>
            <w:tcW w:w="8729" w:type="dxa"/>
            <w:vAlign w:val="center"/>
          </w:tcPr>
          <w:p w14:paraId="352C84D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3.12 大气污染物排放控制标准</w:t>
            </w:r>
          </w:p>
          <w:p w14:paraId="4A18547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14:paraId="7E3DF503">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本项目施工期扬尘产生量较少，粉尘执行《大气污染物综合排放标准》（GB16297-1996）表2新污染源大气污染物排放限值中无组织排放浓度监控限值。具体标准限值见下表。</w:t>
            </w:r>
          </w:p>
          <w:p w14:paraId="2FA8F2F5">
            <w:pPr>
              <w:spacing w:line="360" w:lineRule="auto"/>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表3-12  大气污染物无组织排放标准限值一览表  单位：mg/m</w:t>
            </w:r>
            <w:r>
              <w:rPr>
                <w:rFonts w:hint="default" w:ascii="Times New Roman" w:hAnsi="Times New Roman" w:eastAsia="宋体" w:cs="Times New Roman"/>
                <w:b/>
                <w:bCs/>
                <w:color w:val="auto"/>
                <w:szCs w:val="21"/>
                <w:vertAlign w:val="superscript"/>
              </w:rPr>
              <w:t>3</w:t>
            </w:r>
          </w:p>
          <w:tbl>
            <w:tblPr>
              <w:tblStyle w:val="25"/>
              <w:tblW w:w="804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65"/>
              <w:gridCol w:w="5177"/>
            </w:tblGrid>
            <w:tr w14:paraId="758A3D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65" w:type="dxa"/>
                  <w:tcBorders>
                    <w:top w:val="single" w:color="auto" w:sz="4" w:space="0"/>
                    <w:left w:val="single" w:color="auto" w:sz="6" w:space="0"/>
                    <w:bottom w:val="single" w:color="auto" w:sz="4" w:space="0"/>
                    <w:right w:val="single" w:color="auto" w:sz="6" w:space="0"/>
                  </w:tcBorders>
                  <w:vAlign w:val="center"/>
                </w:tcPr>
                <w:p w14:paraId="57D51DC6">
                  <w:pPr>
                    <w:spacing w:before="60" w:beforeLines="25" w:after="60" w:afterLines="25"/>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污染物名称</w:t>
                  </w:r>
                </w:p>
              </w:tc>
              <w:tc>
                <w:tcPr>
                  <w:tcW w:w="5177" w:type="dxa"/>
                  <w:tcBorders>
                    <w:top w:val="single" w:color="auto" w:sz="6" w:space="0"/>
                    <w:left w:val="nil"/>
                    <w:bottom w:val="single" w:color="auto" w:sz="6" w:space="0"/>
                    <w:right w:val="single" w:color="auto" w:sz="4" w:space="0"/>
                  </w:tcBorders>
                  <w:vAlign w:val="center"/>
                </w:tcPr>
                <w:p w14:paraId="24F92339">
                  <w:pPr>
                    <w:spacing w:before="60" w:beforeLines="25" w:after="60" w:afterLines="25"/>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周界外浓度最高点无组织排放标准限值</w:t>
                  </w:r>
                </w:p>
              </w:tc>
            </w:tr>
            <w:tr w14:paraId="681D1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65" w:type="dxa"/>
                  <w:tcBorders>
                    <w:top w:val="single" w:color="auto" w:sz="4" w:space="0"/>
                    <w:left w:val="single" w:color="auto" w:sz="6" w:space="0"/>
                    <w:bottom w:val="single" w:color="auto" w:sz="4" w:space="0"/>
                    <w:right w:val="single" w:color="auto" w:sz="6" w:space="0"/>
                  </w:tcBorders>
                  <w:vAlign w:val="center"/>
                </w:tcPr>
                <w:p w14:paraId="64C73DA3">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5177" w:type="dxa"/>
                  <w:tcBorders>
                    <w:top w:val="single" w:color="auto" w:sz="6" w:space="0"/>
                    <w:left w:val="nil"/>
                    <w:bottom w:val="single" w:color="auto" w:sz="6" w:space="0"/>
                    <w:right w:val="single" w:color="auto" w:sz="4" w:space="0"/>
                  </w:tcBorders>
                  <w:vAlign w:val="center"/>
                </w:tcPr>
                <w:p w14:paraId="72C18DA5">
                  <w:pPr>
                    <w:spacing w:before="60" w:beforeLines="25" w:after="60" w:afterLines="25"/>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14:paraId="58F81BCE">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（2）运营期</w:t>
            </w:r>
          </w:p>
          <w:p w14:paraId="483EF728">
            <w:pPr>
              <w:pStyle w:val="31"/>
              <w:ind w:firstLine="42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①</w:t>
            </w:r>
            <w:r>
              <w:rPr>
                <w:rFonts w:hint="default" w:ascii="Times New Roman" w:hAnsi="Times New Roman" w:eastAsia="宋体" w:cs="Times New Roman"/>
                <w:b/>
                <w:bCs/>
                <w:color w:val="auto"/>
              </w:rPr>
              <w:t>有组织废气：</w:t>
            </w:r>
          </w:p>
          <w:p w14:paraId="4B6CB44C">
            <w:pPr>
              <w:pStyle w:val="31"/>
              <w:ind w:firstLine="42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DA002</w:t>
            </w:r>
          </w:p>
          <w:p w14:paraId="56AF1BD9">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4t/h的</w:t>
            </w:r>
            <w:r>
              <w:rPr>
                <w:rFonts w:hint="default" w:ascii="Times New Roman" w:hAnsi="Times New Roman" w:eastAsia="宋体" w:cs="Times New Roman"/>
                <w:color w:val="auto"/>
                <w:sz w:val="21"/>
                <w:szCs w:val="21"/>
                <w:lang w:eastAsia="zh-CN"/>
              </w:rPr>
              <w:t>生物质</w:t>
            </w:r>
            <w:r>
              <w:rPr>
                <w:rFonts w:hint="default" w:ascii="Times New Roman" w:hAnsi="Times New Roman" w:eastAsia="宋体" w:cs="Times New Roman"/>
                <w:color w:val="auto"/>
                <w:sz w:val="21"/>
                <w:szCs w:val="21"/>
                <w:lang w:val="en-US" w:eastAsia="zh-CN"/>
              </w:rPr>
              <w:t>锅炉</w:t>
            </w:r>
            <w:r>
              <w:rPr>
                <w:rFonts w:hint="default" w:ascii="Times New Roman" w:hAnsi="Times New Roman" w:eastAsia="宋体" w:cs="Times New Roman"/>
                <w:color w:val="auto"/>
                <w:sz w:val="21"/>
                <w:szCs w:val="21"/>
              </w:rPr>
              <w:t>废气排放执行《锅炉大气污染物排放标准》（GB13271-2014）表2（2014年7月1日起新建锅炉）标准，</w:t>
            </w:r>
            <w:r>
              <w:rPr>
                <w:rFonts w:hint="default" w:ascii="Times New Roman" w:hAnsi="Times New Roman" w:eastAsia="宋体" w:cs="Times New Roman"/>
                <w:color w:val="auto"/>
                <w:sz w:val="21"/>
                <w:szCs w:val="21"/>
                <w:lang w:eastAsia="zh-CN"/>
              </w:rPr>
              <w:t>生物质</w:t>
            </w:r>
            <w:r>
              <w:rPr>
                <w:rFonts w:hint="default" w:ascii="Times New Roman" w:hAnsi="Times New Roman" w:eastAsia="宋体" w:cs="Times New Roman"/>
                <w:color w:val="auto"/>
                <w:sz w:val="21"/>
                <w:szCs w:val="21"/>
                <w:lang w:val="en-US" w:eastAsia="zh-CN"/>
              </w:rPr>
              <w:t>锅炉使用多管除尘+布袋除尘系统</w:t>
            </w:r>
            <w:r>
              <w:rPr>
                <w:rFonts w:hint="default" w:ascii="Times New Roman" w:hAnsi="Times New Roman" w:eastAsia="宋体" w:cs="Times New Roman"/>
                <w:color w:val="auto"/>
                <w:sz w:val="21"/>
                <w:szCs w:val="21"/>
              </w:rPr>
              <w:t>。</w:t>
            </w:r>
          </w:p>
          <w:p w14:paraId="5B24331D">
            <w:pPr>
              <w:adjustRightInd w:val="0"/>
              <w:snapToGrid w:val="0"/>
              <w:ind w:firstLine="422"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表1.3-</w:t>
            </w:r>
            <w:r>
              <w:rPr>
                <w:rFonts w:hint="default"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本次技改</w:t>
            </w:r>
            <w:r>
              <w:rPr>
                <w:rFonts w:hint="default" w:ascii="Times New Roman" w:hAnsi="Times New Roman" w:eastAsia="宋体" w:cs="Times New Roman"/>
                <w:b/>
                <w:bCs/>
                <w:color w:val="auto"/>
                <w:sz w:val="21"/>
                <w:szCs w:val="21"/>
              </w:rPr>
              <w:t>锅炉大气污染物排放浓度限值</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401"/>
              <w:gridCol w:w="1211"/>
              <w:gridCol w:w="1265"/>
              <w:gridCol w:w="2313"/>
              <w:gridCol w:w="1299"/>
            </w:tblGrid>
            <w:tr w14:paraId="7DAB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vAlign w:val="center"/>
                </w:tcPr>
                <w:p w14:paraId="31F8D09F">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404" w:type="dxa"/>
                  <w:vAlign w:val="center"/>
                </w:tcPr>
                <w:p w14:paraId="6EEE6476">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214" w:type="dxa"/>
                  <w:vAlign w:val="center"/>
                </w:tcPr>
                <w:p w14:paraId="2E87EA28">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p w14:paraId="2BB26202">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268" w:type="dxa"/>
                  <w:vAlign w:val="center"/>
                </w:tcPr>
                <w:p w14:paraId="111F0200">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NOx</w:t>
                  </w:r>
                </w:p>
                <w:p w14:paraId="70B6EE46">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2318" w:type="dxa"/>
                  <w:vAlign w:val="center"/>
                </w:tcPr>
                <w:p w14:paraId="69053416">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烟气黑度</w:t>
                  </w:r>
                </w:p>
                <w:p w14:paraId="18BACBDE">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（林格曼黑度，级）</w:t>
                  </w:r>
                </w:p>
              </w:tc>
              <w:tc>
                <w:tcPr>
                  <w:tcW w:w="1302" w:type="dxa"/>
                  <w:vAlign w:val="center"/>
                </w:tcPr>
                <w:p w14:paraId="10C8A6E5">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烟囱高度</w:t>
                  </w:r>
                </w:p>
              </w:tc>
            </w:tr>
            <w:tr w14:paraId="48B9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 w:type="dxa"/>
                  <w:vAlign w:val="center"/>
                </w:tcPr>
                <w:p w14:paraId="5FA7A961">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w:t>
                  </w:r>
                </w:p>
              </w:tc>
              <w:tc>
                <w:tcPr>
                  <w:tcW w:w="1404" w:type="dxa"/>
                  <w:vAlign w:val="center"/>
                </w:tcPr>
                <w:p w14:paraId="172987F8">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tc>
              <w:tc>
                <w:tcPr>
                  <w:tcW w:w="1214" w:type="dxa"/>
                  <w:vAlign w:val="center"/>
                </w:tcPr>
                <w:p w14:paraId="6EA180F2">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1268" w:type="dxa"/>
                  <w:vAlign w:val="center"/>
                </w:tcPr>
                <w:p w14:paraId="5E417F36">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2318" w:type="dxa"/>
                  <w:vAlign w:val="center"/>
                </w:tcPr>
                <w:p w14:paraId="12F6AF40">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02" w:type="dxa"/>
                  <w:vAlign w:val="center"/>
                </w:tcPr>
                <w:p w14:paraId="381B9EA2">
                  <w:pPr>
                    <w:keepNext w:val="0"/>
                    <w:keepLines w:val="0"/>
                    <w:pageBreakBefore w:val="0"/>
                    <w:widowControl w:val="0"/>
                    <w:kinsoku/>
                    <w:wordWrap/>
                    <w:overflowPunct/>
                    <w:topLinePunct w:val="0"/>
                    <w:autoSpaceDE/>
                    <w:autoSpaceDN/>
                    <w:bidi w:val="0"/>
                    <w:adjustRightInd w:val="0"/>
                    <w:snapToGrid w:val="0"/>
                    <w:spacing w:before="99" w:beforeLines="30" w:after="99" w:afterLines="3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35m</w:t>
                  </w:r>
                </w:p>
              </w:tc>
            </w:tr>
          </w:tbl>
          <w:p w14:paraId="10E2B1CF">
            <w:pPr>
              <w:pStyle w:val="31"/>
              <w:ind w:firstLine="42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sz w:val="21"/>
                <w:szCs w:val="21"/>
                <w:lang w:val="en-US" w:eastAsia="zh-CN"/>
              </w:rPr>
              <w:t>烟囱高度设置合理性：本项目烟囱设置地点为锅炉房北侧，周围200m范围内最高建筑为刘家坡村的民房，6层高，每层3m，合计18m，本项目烟囱高度为35m，符合</w:t>
            </w:r>
            <w:r>
              <w:rPr>
                <w:rFonts w:hint="default" w:ascii="Times New Roman" w:hAnsi="Times New Roman" w:eastAsia="宋体" w:cs="Times New Roman"/>
                <w:b w:val="0"/>
                <w:bCs w:val="0"/>
                <w:color w:val="auto"/>
                <w:sz w:val="21"/>
                <w:szCs w:val="21"/>
              </w:rPr>
              <w:t>《锅炉大气污染物排放标准》（GB13271-2014）</w:t>
            </w:r>
            <w:r>
              <w:rPr>
                <w:rFonts w:hint="default" w:ascii="Times New Roman" w:hAnsi="Times New Roman" w:eastAsia="宋体" w:cs="Times New Roman"/>
                <w:b w:val="0"/>
                <w:bCs w:val="0"/>
                <w:color w:val="auto"/>
                <w:sz w:val="21"/>
                <w:szCs w:val="21"/>
                <w:lang w:val="en-US" w:eastAsia="zh-CN"/>
              </w:rPr>
              <w:t>中“</w:t>
            </w:r>
            <w:r>
              <w:rPr>
                <w:rFonts w:hint="default" w:ascii="Times New Roman" w:hAnsi="Times New Roman" w:eastAsia="宋体" w:cs="Times New Roman"/>
                <w:b w:val="0"/>
                <w:bCs w:val="0"/>
                <w:color w:val="auto"/>
                <w:sz w:val="21"/>
                <w:szCs w:val="21"/>
              </w:rPr>
              <w:t>4.5 每个新建燃煤锅炉房只能设一根烟囱，烟囱高度应根据锅炉房装机总容量，按表4规 定执行，燃油、燃气锅炉烟囱不低于8米，锅炉烟囱的具体高度按批复的环境影响评价文件 确定。新建锅炉房的烟囱周围半径200m距离内有建筑物时，其烟囱应高出最高建筑物3m 以上。</w:t>
            </w:r>
            <w:r>
              <w:rPr>
                <w:rFonts w:hint="default" w:ascii="Times New Roman" w:hAnsi="Times New Roman" w:eastAsia="宋体" w:cs="Times New Roman"/>
                <w:b w:val="0"/>
                <w:bCs w:val="0"/>
                <w:color w:val="auto"/>
                <w:sz w:val="21"/>
                <w:szCs w:val="21"/>
                <w:lang w:val="en-US" w:eastAsia="zh-CN"/>
              </w:rPr>
              <w:t>”太极名城距离本项目烟囱直线距离为243m，不在200米范围内。</w:t>
            </w:r>
          </w:p>
          <w:p w14:paraId="6BD49674">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b/>
                <w:bCs/>
                <w:color w:val="auto"/>
                <w:lang w:val="en-US" w:eastAsia="zh-CN"/>
              </w:rPr>
              <w:t>②</w:t>
            </w:r>
            <w:r>
              <w:rPr>
                <w:rFonts w:hint="default" w:ascii="Times New Roman" w:hAnsi="Times New Roman" w:eastAsia="宋体" w:cs="Times New Roman"/>
                <w:b/>
                <w:bCs/>
                <w:color w:val="auto"/>
              </w:rPr>
              <w:t>无组织废气</w:t>
            </w:r>
            <w:r>
              <w:rPr>
                <w:rFonts w:hint="default" w:ascii="Times New Roman" w:hAnsi="Times New Roman" w:eastAsia="宋体" w:cs="Times New Roman"/>
                <w:color w:val="auto"/>
              </w:rPr>
              <w:t>：</w:t>
            </w:r>
          </w:p>
          <w:p w14:paraId="1A05B08E">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厂界无组织</w:t>
            </w:r>
            <w:r>
              <w:rPr>
                <w:rFonts w:hint="default" w:ascii="Times New Roman" w:hAnsi="Times New Roman" w:eastAsia="宋体" w:cs="Times New Roman"/>
                <w:color w:val="auto"/>
                <w:lang w:val="en-US" w:eastAsia="zh-CN"/>
              </w:rPr>
              <w:t>颗粒物</w:t>
            </w:r>
            <w:r>
              <w:rPr>
                <w:rFonts w:hint="default" w:ascii="Times New Roman" w:hAnsi="Times New Roman" w:eastAsia="宋体" w:cs="Times New Roman"/>
                <w:color w:val="auto"/>
              </w:rPr>
              <w:t>排放废气执行《大气污染物综合排放标准》（GB16297-1996）表2标准限值。标准值见下表</w:t>
            </w:r>
            <w:r>
              <w:rPr>
                <w:rFonts w:hint="default" w:ascii="Times New Roman" w:hAnsi="Times New Roman" w:eastAsia="宋体" w:cs="Times New Roman"/>
                <w:color w:val="auto"/>
                <w:lang w:eastAsia="zh-CN"/>
              </w:rPr>
              <w:t>。</w:t>
            </w:r>
          </w:p>
          <w:p w14:paraId="6A96F990">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无组织有机废气排放限值</w:t>
            </w:r>
          </w:p>
          <w:tbl>
            <w:tblPr>
              <w:tblStyle w:val="25"/>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025"/>
              <w:gridCol w:w="2807"/>
              <w:gridCol w:w="2478"/>
            </w:tblGrid>
            <w:tr w14:paraId="00B9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pct"/>
                  <w:vAlign w:val="center"/>
                </w:tcPr>
                <w:p w14:paraId="6CBBA0F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187" w:type="pct"/>
                  <w:vAlign w:val="center"/>
                </w:tcPr>
                <w:p w14:paraId="6C0B6E56">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排放浓度（mg/m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1645" w:type="pct"/>
                  <w:vAlign w:val="center"/>
                </w:tcPr>
                <w:p w14:paraId="3DAC001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限值含义</w:t>
                  </w:r>
                </w:p>
              </w:tc>
              <w:tc>
                <w:tcPr>
                  <w:tcW w:w="1452" w:type="pct"/>
                  <w:vAlign w:val="center"/>
                </w:tcPr>
                <w:p w14:paraId="68DC1B1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无组织排放监控位置</w:t>
                  </w:r>
                </w:p>
              </w:tc>
            </w:tr>
            <w:tr w14:paraId="615E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14" w:type="pct"/>
                  <w:vAlign w:val="center"/>
                </w:tcPr>
                <w:p w14:paraId="0A4CBB2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187" w:type="pct"/>
                  <w:vAlign w:val="center"/>
                </w:tcPr>
                <w:p w14:paraId="22CBA441">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（GB16297-1996）</w:t>
                  </w:r>
                </w:p>
              </w:tc>
              <w:tc>
                <w:tcPr>
                  <w:tcW w:w="1645" w:type="pct"/>
                  <w:vAlign w:val="center"/>
                </w:tcPr>
                <w:p w14:paraId="45A7ED04">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452" w:type="pct"/>
                  <w:vAlign w:val="center"/>
                </w:tcPr>
                <w:p w14:paraId="34994422">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周界外浓度最高点</w:t>
                  </w:r>
                </w:p>
              </w:tc>
            </w:tr>
          </w:tbl>
          <w:p w14:paraId="0E9851C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3.13 水污染物排放控制标准</w:t>
            </w:r>
          </w:p>
          <w:p w14:paraId="2462A6C5">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3.13 水污染物排放控制标准</w:t>
            </w:r>
          </w:p>
          <w:p w14:paraId="4EEF886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14:paraId="5BE690DC">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施工期废水主要为施工人员洗手废水，经依托的</w:t>
            </w:r>
            <w:r>
              <w:rPr>
                <w:rFonts w:hint="default" w:ascii="Times New Roman" w:hAnsi="Times New Roman" w:eastAsia="宋体" w:cs="Times New Roman"/>
                <w:color w:val="auto"/>
                <w:lang w:val="en-US" w:eastAsia="zh-CN"/>
              </w:rPr>
              <w:t>新兴仁恒的15m³化粪池和40m³/d污水处理站处理后回用于新兴仁恒厂内绿化、降尘。</w:t>
            </w:r>
          </w:p>
          <w:p w14:paraId="1C50DF73">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（2）运营期</w:t>
            </w:r>
          </w:p>
          <w:p w14:paraId="67CFAB69">
            <w:pPr>
              <w:pStyle w:val="3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lang w:val="en-US" w:eastAsia="zh-CN"/>
              </w:rPr>
              <w:t>生产废水为制胶、糊胶设备清洗废水锅炉软水制备产生的废水、锅炉排污水、车间清洁废水；制胶、糊胶设备清洗废水暂存于清洗桶内，</w:t>
            </w:r>
            <w:r>
              <w:rPr>
                <w:rFonts w:hint="default" w:ascii="Times New Roman" w:hAnsi="Times New Roman" w:eastAsia="宋体" w:cs="Times New Roman"/>
                <w:color w:val="auto"/>
                <w:sz w:val="21"/>
                <w:szCs w:val="21"/>
                <w:lang w:val="en-US" w:eastAsia="zh-CN"/>
              </w:rPr>
              <w:t>回用于制胶；</w:t>
            </w:r>
            <w:r>
              <w:rPr>
                <w:rFonts w:hint="default" w:ascii="Times New Roman" w:hAnsi="Times New Roman" w:eastAsia="宋体" w:cs="Times New Roman"/>
                <w:color w:val="auto"/>
                <w:lang w:val="en-US" w:eastAsia="zh-CN"/>
              </w:rPr>
              <w:t>锅炉软水制备产生的废水、锅炉排污水进入</w:t>
            </w:r>
            <w:r>
              <w:rPr>
                <w:rFonts w:hint="default" w:ascii="Times New Roman" w:hAnsi="Times New Roman" w:eastAsia="宋体" w:cs="Times New Roman"/>
                <w:color w:val="auto"/>
                <w:sz w:val="21"/>
                <w:szCs w:val="21"/>
                <w:lang w:val="en-US" w:eastAsia="zh-CN"/>
              </w:rPr>
              <w:t>依托云南新兴仁恒包装材料有限公司40m³/d的生活污水处理达到《城市污水再生利用城市杂用水水质》（GB/T18920-2020）中的绿化标准标后回用于绿化及厂区洒水降尘</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1"/>
                <w:lang w:val="en-US" w:eastAsia="zh-CN"/>
              </w:rPr>
              <w:t>本项目不新增劳动定员，不新增生活污水，生活污水依托云南新兴仁恒包装材料有限公司40m³/d的生活污水处理设施处理达到《城市污水再生利用城市杂用水水质》（GB/T18920-2020）中的绿化标准标后回用于绿化及厂区洒水降尘</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标准限值如下表。</w:t>
            </w:r>
          </w:p>
          <w:p w14:paraId="06219BB5">
            <w:pPr>
              <w:pStyle w:val="34"/>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表3-6《城市污水再生利用城市杂用水水质》绿化标准单位：mg/L</w:t>
            </w:r>
          </w:p>
          <w:tbl>
            <w:tblPr>
              <w:tblStyle w:val="26"/>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4208"/>
              <w:gridCol w:w="3162"/>
            </w:tblGrid>
            <w:tr w14:paraId="1961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8" w:type="dxa"/>
                  <w:noWrap w:val="0"/>
                  <w:vAlign w:val="center"/>
                </w:tcPr>
                <w:p w14:paraId="7D10BAB3">
                  <w:pPr>
                    <w:pStyle w:val="32"/>
                    <w:bidi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208" w:type="dxa"/>
                  <w:noWrap w:val="0"/>
                  <w:vAlign w:val="center"/>
                </w:tcPr>
                <w:p w14:paraId="48B408B5">
                  <w:pPr>
                    <w:pStyle w:val="32"/>
                    <w:bidi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3162" w:type="dxa"/>
                  <w:noWrap w:val="0"/>
                  <w:vAlign w:val="center"/>
                </w:tcPr>
                <w:p w14:paraId="627125B5">
                  <w:pPr>
                    <w:pStyle w:val="32"/>
                    <w:bidi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r>
            <w:tr w14:paraId="2509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68797DF5">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08" w:type="dxa"/>
                  <w:noWrap w:val="0"/>
                  <w:vAlign w:val="center"/>
                </w:tcPr>
                <w:p w14:paraId="3B331342">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pH（无量纲）</w:t>
                  </w:r>
                </w:p>
              </w:tc>
              <w:tc>
                <w:tcPr>
                  <w:tcW w:w="3162" w:type="dxa"/>
                  <w:noWrap w:val="0"/>
                  <w:vAlign w:val="center"/>
                </w:tcPr>
                <w:p w14:paraId="1FF06759">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r>
            <w:tr w14:paraId="5905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517B1093">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208" w:type="dxa"/>
                  <w:noWrap w:val="0"/>
                  <w:vAlign w:val="center"/>
                </w:tcPr>
                <w:p w14:paraId="5F2B4DF1">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色度、铂钴色度单位</w:t>
                  </w:r>
                </w:p>
              </w:tc>
              <w:tc>
                <w:tcPr>
                  <w:tcW w:w="3162" w:type="dxa"/>
                  <w:noWrap w:val="0"/>
                  <w:vAlign w:val="center"/>
                </w:tcPr>
                <w:p w14:paraId="246EF09E">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r>
            <w:tr w14:paraId="52F4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256D5C36">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208" w:type="dxa"/>
                  <w:noWrap w:val="0"/>
                  <w:vAlign w:val="center"/>
                </w:tcPr>
                <w:p w14:paraId="22440CAC">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嗅</w:t>
                  </w:r>
                </w:p>
              </w:tc>
              <w:tc>
                <w:tcPr>
                  <w:tcW w:w="3162" w:type="dxa"/>
                  <w:noWrap w:val="0"/>
                  <w:vAlign w:val="center"/>
                </w:tcPr>
                <w:p w14:paraId="562710DE">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无不快感</w:t>
                  </w:r>
                </w:p>
              </w:tc>
            </w:tr>
            <w:tr w14:paraId="09DE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06F9375D">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208" w:type="dxa"/>
                  <w:noWrap w:val="0"/>
                  <w:vAlign w:val="center"/>
                </w:tcPr>
                <w:p w14:paraId="02AD6E4A">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浊度/NTU</w:t>
                  </w:r>
                </w:p>
              </w:tc>
              <w:tc>
                <w:tcPr>
                  <w:tcW w:w="3162" w:type="dxa"/>
                  <w:noWrap w:val="0"/>
                  <w:vAlign w:val="center"/>
                </w:tcPr>
                <w:p w14:paraId="4C3BB717">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6CCB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228AA76A">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208" w:type="dxa"/>
                  <w:noWrap w:val="0"/>
                  <w:vAlign w:val="center"/>
                </w:tcPr>
                <w:p w14:paraId="6C119DF5">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五日生化需氧量（BOD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w:t>
                  </w:r>
                </w:p>
              </w:tc>
              <w:tc>
                <w:tcPr>
                  <w:tcW w:w="3162" w:type="dxa"/>
                  <w:noWrap w:val="0"/>
                  <w:vAlign w:val="center"/>
                </w:tcPr>
                <w:p w14:paraId="3B6C26A8">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2329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731AC986">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4208" w:type="dxa"/>
                  <w:noWrap w:val="0"/>
                  <w:vAlign w:val="center"/>
                </w:tcPr>
                <w:p w14:paraId="74C7B6C7">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3162" w:type="dxa"/>
                  <w:noWrap w:val="0"/>
                  <w:vAlign w:val="center"/>
                </w:tcPr>
                <w:p w14:paraId="53064BC2">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r>
            <w:tr w14:paraId="4375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50B02D81">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4208" w:type="dxa"/>
                  <w:noWrap w:val="0"/>
                  <w:vAlign w:val="center"/>
                </w:tcPr>
                <w:p w14:paraId="25961CDF">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阴离子表面活性剂</w:t>
                  </w:r>
                </w:p>
              </w:tc>
              <w:tc>
                <w:tcPr>
                  <w:tcW w:w="3162" w:type="dxa"/>
                  <w:noWrap w:val="0"/>
                  <w:vAlign w:val="center"/>
                </w:tcPr>
                <w:p w14:paraId="6CFDCC56">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r>
            <w:tr w14:paraId="082E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5461FDD5">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208" w:type="dxa"/>
                  <w:noWrap w:val="0"/>
                  <w:vAlign w:val="center"/>
                </w:tcPr>
                <w:p w14:paraId="47B47BC9">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铁</w:t>
                  </w:r>
                </w:p>
              </w:tc>
              <w:tc>
                <w:tcPr>
                  <w:tcW w:w="3162" w:type="dxa"/>
                  <w:noWrap w:val="0"/>
                  <w:vAlign w:val="center"/>
                </w:tcPr>
                <w:p w14:paraId="493F0326">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F45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15D12709">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4208" w:type="dxa"/>
                  <w:noWrap w:val="0"/>
                  <w:vAlign w:val="center"/>
                </w:tcPr>
                <w:p w14:paraId="018501CB">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锰</w:t>
                  </w:r>
                </w:p>
              </w:tc>
              <w:tc>
                <w:tcPr>
                  <w:tcW w:w="3162" w:type="dxa"/>
                  <w:noWrap w:val="0"/>
                  <w:vAlign w:val="center"/>
                </w:tcPr>
                <w:p w14:paraId="421DA173">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124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2CD54A34">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208" w:type="dxa"/>
                  <w:noWrap w:val="0"/>
                  <w:vAlign w:val="center"/>
                </w:tcPr>
                <w:p w14:paraId="3C768D21">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溶解性总固体</w:t>
                  </w:r>
                </w:p>
              </w:tc>
              <w:tc>
                <w:tcPr>
                  <w:tcW w:w="3162" w:type="dxa"/>
                  <w:noWrap w:val="0"/>
                  <w:vAlign w:val="center"/>
                </w:tcPr>
                <w:p w14:paraId="585E6160">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≤1000（2000）</w:t>
                  </w:r>
                  <w:r>
                    <w:rPr>
                      <w:rFonts w:hint="default" w:ascii="Times New Roman" w:hAnsi="Times New Roman" w:eastAsia="宋体" w:cs="Times New Roman"/>
                      <w:color w:val="auto"/>
                      <w:sz w:val="21"/>
                      <w:szCs w:val="21"/>
                      <w:vertAlign w:val="superscript"/>
                      <w:lang w:val="en-US" w:eastAsia="zh-CN"/>
                    </w:rPr>
                    <w:t>a</w:t>
                  </w:r>
                </w:p>
              </w:tc>
            </w:tr>
            <w:tr w14:paraId="17B3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8" w:type="dxa"/>
                  <w:noWrap w:val="0"/>
                  <w:vAlign w:val="center"/>
                </w:tcPr>
                <w:p w14:paraId="7007A5A2">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4208" w:type="dxa"/>
                  <w:noWrap w:val="0"/>
                  <w:vAlign w:val="center"/>
                </w:tcPr>
                <w:p w14:paraId="37F3AB98">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溶解氧</w:t>
                  </w:r>
                </w:p>
              </w:tc>
              <w:tc>
                <w:tcPr>
                  <w:tcW w:w="3162" w:type="dxa"/>
                  <w:noWrap w:val="0"/>
                  <w:vAlign w:val="center"/>
                </w:tcPr>
                <w:p w14:paraId="74F218B8">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2FE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48" w:type="dxa"/>
                  <w:noWrap w:val="0"/>
                  <w:vAlign w:val="center"/>
                </w:tcPr>
                <w:p w14:paraId="189C1703">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4208" w:type="dxa"/>
                  <w:noWrap w:val="0"/>
                  <w:vAlign w:val="center"/>
                </w:tcPr>
                <w:p w14:paraId="60E8B74E">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总氯</w:t>
                  </w:r>
                </w:p>
              </w:tc>
              <w:tc>
                <w:tcPr>
                  <w:tcW w:w="3162" w:type="dxa"/>
                  <w:noWrap w:val="0"/>
                  <w:vAlign w:val="center"/>
                </w:tcPr>
                <w:p w14:paraId="292477C9">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1.0（出厂），0.2</w:t>
                  </w:r>
                  <w:r>
                    <w:rPr>
                      <w:rFonts w:hint="default" w:ascii="Times New Roman" w:hAnsi="Times New Roman" w:eastAsia="宋体" w:cs="Times New Roman"/>
                      <w:color w:val="auto"/>
                      <w:sz w:val="21"/>
                      <w:szCs w:val="21"/>
                      <w:vertAlign w:val="superscript"/>
                      <w:lang w:val="en-US" w:eastAsia="zh-CN"/>
                    </w:rPr>
                    <w:t>b</w:t>
                  </w:r>
                  <w:r>
                    <w:rPr>
                      <w:rFonts w:hint="default" w:ascii="Times New Roman" w:hAnsi="Times New Roman" w:eastAsia="宋体" w:cs="Times New Roman"/>
                      <w:color w:val="auto"/>
                      <w:sz w:val="21"/>
                      <w:szCs w:val="21"/>
                      <w:lang w:val="en-US" w:eastAsia="zh-CN"/>
                    </w:rPr>
                    <w:t>（管网末端）</w:t>
                  </w:r>
                </w:p>
              </w:tc>
            </w:tr>
            <w:tr w14:paraId="3BC6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48" w:type="dxa"/>
                  <w:noWrap w:val="0"/>
                  <w:vAlign w:val="center"/>
                </w:tcPr>
                <w:p w14:paraId="76F7790D">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4208" w:type="dxa"/>
                  <w:noWrap w:val="0"/>
                  <w:vAlign w:val="center"/>
                </w:tcPr>
                <w:p w14:paraId="38C6C02C">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大肠埃希氏菌/（MPN/100mL或CFU/100mL）</w:t>
                  </w:r>
                </w:p>
              </w:tc>
              <w:tc>
                <w:tcPr>
                  <w:tcW w:w="3162" w:type="dxa"/>
                  <w:noWrap w:val="0"/>
                  <w:vAlign w:val="center"/>
                </w:tcPr>
                <w:p w14:paraId="3F968817">
                  <w:pPr>
                    <w:pStyle w:val="32"/>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vertAlign w:val="superscript"/>
                      <w:lang w:val="en-US" w:eastAsia="zh-CN"/>
                    </w:rPr>
                    <w:t>c</w:t>
                  </w:r>
                </w:p>
              </w:tc>
            </w:tr>
            <w:tr w14:paraId="5215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518" w:type="dxa"/>
                  <w:gridSpan w:val="3"/>
                  <w:noWrap w:val="0"/>
                  <w:vAlign w:val="center"/>
                </w:tcPr>
                <w:p w14:paraId="14FFE964">
                  <w:pPr>
                    <w:pStyle w:val="32"/>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a.</w:t>
                  </w:r>
                  <w:r>
                    <w:rPr>
                      <w:rFonts w:hint="default" w:ascii="Times New Roman" w:hAnsi="Times New Roman" w:eastAsia="宋体" w:cs="Times New Roman"/>
                      <w:color w:val="auto"/>
                      <w:sz w:val="21"/>
                      <w:szCs w:val="21"/>
                      <w:lang w:val="en-US" w:eastAsia="zh-CN"/>
                    </w:rPr>
                    <w:t>括号内指标值为沿海及本地水源中溶解性固体含量较高的区域的指标。</w:t>
                  </w:r>
                </w:p>
                <w:p w14:paraId="2ACEC36A">
                  <w:pPr>
                    <w:pStyle w:val="32"/>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b.用于城市绿化时，不应超过2.5mg/L。</w:t>
                  </w:r>
                </w:p>
                <w:p w14:paraId="6FBCEEB1">
                  <w:pPr>
                    <w:pStyle w:val="32"/>
                    <w:bidi w:val="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c.大肠埃希氏菌不应检测出。</w:t>
                  </w:r>
                </w:p>
              </w:tc>
            </w:tr>
          </w:tbl>
          <w:p w14:paraId="10A872D5">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3.14 噪声排放控制标准</w:t>
            </w:r>
          </w:p>
          <w:p w14:paraId="3FEF608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14:paraId="6638BDD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项目施工期噪声排放执行《建筑施工场界环境噪声排放标准》（</w:t>
            </w:r>
            <w:r>
              <w:rPr>
                <w:rFonts w:hint="default" w:ascii="Times New Roman" w:hAnsi="Times New Roman" w:eastAsia="宋体" w:cs="Times New Roman"/>
                <w:color w:val="auto"/>
                <w:lang w:eastAsia="zh-CN"/>
              </w:rPr>
              <w:t>GB12523-2025</w:t>
            </w:r>
            <w:r>
              <w:rPr>
                <w:rFonts w:hint="default" w:ascii="Times New Roman" w:hAnsi="Times New Roman" w:eastAsia="宋体" w:cs="Times New Roman"/>
                <w:color w:val="auto"/>
              </w:rPr>
              <w:t>）标准限值详见下表。</w:t>
            </w:r>
          </w:p>
          <w:p w14:paraId="3E7A5B00">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表3-1</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 xml:space="preserve">  建筑施工场界环境噪声排放标准  单位：dB(A)</w:t>
            </w:r>
          </w:p>
          <w:tbl>
            <w:tblPr>
              <w:tblStyle w:val="25"/>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8"/>
              <w:gridCol w:w="4238"/>
            </w:tblGrid>
            <w:tr w14:paraId="675C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500" w:type="pct"/>
                  <w:vAlign w:val="center"/>
                </w:tcPr>
                <w:p w14:paraId="7C2EACF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昼间dB（A）</w:t>
                  </w:r>
                </w:p>
              </w:tc>
              <w:tc>
                <w:tcPr>
                  <w:tcW w:w="2500" w:type="pct"/>
                  <w:vAlign w:val="center"/>
                </w:tcPr>
                <w:p w14:paraId="5D4C9437">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夜间dB（A）</w:t>
                  </w:r>
                </w:p>
              </w:tc>
            </w:tr>
            <w:tr w14:paraId="67BA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00" w:type="pct"/>
                  <w:vAlign w:val="center"/>
                </w:tcPr>
                <w:p w14:paraId="5B15277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2500" w:type="pct"/>
                  <w:vAlign w:val="center"/>
                </w:tcPr>
                <w:p w14:paraId="26518EBF">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55</w:t>
                  </w:r>
                </w:p>
              </w:tc>
            </w:tr>
          </w:tbl>
          <w:p w14:paraId="199CC35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（2）运营期</w:t>
            </w:r>
          </w:p>
          <w:p w14:paraId="58C82E74">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运营期间，厂界东、西、南、北侧噪声执行《工业企业厂界环境噪声排放标准》（GB12348-2008）中2类标准，标准限值详见下表。</w:t>
            </w:r>
          </w:p>
          <w:p w14:paraId="7B48A365">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表3-1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 xml:space="preserve">  工业企业厂界环境噪声排放标准  单位：dB(A)</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00"/>
              <w:gridCol w:w="1834"/>
              <w:gridCol w:w="3165"/>
            </w:tblGrid>
            <w:tr w14:paraId="5B3D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00" w:type="pct"/>
                  <w:vAlign w:val="center"/>
                </w:tcPr>
                <w:p w14:paraId="1A17950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1058" w:type="pct"/>
                  <w:vAlign w:val="center"/>
                </w:tcPr>
                <w:p w14:paraId="138E892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1079" w:type="pct"/>
                  <w:vAlign w:val="center"/>
                </w:tcPr>
                <w:p w14:paraId="06CD10C1">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c>
                <w:tcPr>
                  <w:tcW w:w="1861" w:type="pct"/>
                  <w:vAlign w:val="center"/>
                </w:tcPr>
                <w:p w14:paraId="60A53FF8">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14:paraId="4670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vAlign w:val="center"/>
                </w:tcPr>
                <w:p w14:paraId="674B3A0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2类</w:t>
                  </w:r>
                </w:p>
              </w:tc>
              <w:tc>
                <w:tcPr>
                  <w:tcW w:w="1058" w:type="pct"/>
                  <w:vAlign w:val="center"/>
                </w:tcPr>
                <w:p w14:paraId="66268A42">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079" w:type="pct"/>
                  <w:vAlign w:val="center"/>
                </w:tcPr>
                <w:p w14:paraId="46B480C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1861" w:type="pct"/>
                  <w:vAlign w:val="center"/>
                </w:tcPr>
                <w:p w14:paraId="02ECE86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厂界东、西、南、北侧</w:t>
                  </w:r>
                </w:p>
              </w:tc>
            </w:tr>
          </w:tbl>
          <w:p w14:paraId="04113AEE">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3.15 固体废物</w:t>
            </w:r>
          </w:p>
          <w:p w14:paraId="5547B469">
            <w:pPr>
              <w:pStyle w:val="31"/>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产生的一般固体废物处置执行《一般工业固体废物贮存和填埋污染控制标准》（GB18599-2020）及《一般固体废物分类与代码》（GB/T39198-2020）；危险固废集中收集、临时储存执行《危险废物贮存污染控制标准》（GB18597-2023）相关规定。危险废物转移根据《危险废物转移管理办法》（部令第23号）执行。《危险废物识别标志设置技术规范》（HJ1276-2022）于2023年7月1日正式执行，企业应按照新规范更新危废暂存间标识牌。</w:t>
            </w:r>
          </w:p>
        </w:tc>
      </w:tr>
      <w:tr w14:paraId="75972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459" w:type="dxa"/>
            <w:vAlign w:val="center"/>
          </w:tcPr>
          <w:p w14:paraId="60A06B7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总量</w:t>
            </w:r>
          </w:p>
          <w:p w14:paraId="0547C4C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控制</w:t>
            </w:r>
          </w:p>
          <w:p w14:paraId="2D547BC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指标</w:t>
            </w:r>
          </w:p>
        </w:tc>
        <w:tc>
          <w:tcPr>
            <w:tcW w:w="8729" w:type="dxa"/>
            <w:vAlign w:val="center"/>
          </w:tcPr>
          <w:p w14:paraId="7CCA530A">
            <w:pPr>
              <w:keepNext w:val="0"/>
              <w:keepLines w:val="0"/>
              <w:pageBreakBefore w:val="0"/>
              <w:widowControl w:val="0"/>
              <w:kinsoku/>
              <w:wordWrap/>
              <w:overflowPunct/>
              <w:topLinePunct w:val="0"/>
              <w:autoSpaceDE/>
              <w:autoSpaceDN/>
              <w:bidi w:val="0"/>
              <w:adjustRightInd/>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根据《固定污染源排污许可分类管理名录（2019年版）》</w:t>
            </w:r>
            <w:r>
              <w:rPr>
                <w:rFonts w:hint="default" w:ascii="Times New Roman" w:hAnsi="Times New Roman" w:eastAsia="宋体" w:cs="Times New Roman"/>
                <w:color w:val="auto"/>
                <w:sz w:val="21"/>
                <w:szCs w:val="21"/>
                <w:u w:val="none"/>
              </w:rPr>
              <w:t>“十七、造纸和纸制品业22</w:t>
            </w:r>
            <w:r>
              <w:rPr>
                <w:rFonts w:hint="default" w:ascii="Times New Roman" w:hAnsi="Times New Roman" w:eastAsia="宋体" w:cs="Times New Roman"/>
                <w:color w:val="auto"/>
                <w:sz w:val="21"/>
                <w:szCs w:val="21"/>
                <w:u w:val="none"/>
                <w:lang w:val="en-US" w:eastAsia="zh-CN"/>
              </w:rPr>
              <w:t>-</w:t>
            </w:r>
            <w:r>
              <w:rPr>
                <w:rFonts w:hint="default" w:ascii="Times New Roman" w:hAnsi="Times New Roman" w:eastAsia="宋体" w:cs="Times New Roman"/>
                <w:color w:val="auto"/>
                <w:sz w:val="21"/>
                <w:szCs w:val="21"/>
                <w:u w:val="none"/>
              </w:rPr>
              <w:t>纸制品制造223中有工业废水或者废气排放的”</w:t>
            </w:r>
            <w:r>
              <w:rPr>
                <w:rFonts w:hint="default" w:ascii="Times New Roman" w:hAnsi="Times New Roman" w:eastAsia="宋体" w:cs="Times New Roman"/>
                <w:color w:val="auto"/>
                <w:sz w:val="21"/>
                <w:szCs w:val="21"/>
              </w:rPr>
              <w:t>，</w:t>
            </w:r>
            <w:r>
              <w:rPr>
                <w:rFonts w:hint="default" w:ascii="Times New Roman" w:hAnsi="Times New Roman" w:eastAsia="宋体" w:cs="Times New Roman"/>
                <w:b w:val="0"/>
                <w:bCs/>
                <w:color w:val="auto"/>
                <w:sz w:val="21"/>
                <w:szCs w:val="21"/>
                <w:lang w:val="en-US" w:eastAsia="zh-CN"/>
              </w:rPr>
              <w:t>本项目属于排污许可简化管理的排污单位</w:t>
            </w:r>
            <w:r>
              <w:rPr>
                <w:rFonts w:hint="default" w:ascii="Times New Roman" w:hAnsi="Times New Roman" w:eastAsia="宋体" w:cs="Times New Roman"/>
                <w:color w:val="auto"/>
                <w:sz w:val="21"/>
                <w:szCs w:val="21"/>
                <w:lang w:val="en-US" w:eastAsia="zh-CN"/>
              </w:rPr>
              <w:t>。</w:t>
            </w:r>
          </w:p>
          <w:p w14:paraId="7E84411F">
            <w:pPr>
              <w:keepNext w:val="0"/>
              <w:keepLines w:val="0"/>
              <w:pageBreakBefore w:val="0"/>
              <w:numPr>
                <w:ilvl w:val="0"/>
                <w:numId w:val="0"/>
              </w:numPr>
              <w:kinsoku/>
              <w:wordWrap/>
              <w:overflowPunct/>
              <w:topLinePunct w:val="0"/>
              <w:autoSpaceDE/>
              <w:autoSpaceDN/>
              <w:bidi w:val="0"/>
              <w:adjustRightInd w:val="0"/>
              <w:snapToGrid w:val="0"/>
              <w:spacing w:line="360" w:lineRule="auto"/>
              <w:ind w:right="0"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根据《关于印发&lt;建设项目环境影响报告表&gt;内容、格式及编制技术指南的通知》（环办环评〔2022〕33号）中《关于</w:t>
            </w:r>
            <w:r>
              <w:rPr>
                <w:rFonts w:hint="default" w:ascii="Times New Roman" w:hAnsi="Times New Roman" w:eastAsia="宋体" w:cs="Times New Roman"/>
                <w:color w:val="auto"/>
                <w:sz w:val="21"/>
                <w:szCs w:val="21"/>
              </w:rPr>
              <w:t>建设项目环境影响报告表编制技术指南 （污染影响类）</w:t>
            </w:r>
            <w:r>
              <w:rPr>
                <w:rFonts w:hint="default" w:ascii="Times New Roman" w:hAnsi="Times New Roman" w:eastAsia="宋体" w:cs="Times New Roman"/>
                <w:color w:val="auto"/>
                <w:sz w:val="21"/>
                <w:szCs w:val="21"/>
                <w:lang w:val="en-US" w:eastAsia="zh-CN"/>
              </w:rPr>
              <w:t>》的规定，</w:t>
            </w:r>
            <w:r>
              <w:rPr>
                <w:rFonts w:hint="default" w:ascii="Times New Roman" w:hAnsi="Times New Roman" w:eastAsia="宋体" w:cs="Times New Roman"/>
                <w:b w:val="0"/>
                <w:bCs w:val="0"/>
                <w:color w:val="auto"/>
                <w:spacing w:val="0"/>
                <w:sz w:val="21"/>
                <w:szCs w:val="21"/>
                <w:lang w:val="en-US" w:eastAsia="zh-CN"/>
              </w:rPr>
              <w:t>本项目</w:t>
            </w:r>
            <w:r>
              <w:rPr>
                <w:rFonts w:hint="default" w:ascii="Times New Roman" w:hAnsi="Times New Roman" w:eastAsia="宋体" w:cs="Times New Roman"/>
                <w:color w:val="auto"/>
                <w:sz w:val="21"/>
                <w:szCs w:val="21"/>
                <w:lang w:val="en-US" w:eastAsia="zh-CN"/>
              </w:rPr>
              <w:t>不设置排放总量。因此，</w:t>
            </w:r>
            <w:r>
              <w:rPr>
                <w:rFonts w:hint="default" w:ascii="Times New Roman" w:hAnsi="Times New Roman" w:eastAsia="宋体" w:cs="Times New Roman"/>
                <w:color w:val="auto"/>
                <w:sz w:val="21"/>
                <w:szCs w:val="21"/>
              </w:rPr>
              <w:t>经环评核算，本项目总量控制指标建议如下</w:t>
            </w:r>
            <w:r>
              <w:rPr>
                <w:rFonts w:hint="default" w:ascii="Times New Roman" w:hAnsi="Times New Roman" w:eastAsia="宋体" w:cs="Times New Roman"/>
                <w:b w:val="0"/>
                <w:bCs w:val="0"/>
                <w:color w:val="auto"/>
                <w:kern w:val="2"/>
                <w:sz w:val="21"/>
                <w:szCs w:val="21"/>
                <w:vertAlign w:val="baseline"/>
                <w:lang w:val="en-US" w:eastAsia="zh-CN" w:bidi="ar-SA"/>
              </w:rPr>
              <w:t>：</w:t>
            </w:r>
          </w:p>
          <w:p w14:paraId="328E5F6E">
            <w:pPr>
              <w:keepNext w:val="0"/>
              <w:keepLines w:val="0"/>
              <w:pageBreakBefore w:val="0"/>
              <w:widowControl/>
              <w:numPr>
                <w:ilvl w:val="0"/>
                <w:numId w:val="0"/>
              </w:numPr>
              <w:kinsoku/>
              <w:wordWrap/>
              <w:overflowPunct/>
              <w:topLinePunct w:val="0"/>
              <w:bidi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1、废水：</w:t>
            </w: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lang w:val="en-US" w:eastAsia="zh-CN"/>
              </w:rPr>
              <w:t>生产废水为制胶、糊胶设备清洗废水锅炉软水制备产生的废水、锅炉排污水、车间清洁废水；制胶、糊胶设备清洗废水暂存于清洗桶内，</w:t>
            </w:r>
            <w:r>
              <w:rPr>
                <w:rFonts w:hint="default" w:ascii="Times New Roman" w:hAnsi="Times New Roman" w:eastAsia="宋体" w:cs="Times New Roman"/>
                <w:color w:val="auto"/>
                <w:sz w:val="21"/>
                <w:szCs w:val="21"/>
                <w:lang w:val="en-US" w:eastAsia="zh-CN"/>
              </w:rPr>
              <w:t>回用于制胶；</w:t>
            </w:r>
            <w:r>
              <w:rPr>
                <w:rFonts w:hint="default" w:ascii="Times New Roman" w:hAnsi="Times New Roman" w:eastAsia="宋体" w:cs="Times New Roman"/>
                <w:color w:val="auto"/>
                <w:lang w:val="en-US" w:eastAsia="zh-CN"/>
              </w:rPr>
              <w:t>锅炉软水制备产生的废水、锅炉排污水进入</w:t>
            </w: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1"/>
                <w:lang w:val="en-US" w:eastAsia="zh-CN"/>
              </w:rPr>
              <w:t>本项目不新增劳动定员，不新增生活污水，生活污水依托云南新兴仁恒包装材料有限公司40m³/d的生活污水处理设施处理达标后回用于绿化及厂区洒水降尘</w:t>
            </w:r>
            <w:r>
              <w:rPr>
                <w:rFonts w:hint="default" w:ascii="Times New Roman" w:hAnsi="Times New Roman" w:eastAsia="宋体" w:cs="Times New Roman"/>
                <w:b w:val="0"/>
                <w:bCs w:val="0"/>
                <w:color w:val="auto"/>
                <w:kern w:val="2"/>
                <w:sz w:val="21"/>
                <w:szCs w:val="21"/>
                <w:vertAlign w:val="baseline"/>
                <w:lang w:val="en-US" w:eastAsia="zh-CN" w:bidi="ar-SA"/>
              </w:rPr>
              <w:t>。项目废水不外排，不设置排放总量</w:t>
            </w:r>
          </w:p>
          <w:p w14:paraId="72F72022">
            <w:pPr>
              <w:keepNext w:val="0"/>
              <w:keepLines w:val="0"/>
              <w:pageBreakBefore w:val="0"/>
              <w:widowControl/>
              <w:numPr>
                <w:ilvl w:val="0"/>
                <w:numId w:val="0"/>
              </w:numPr>
              <w:kinsoku/>
              <w:wordWrap/>
              <w:overflowPunct/>
              <w:topLinePunct w:val="0"/>
              <w:bidi w:val="0"/>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2、废气：</w:t>
            </w:r>
            <w:r>
              <w:rPr>
                <w:rFonts w:hint="default" w:ascii="Times New Roman" w:hAnsi="Times New Roman" w:eastAsia="宋体" w:cs="Times New Roman"/>
                <w:color w:val="auto"/>
                <w:lang w:val="en-US" w:eastAsia="zh-CN"/>
              </w:rPr>
              <w:t>生物质锅炉废气排放口</w:t>
            </w:r>
            <w:r>
              <w:rPr>
                <w:rFonts w:hint="default" w:ascii="Times New Roman" w:hAnsi="Times New Roman" w:eastAsia="宋体" w:cs="Times New Roman"/>
                <w:color w:val="auto"/>
              </w:rPr>
              <w:t>DA00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b w:val="0"/>
                <w:bCs w:val="0"/>
                <w:color w:val="auto"/>
                <w:kern w:val="2"/>
                <w:sz w:val="21"/>
                <w:szCs w:val="21"/>
                <w:vertAlign w:val="baseline"/>
                <w:lang w:val="en-US" w:eastAsia="zh-CN" w:bidi="ar-SA"/>
              </w:rPr>
              <w:t>有组织烟尘排放总量为</w:t>
            </w:r>
            <w:r>
              <w:rPr>
                <w:rFonts w:hint="default" w:ascii="Times New Roman" w:hAnsi="Times New Roman" w:eastAsia="宋体" w:cs="Times New Roman"/>
                <w:color w:val="auto"/>
                <w:lang w:val="en-US" w:eastAsia="zh-CN"/>
              </w:rPr>
              <w:t>0.46</w:t>
            </w:r>
            <w:r>
              <w:rPr>
                <w:rFonts w:hint="default" w:ascii="Times New Roman" w:hAnsi="Times New Roman" w:eastAsia="宋体" w:cs="Times New Roman"/>
                <w:b w:val="0"/>
                <w:bCs w:val="0"/>
                <w:color w:val="auto"/>
                <w:kern w:val="2"/>
                <w:sz w:val="21"/>
                <w:szCs w:val="21"/>
                <w:vertAlign w:val="baseline"/>
                <w:lang w:val="en-US" w:eastAsia="zh-CN" w:bidi="ar-SA"/>
              </w:rPr>
              <w:t>t/a，有组织二氧化硫排放量0.27t/a，有组织氮氧化物排放量为</w:t>
            </w:r>
            <w:r>
              <w:rPr>
                <w:rFonts w:hint="default" w:ascii="Times New Roman" w:hAnsi="Times New Roman" w:eastAsia="宋体" w:cs="Times New Roman"/>
                <w:color w:val="auto"/>
                <w:kern w:val="0"/>
                <w:szCs w:val="21"/>
                <w:lang w:val="en-US" w:eastAsia="zh-CN"/>
              </w:rPr>
              <w:t>1.81t/a</w:t>
            </w:r>
            <w:r>
              <w:rPr>
                <w:rFonts w:hint="default" w:ascii="Times New Roman" w:hAnsi="Times New Roman" w:eastAsia="宋体" w:cs="Times New Roman"/>
                <w:b w:val="0"/>
                <w:bCs w:val="0"/>
                <w:color w:val="auto"/>
                <w:kern w:val="2"/>
                <w:sz w:val="21"/>
                <w:szCs w:val="21"/>
                <w:vertAlign w:val="baseline"/>
                <w:lang w:val="en-US" w:eastAsia="zh-CN" w:bidi="ar-SA"/>
              </w:rPr>
              <w:t>。</w:t>
            </w:r>
          </w:p>
          <w:p w14:paraId="72778ED0">
            <w:pPr>
              <w:pStyle w:val="31"/>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2"/>
                <w:sz w:val="21"/>
                <w:szCs w:val="21"/>
                <w:vertAlign w:val="baseline"/>
                <w:lang w:val="en-US" w:eastAsia="zh-CN" w:bidi="ar-SA"/>
              </w:rPr>
              <w:t>3、固体废弃物：在采取本环评提出的对策措施后，所有固废均可以得到有效处置，处置率达100%，不设固废总量控制指标</w:t>
            </w:r>
            <w:r>
              <w:rPr>
                <w:rFonts w:hint="default" w:ascii="Times New Roman" w:hAnsi="Times New Roman" w:eastAsia="宋体" w:cs="Times New Roman"/>
                <w:color w:val="auto"/>
                <w:sz w:val="21"/>
                <w:szCs w:val="21"/>
              </w:rPr>
              <w:t>。</w:t>
            </w:r>
          </w:p>
          <w:p w14:paraId="5A24E76C">
            <w:pPr>
              <w:pStyle w:val="31"/>
              <w:ind w:left="0" w:leftChars="0" w:firstLine="0" w:firstLineChars="0"/>
              <w:rPr>
                <w:rFonts w:hint="default" w:ascii="Times New Roman" w:hAnsi="Times New Roman" w:eastAsia="宋体" w:cs="Times New Roman"/>
                <w:color w:val="auto"/>
                <w:lang w:val="en-US" w:eastAsia="zh-CN"/>
              </w:rPr>
            </w:pPr>
          </w:p>
          <w:p w14:paraId="5BE8C6A7">
            <w:pPr>
              <w:pStyle w:val="31"/>
              <w:ind w:left="0" w:leftChars="0" w:firstLine="0" w:firstLineChars="0"/>
              <w:rPr>
                <w:rFonts w:hint="default" w:ascii="Times New Roman" w:hAnsi="Times New Roman" w:eastAsia="宋体" w:cs="Times New Roman"/>
                <w:color w:val="auto"/>
                <w:lang w:val="en-US" w:eastAsia="zh-CN"/>
              </w:rPr>
            </w:pPr>
          </w:p>
          <w:p w14:paraId="1BED523A">
            <w:pPr>
              <w:pStyle w:val="31"/>
              <w:ind w:left="0" w:leftChars="0" w:firstLine="0" w:firstLineChars="0"/>
              <w:rPr>
                <w:rFonts w:hint="default" w:ascii="Times New Roman" w:hAnsi="Times New Roman" w:eastAsia="宋体" w:cs="Times New Roman"/>
                <w:color w:val="auto"/>
                <w:lang w:val="en-US" w:eastAsia="zh-CN"/>
              </w:rPr>
            </w:pPr>
          </w:p>
          <w:p w14:paraId="7D16D992">
            <w:pPr>
              <w:pStyle w:val="31"/>
              <w:ind w:left="0" w:leftChars="0" w:firstLine="0" w:firstLineChars="0"/>
              <w:rPr>
                <w:rFonts w:hint="default" w:ascii="Times New Roman" w:hAnsi="Times New Roman" w:eastAsia="宋体" w:cs="Times New Roman"/>
                <w:color w:val="auto"/>
                <w:lang w:val="en-US" w:eastAsia="zh-CN"/>
              </w:rPr>
            </w:pPr>
          </w:p>
          <w:p w14:paraId="2A1E0043">
            <w:pPr>
              <w:pStyle w:val="31"/>
              <w:ind w:left="0" w:leftChars="0" w:firstLine="0" w:firstLineChars="0"/>
              <w:rPr>
                <w:rFonts w:hint="default" w:ascii="Times New Roman" w:hAnsi="Times New Roman" w:eastAsia="宋体" w:cs="Times New Roman"/>
                <w:color w:val="auto"/>
                <w:lang w:val="en-US" w:eastAsia="zh-CN"/>
              </w:rPr>
            </w:pPr>
          </w:p>
          <w:p w14:paraId="7D4DD20F">
            <w:pPr>
              <w:pStyle w:val="31"/>
              <w:ind w:left="0" w:leftChars="0" w:firstLine="0" w:firstLineChars="0"/>
              <w:rPr>
                <w:rFonts w:hint="default" w:ascii="Times New Roman" w:hAnsi="Times New Roman" w:eastAsia="宋体" w:cs="Times New Roman"/>
                <w:color w:val="auto"/>
                <w:lang w:val="en-US" w:eastAsia="zh-CN"/>
              </w:rPr>
            </w:pPr>
          </w:p>
          <w:p w14:paraId="2A833AF8">
            <w:pPr>
              <w:pStyle w:val="31"/>
              <w:ind w:left="0" w:leftChars="0" w:firstLine="0" w:firstLineChars="0"/>
              <w:rPr>
                <w:rFonts w:hint="default" w:ascii="Times New Roman" w:hAnsi="Times New Roman" w:eastAsia="宋体" w:cs="Times New Roman"/>
                <w:color w:val="auto"/>
                <w:lang w:val="en-US" w:eastAsia="zh-CN"/>
              </w:rPr>
            </w:pPr>
          </w:p>
          <w:p w14:paraId="3BC346A6">
            <w:pPr>
              <w:pStyle w:val="31"/>
              <w:ind w:left="0" w:leftChars="0" w:firstLine="0" w:firstLineChars="0"/>
              <w:rPr>
                <w:rFonts w:hint="default" w:ascii="Times New Roman" w:hAnsi="Times New Roman" w:eastAsia="宋体" w:cs="Times New Roman"/>
                <w:color w:val="auto"/>
                <w:lang w:val="en-US" w:eastAsia="zh-CN"/>
              </w:rPr>
            </w:pPr>
          </w:p>
          <w:p w14:paraId="5D9D57C2">
            <w:pPr>
              <w:pStyle w:val="31"/>
              <w:ind w:left="0" w:leftChars="0" w:firstLine="0" w:firstLineChars="0"/>
              <w:rPr>
                <w:rFonts w:hint="default" w:ascii="Times New Roman" w:hAnsi="Times New Roman" w:eastAsia="宋体" w:cs="Times New Roman"/>
                <w:color w:val="auto"/>
                <w:lang w:val="en-US" w:eastAsia="zh-CN"/>
              </w:rPr>
            </w:pPr>
          </w:p>
          <w:p w14:paraId="22A0B862">
            <w:pPr>
              <w:pStyle w:val="31"/>
              <w:ind w:left="0" w:leftChars="0" w:firstLine="0" w:firstLineChars="0"/>
              <w:rPr>
                <w:rFonts w:hint="default" w:ascii="Times New Roman" w:hAnsi="Times New Roman" w:eastAsia="宋体" w:cs="Times New Roman"/>
                <w:color w:val="auto"/>
                <w:lang w:val="en-US" w:eastAsia="zh-CN"/>
              </w:rPr>
            </w:pPr>
          </w:p>
          <w:p w14:paraId="28E1580E">
            <w:pPr>
              <w:pStyle w:val="31"/>
              <w:ind w:left="0" w:leftChars="0" w:firstLine="0" w:firstLineChars="0"/>
              <w:rPr>
                <w:rFonts w:hint="default" w:ascii="Times New Roman" w:hAnsi="Times New Roman" w:eastAsia="宋体" w:cs="Times New Roman"/>
                <w:color w:val="auto"/>
                <w:lang w:val="en-US" w:eastAsia="zh-CN"/>
              </w:rPr>
            </w:pPr>
          </w:p>
          <w:p w14:paraId="5FD09ACE">
            <w:pPr>
              <w:pStyle w:val="31"/>
              <w:ind w:left="0" w:leftChars="0" w:firstLine="0" w:firstLineChars="0"/>
              <w:rPr>
                <w:rFonts w:hint="default" w:ascii="Times New Roman" w:hAnsi="Times New Roman" w:eastAsia="宋体" w:cs="Times New Roman"/>
                <w:color w:val="auto"/>
                <w:lang w:val="en-US" w:eastAsia="zh-CN"/>
              </w:rPr>
            </w:pPr>
          </w:p>
          <w:p w14:paraId="2084F0D4">
            <w:pPr>
              <w:pStyle w:val="31"/>
              <w:ind w:left="0" w:leftChars="0" w:firstLine="0" w:firstLineChars="0"/>
              <w:rPr>
                <w:rFonts w:hint="default" w:ascii="Times New Roman" w:hAnsi="Times New Roman" w:eastAsia="宋体" w:cs="Times New Roman"/>
                <w:color w:val="auto"/>
                <w:lang w:val="en-US" w:eastAsia="zh-CN"/>
              </w:rPr>
            </w:pPr>
          </w:p>
        </w:tc>
      </w:tr>
    </w:tbl>
    <w:p w14:paraId="42DE2A3A">
      <w:pPr>
        <w:pStyle w:val="21"/>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20" w:name="_Toc22851"/>
      <w:bookmarkStart w:id="21" w:name="_Toc17811"/>
      <w:bookmarkStart w:id="22" w:name="_Toc11018"/>
      <w:bookmarkStart w:id="23" w:name="_Toc9524"/>
      <w:bookmarkStart w:id="24" w:name="_Toc13885"/>
      <w:r>
        <w:rPr>
          <w:rFonts w:hint="default" w:ascii="Times New Roman" w:hAnsi="Times New Roman" w:eastAsia="宋体" w:cs="Times New Roman"/>
          <w:snapToGrid w:val="0"/>
          <w:color w:val="auto"/>
          <w:sz w:val="30"/>
          <w:szCs w:val="30"/>
        </w:rPr>
        <w:t>四、主要环境影响和保护措施</w:t>
      </w:r>
      <w:bookmarkEnd w:id="20"/>
      <w:bookmarkEnd w:id="21"/>
      <w:bookmarkEnd w:id="22"/>
      <w:bookmarkEnd w:id="23"/>
      <w:bookmarkEnd w:id="2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AD14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14:paraId="6006D599">
            <w:pPr>
              <w:pStyle w:val="21"/>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14:paraId="013D4952">
            <w:pPr>
              <w:pStyle w:val="21"/>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14:paraId="27327022">
            <w:pPr>
              <w:pStyle w:val="21"/>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14:paraId="55049BAC">
            <w:pPr>
              <w:pStyle w:val="21"/>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14:paraId="2CD4FA3A">
            <w:pPr>
              <w:pStyle w:val="21"/>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162" w:type="dxa"/>
            <w:vAlign w:val="center"/>
          </w:tcPr>
          <w:p w14:paraId="0190520D">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4.1 施工期影响和保护措施</w:t>
            </w:r>
          </w:p>
          <w:p w14:paraId="18A85B1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本项目租赁现有厂房进行建设，主体工程依托现有已建设完成的</w:t>
            </w:r>
            <w:r>
              <w:rPr>
                <w:rFonts w:hint="default" w:ascii="Times New Roman" w:hAnsi="Times New Roman" w:eastAsia="宋体" w:cs="Times New Roman"/>
                <w:color w:val="auto"/>
                <w:lang w:eastAsia="zh-CN"/>
              </w:rPr>
              <w:t>标准厂房</w:t>
            </w:r>
            <w:r>
              <w:rPr>
                <w:rFonts w:hint="default" w:ascii="Times New Roman" w:hAnsi="Times New Roman" w:eastAsia="宋体" w:cs="Times New Roman"/>
                <w:color w:val="auto"/>
              </w:rPr>
              <w:t>，本次环评施工期主要为</w:t>
            </w:r>
            <w:r>
              <w:rPr>
                <w:rFonts w:hint="default" w:ascii="Times New Roman" w:hAnsi="Times New Roman" w:eastAsia="宋体" w:cs="Times New Roman"/>
                <w:color w:val="auto"/>
                <w:lang w:val="en-US" w:eastAsia="zh-CN"/>
              </w:rPr>
              <w:t>原址厂房设备设施拆除外售；新租赁厂房</w:t>
            </w:r>
            <w:r>
              <w:rPr>
                <w:rFonts w:hint="default" w:ascii="Times New Roman" w:hAnsi="Times New Roman" w:eastAsia="宋体" w:cs="Times New Roman"/>
                <w:color w:val="auto"/>
              </w:rPr>
              <w:t>建设</w:t>
            </w:r>
            <w:r>
              <w:rPr>
                <w:rFonts w:hint="default" w:ascii="Times New Roman" w:hAnsi="Times New Roman" w:eastAsia="宋体" w:cs="Times New Roman"/>
                <w:color w:val="auto"/>
                <w:lang w:val="en-US" w:eastAsia="zh-CN"/>
              </w:rPr>
              <w:t>环保设施</w:t>
            </w:r>
            <w:r>
              <w:rPr>
                <w:rFonts w:hint="default" w:ascii="Times New Roman" w:hAnsi="Times New Roman" w:eastAsia="宋体" w:cs="Times New Roman"/>
                <w:color w:val="auto"/>
              </w:rPr>
              <w:t>、设备安装，主要环境影响为噪声、扬尘、施工废水、废包装材料。</w:t>
            </w:r>
          </w:p>
          <w:p w14:paraId="0DBA8AAC">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（1）废水环境影响保护措施</w:t>
            </w:r>
          </w:p>
          <w:p w14:paraId="4866B240">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施工人员均不在厂内食宿，仅产生洗手废水，污水量较小，依托现有化粪池</w:t>
            </w:r>
            <w:r>
              <w:rPr>
                <w:rFonts w:hint="default" w:ascii="Times New Roman" w:hAnsi="Times New Roman" w:eastAsia="宋体" w:cs="Times New Roman"/>
                <w:color w:val="auto"/>
                <w:lang w:val="en-US" w:eastAsia="zh-CN"/>
              </w:rPr>
              <w:t>和污水处理站</w:t>
            </w:r>
            <w:r>
              <w:rPr>
                <w:rFonts w:hint="default" w:ascii="Times New Roman" w:hAnsi="Times New Roman" w:eastAsia="宋体" w:cs="Times New Roman"/>
                <w:color w:val="auto"/>
              </w:rPr>
              <w:t>处理后</w:t>
            </w:r>
            <w:r>
              <w:rPr>
                <w:rFonts w:hint="default" w:ascii="Times New Roman" w:hAnsi="Times New Roman" w:eastAsia="宋体" w:cs="Times New Roman"/>
                <w:color w:val="auto"/>
                <w:lang w:val="en-US" w:eastAsia="zh-CN"/>
              </w:rPr>
              <w:t>回用于绿化和道路浇洒</w:t>
            </w:r>
            <w:r>
              <w:rPr>
                <w:rFonts w:hint="default" w:ascii="Times New Roman" w:hAnsi="Times New Roman" w:eastAsia="宋体" w:cs="Times New Roman"/>
                <w:color w:val="auto"/>
              </w:rPr>
              <w:t>，不外排，对地表水环境较小。</w:t>
            </w:r>
          </w:p>
          <w:p w14:paraId="26D12791">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（2）废气环境影响保护措施</w:t>
            </w:r>
          </w:p>
          <w:p w14:paraId="40E7AD75">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短，工程量小，不会产生大量扬尘，施工期间不定时洒水降尘；施工结束时及时清扫；施工时应采取室内暂存堆放，堆放点相对集中、放置规范；采用符合国家规定质量要求的环保型油漆、涂料、胶粘剂及装饰材料，油漆、喷涂工序做好室内的通风换气工作。通过以上措施，施工期废气对空气环境影响不大。</w:t>
            </w:r>
          </w:p>
          <w:p w14:paraId="12F63BCC">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（3）噪声环境影响保护措施</w:t>
            </w:r>
          </w:p>
          <w:p w14:paraId="0B60AFDE">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本项目施工期较短，施工过程高噪声设备使用较少，待施工期结束后影响消除。建议合理安排施工时间、制定施工计划，将施工噪声对周围的影响降至最低。严禁夜间施工。</w:t>
            </w:r>
          </w:p>
          <w:p w14:paraId="17479850">
            <w:pPr>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（4）固体废物环境影响保护措施</w:t>
            </w:r>
          </w:p>
          <w:p w14:paraId="30AB0589">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①建筑垃圾可回收利用的，集中收集后交由有回收资质的废品收购站处理；不能回收利用的，集中收集后交由专业的运渣公司清运至玉溪市指定的建筑垃圾堆放点进行处置，严禁随意倾弃；</w:t>
            </w:r>
          </w:p>
          <w:p w14:paraId="2C0035C2">
            <w:pPr>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②生活垃圾统一收集后放至指定地点，由环卫部门清运处置。</w:t>
            </w:r>
          </w:p>
          <w:p w14:paraId="00BBCB08">
            <w:pPr>
              <w:pStyle w:val="31"/>
              <w:ind w:firstLine="4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③拆除的废旧物资委托回收商回收。</w:t>
            </w:r>
          </w:p>
          <w:p w14:paraId="1F1B16E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综上所述，项目施工期采取环评提出的环保措施，可以实现文明施工，采取必要的降噪、防尘等措施，可以使施工期的环境影响降至最小，避免出现扰民现象。</w:t>
            </w:r>
          </w:p>
          <w:p w14:paraId="6D4AD4C3">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施工期产生的环境影响短暂且影响程度较小，在采取相应污染防治措施后不利影响可得到有效控制，且随着施工的结束，各种影响逐渐消失，区域环境逐渐得到恢复。</w:t>
            </w:r>
          </w:p>
          <w:p w14:paraId="733FB21C">
            <w:pPr>
              <w:pStyle w:val="31"/>
              <w:ind w:firstLine="420"/>
              <w:rPr>
                <w:rFonts w:hint="default" w:ascii="Times New Roman" w:hAnsi="Times New Roman" w:eastAsia="宋体" w:cs="Times New Roman"/>
                <w:color w:val="auto"/>
              </w:rPr>
            </w:pPr>
          </w:p>
          <w:p w14:paraId="59108890">
            <w:pPr>
              <w:pStyle w:val="31"/>
              <w:ind w:firstLine="420"/>
              <w:rPr>
                <w:rFonts w:hint="default" w:ascii="Times New Roman" w:hAnsi="Times New Roman" w:eastAsia="宋体" w:cs="Times New Roman"/>
                <w:color w:val="auto"/>
              </w:rPr>
            </w:pPr>
          </w:p>
          <w:p w14:paraId="39AA292E">
            <w:pPr>
              <w:pStyle w:val="31"/>
              <w:ind w:left="0" w:leftChars="0" w:firstLine="0" w:firstLineChars="0"/>
              <w:rPr>
                <w:rFonts w:hint="default" w:ascii="Times New Roman" w:hAnsi="Times New Roman" w:eastAsia="宋体" w:cs="Times New Roman"/>
                <w:color w:val="auto"/>
              </w:rPr>
            </w:pPr>
          </w:p>
        </w:tc>
      </w:tr>
      <w:tr w14:paraId="2B90E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41" w:hRule="atLeast"/>
          <w:jc w:val="center"/>
        </w:trPr>
        <w:tc>
          <w:tcPr>
            <w:tcW w:w="746" w:type="dxa"/>
            <w:tcMar>
              <w:left w:w="28" w:type="dxa"/>
              <w:right w:w="28" w:type="dxa"/>
            </w:tcMar>
            <w:vAlign w:val="center"/>
          </w:tcPr>
          <w:p w14:paraId="78BDB9B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218A195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49F9F3B2">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1506C125">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3F2C54E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22C0E43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162" w:type="dxa"/>
            <w:vAlign w:val="center"/>
          </w:tcPr>
          <w:p w14:paraId="5CFF55A9">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4.2 废气环境影响和治理措施</w:t>
            </w:r>
          </w:p>
          <w:p w14:paraId="77EF1823">
            <w:pPr>
              <w:pStyle w:val="38"/>
              <w:ind w:firstLine="420" w:firstLineChars="200"/>
              <w:rPr>
                <w:rFonts w:hint="default" w:ascii="Times New Roman" w:hAnsi="Times New Roman" w:eastAsia="宋体" w:cs="Times New Roman"/>
                <w:b w:val="0"/>
                <w:bCs w:val="0"/>
                <w:color w:val="auto"/>
                <w:lang w:val="en-US"/>
              </w:rPr>
            </w:pPr>
            <w:r>
              <w:rPr>
                <w:rFonts w:hint="default" w:ascii="Times New Roman" w:hAnsi="Times New Roman" w:eastAsia="宋体" w:cs="Times New Roman"/>
                <w:b w:val="0"/>
                <w:bCs w:val="0"/>
                <w:color w:val="auto"/>
                <w:lang w:val="en-US" w:eastAsia="zh-CN"/>
              </w:rPr>
              <w:t>根据</w:t>
            </w:r>
            <w:r>
              <w:rPr>
                <w:rFonts w:hint="default" w:ascii="Times New Roman" w:hAnsi="Times New Roman" w:eastAsia="宋体" w:cs="Times New Roman"/>
                <w:b w:val="0"/>
                <w:bCs w:val="0"/>
                <w:color w:val="auto"/>
                <w:kern w:val="2"/>
                <w:sz w:val="21"/>
                <w:szCs w:val="21"/>
                <w:lang w:val="en-US" w:eastAsia="zh-CN" w:bidi="ar-SA"/>
              </w:rPr>
              <w:t>《云南兴恒包装瓦楞纸箱生产线搬改建设项目竣工环境保护验收监测报告表》可知DA001排放口为现有印刷废气排放口，已完成验收，不在本次评价范围内。</w:t>
            </w:r>
          </w:p>
          <w:p w14:paraId="4A862C21">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4.2.1 运营期废气产生情况</w:t>
            </w:r>
          </w:p>
          <w:p w14:paraId="1857D1DF">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主要废气为生物质锅炉的废气排放，</w:t>
            </w:r>
            <w:r>
              <w:rPr>
                <w:rFonts w:hint="default" w:ascii="Times New Roman" w:hAnsi="Times New Roman" w:eastAsia="宋体" w:cs="Times New Roman"/>
                <w:color w:val="auto"/>
                <w:kern w:val="0"/>
                <w:szCs w:val="21"/>
                <w:lang w:val="en-US" w:eastAsia="zh-CN"/>
              </w:rPr>
              <w:t>4t/h生物质锅炉生产的废气经多管除尘+布袋除尘装置TA002处理后，通过35m高的排气筒（DA002）排放</w:t>
            </w:r>
            <w:r>
              <w:rPr>
                <w:rFonts w:hint="default" w:ascii="Times New Roman" w:hAnsi="Times New Roman" w:eastAsia="宋体" w:cs="Times New Roman"/>
                <w:color w:val="auto"/>
              </w:rPr>
              <w:t>。</w:t>
            </w:r>
          </w:p>
          <w:p w14:paraId="7C1B105B">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4.2.2 运营期废气源强核算</w:t>
            </w:r>
          </w:p>
          <w:p w14:paraId="676A79A1">
            <w:pPr>
              <w:pStyle w:val="31"/>
              <w:ind w:firstLine="42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（1）有组织废气</w:t>
            </w:r>
          </w:p>
          <w:p w14:paraId="2031FC68">
            <w:pPr>
              <w:pStyle w:val="31"/>
              <w:ind w:firstLine="42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①生物质锅炉废气（DA002）</w:t>
            </w:r>
          </w:p>
          <w:p w14:paraId="4367C02A">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技改后</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4t/h锅炉</w:t>
            </w:r>
            <w:r>
              <w:rPr>
                <w:rFonts w:hint="default" w:ascii="Times New Roman" w:hAnsi="Times New Roman" w:eastAsia="宋体" w:cs="Times New Roman"/>
                <w:color w:val="auto"/>
                <w:sz w:val="21"/>
                <w:szCs w:val="21"/>
              </w:rPr>
              <w:t>使用生物质颗粒燃料，年消耗量</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color w:val="auto"/>
                <w:sz w:val="21"/>
                <w:szCs w:val="21"/>
              </w:rPr>
              <w:t>t/a（</w:t>
            </w:r>
            <w:r>
              <w:rPr>
                <w:rFonts w:hint="default" w:ascii="Times New Roman" w:hAnsi="Times New Roman" w:eastAsia="宋体" w:cs="Times New Roman"/>
                <w:color w:val="auto"/>
                <w:sz w:val="21"/>
                <w:szCs w:val="21"/>
                <w:lang w:val="en-US" w:eastAsia="zh-CN"/>
              </w:rPr>
              <w:t>740</w:t>
            </w:r>
            <w:r>
              <w:rPr>
                <w:rFonts w:hint="default" w:ascii="Times New Roman" w:hAnsi="Times New Roman" w:eastAsia="宋体" w:cs="Times New Roman"/>
                <w:color w:val="auto"/>
                <w:sz w:val="21"/>
                <w:szCs w:val="21"/>
              </w:rPr>
              <w:t>t/h），</w:t>
            </w:r>
            <w:r>
              <w:rPr>
                <w:rFonts w:hint="default" w:ascii="Times New Roman" w:hAnsi="Times New Roman" w:eastAsia="宋体" w:cs="Times New Roman"/>
                <w:color w:val="auto"/>
                <w:kern w:val="0"/>
                <w:sz w:val="21"/>
                <w:szCs w:val="21"/>
                <w:lang w:val="en-US" w:eastAsia="zh-CN" w:bidi="ar"/>
              </w:rPr>
              <w:t>生物质锅炉</w:t>
            </w:r>
            <w:r>
              <w:rPr>
                <w:rFonts w:hint="default" w:ascii="Times New Roman" w:hAnsi="Times New Roman" w:eastAsia="宋体" w:cs="Times New Roman"/>
                <w:color w:val="auto"/>
                <w:sz w:val="21"/>
                <w:szCs w:val="21"/>
              </w:rPr>
              <w:t>年运行300天，每天运行</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小时，每小时</w:t>
            </w:r>
            <w:r>
              <w:rPr>
                <w:rFonts w:hint="default" w:ascii="Times New Roman" w:hAnsi="Times New Roman" w:eastAsia="宋体" w:cs="Times New Roman"/>
                <w:color w:val="auto"/>
                <w:sz w:val="21"/>
                <w:szCs w:val="21"/>
                <w:lang w:val="en-US" w:eastAsia="zh-CN"/>
              </w:rPr>
              <w:t>额定</w:t>
            </w:r>
            <w:r>
              <w:rPr>
                <w:rFonts w:hint="default" w:ascii="Times New Roman" w:hAnsi="Times New Roman" w:eastAsia="宋体" w:cs="Times New Roman"/>
                <w:color w:val="auto"/>
                <w:sz w:val="21"/>
                <w:szCs w:val="21"/>
              </w:rPr>
              <w:t>供应蒸汽</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t。</w:t>
            </w:r>
          </w:p>
          <w:p w14:paraId="501E2567">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①基准烟气量核算</w:t>
            </w:r>
          </w:p>
          <w:p w14:paraId="41CCC568">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根据《排污许可证申请与核发技术规范 锅炉》（HJ953-2018）烟气量采用表5的经验公式，公式如下：</w:t>
            </w:r>
          </w:p>
          <w:p w14:paraId="0DEF94D8">
            <w:pPr>
              <w:pStyle w:val="24"/>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gy</w:t>
            </w:r>
            <w:r>
              <w:rPr>
                <w:rFonts w:hint="default" w:ascii="Times New Roman" w:hAnsi="Times New Roman" w:eastAsia="宋体" w:cs="Times New Roman"/>
                <w:color w:val="auto"/>
                <w:sz w:val="21"/>
                <w:szCs w:val="21"/>
              </w:rPr>
              <w:t>=0.393Q</w:t>
            </w:r>
            <w:r>
              <w:rPr>
                <w:rFonts w:hint="default" w:ascii="Times New Roman" w:hAnsi="Times New Roman" w:eastAsia="宋体" w:cs="Times New Roman"/>
                <w:color w:val="auto"/>
                <w:sz w:val="21"/>
                <w:szCs w:val="21"/>
                <w:vertAlign w:val="subscript"/>
              </w:rPr>
              <w:t>net，ar</w:t>
            </w:r>
            <w:r>
              <w:rPr>
                <w:rFonts w:hint="default" w:ascii="Times New Roman" w:hAnsi="Times New Roman" w:eastAsia="宋体" w:cs="Times New Roman"/>
                <w:color w:val="auto"/>
                <w:sz w:val="21"/>
                <w:szCs w:val="21"/>
              </w:rPr>
              <w:t>+0.876</w:t>
            </w:r>
          </w:p>
          <w:p w14:paraId="5184ED5C">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式中：V</w:t>
            </w:r>
            <w:r>
              <w:rPr>
                <w:rFonts w:hint="default" w:ascii="Times New Roman" w:hAnsi="Times New Roman" w:eastAsia="宋体" w:cs="Times New Roman"/>
                <w:color w:val="auto"/>
                <w:sz w:val="21"/>
                <w:szCs w:val="21"/>
                <w:vertAlign w:val="subscript"/>
              </w:rPr>
              <w:t>gy</w:t>
            </w:r>
            <w:r>
              <w:rPr>
                <w:rFonts w:hint="default" w:ascii="Times New Roman" w:hAnsi="Times New Roman" w:eastAsia="宋体" w:cs="Times New Roman"/>
                <w:color w:val="auto"/>
                <w:sz w:val="21"/>
                <w:szCs w:val="21"/>
              </w:rPr>
              <w:t>——基准烟气量，Nm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/kg；</w:t>
            </w:r>
          </w:p>
          <w:p w14:paraId="599F4A86">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w:t>
            </w:r>
            <w:r>
              <w:rPr>
                <w:rFonts w:hint="default" w:ascii="Times New Roman" w:hAnsi="Times New Roman" w:eastAsia="宋体" w:cs="Times New Roman"/>
                <w:color w:val="auto"/>
                <w:sz w:val="21"/>
                <w:szCs w:val="21"/>
                <w:vertAlign w:val="subscript"/>
              </w:rPr>
              <w:t>net，ar</w:t>
            </w:r>
            <w:r>
              <w:rPr>
                <w:rFonts w:hint="default" w:ascii="Times New Roman" w:hAnsi="Times New Roman" w:eastAsia="宋体" w:cs="Times New Roman"/>
                <w:color w:val="auto"/>
                <w:sz w:val="21"/>
                <w:szCs w:val="21"/>
              </w:rPr>
              <w:t>——固体/液体燃料收到的基低位发热量，MJ/kg；</w:t>
            </w:r>
          </w:p>
          <w:p w14:paraId="3FB4B02C">
            <w:pPr>
              <w:spacing w:line="360" w:lineRule="auto"/>
              <w:ind w:firstLine="420" w:firstLineChars="2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根据生物质成分清单：Q</w:t>
            </w:r>
            <w:r>
              <w:rPr>
                <w:rFonts w:hint="default" w:ascii="Times New Roman" w:hAnsi="Times New Roman" w:eastAsia="宋体" w:cs="Times New Roman"/>
                <w:color w:val="auto"/>
                <w:sz w:val="21"/>
                <w:szCs w:val="21"/>
                <w:vertAlign w:val="subscript"/>
              </w:rPr>
              <w:t>net，ar</w:t>
            </w:r>
            <w:r>
              <w:rPr>
                <w:rFonts w:hint="default" w:ascii="Times New Roman" w:hAnsi="Times New Roman" w:eastAsia="宋体" w:cs="Times New Roman"/>
                <w:color w:val="auto"/>
                <w:sz w:val="21"/>
                <w:szCs w:val="21"/>
              </w:rPr>
              <w:t>=18.25MJ/kg，</w:t>
            </w:r>
            <w:r>
              <w:rPr>
                <w:rFonts w:hint="default" w:ascii="Times New Roman" w:hAnsi="Times New Roman" w:eastAsia="宋体" w:cs="Times New Roman"/>
                <w:color w:val="auto"/>
                <w:sz w:val="21"/>
                <w:szCs w:val="21"/>
                <w:lang w:val="en-US" w:eastAsia="zh-CN"/>
              </w:rPr>
              <w:t>基准烟气量</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gy</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8.04825</w:t>
            </w: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/kg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val="0"/>
                <w:bCs w:val="0"/>
                <w:color w:val="auto"/>
                <w:sz w:val="21"/>
                <w:szCs w:val="21"/>
              </w:rPr>
              <w:t>则项目烟气量为</w:t>
            </w:r>
            <w:r>
              <w:rPr>
                <w:rFonts w:hint="default" w:ascii="Times New Roman" w:hAnsi="Times New Roman" w:eastAsia="宋体" w:cs="Times New Roman"/>
                <w:b w:val="0"/>
                <w:bCs w:val="0"/>
                <w:color w:val="auto"/>
                <w:sz w:val="21"/>
                <w:szCs w:val="21"/>
                <w:lang w:val="en-US" w:eastAsia="zh-CN"/>
              </w:rPr>
              <w:t>1429.3</w:t>
            </w:r>
            <w:r>
              <w:rPr>
                <w:rFonts w:hint="default" w:ascii="Times New Roman" w:hAnsi="Times New Roman" w:eastAsia="宋体" w:cs="Times New Roman"/>
                <w:b w:val="0"/>
                <w:bCs w:val="0"/>
                <w:color w:val="auto"/>
                <w:sz w:val="21"/>
                <w:szCs w:val="21"/>
              </w:rPr>
              <w:t>万Nm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/a（</w:t>
            </w:r>
            <w:r>
              <w:rPr>
                <w:rFonts w:hint="default" w:ascii="Times New Roman" w:hAnsi="Times New Roman" w:eastAsia="宋体" w:cs="Times New Roman"/>
                <w:b w:val="0"/>
                <w:bCs w:val="0"/>
                <w:color w:val="auto"/>
                <w:sz w:val="21"/>
                <w:szCs w:val="21"/>
                <w:lang w:val="en-US" w:eastAsia="zh-CN"/>
              </w:rPr>
              <w:t>5955</w:t>
            </w:r>
            <w:r>
              <w:rPr>
                <w:rFonts w:hint="default" w:ascii="Times New Roman" w:hAnsi="Times New Roman" w:eastAsia="宋体" w:cs="Times New Roman"/>
                <w:b w:val="0"/>
                <w:bCs w:val="0"/>
                <w:color w:val="auto"/>
                <w:sz w:val="21"/>
                <w:szCs w:val="21"/>
              </w:rPr>
              <w:t>Nm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本项目风量取整为6000</w:t>
            </w:r>
            <w:r>
              <w:rPr>
                <w:rFonts w:hint="default" w:ascii="Times New Roman" w:hAnsi="Times New Roman" w:eastAsia="宋体" w:cs="Times New Roman"/>
                <w:b w:val="0"/>
                <w:bCs w:val="0"/>
                <w:color w:val="auto"/>
                <w:sz w:val="21"/>
                <w:szCs w:val="21"/>
              </w:rPr>
              <w:t>Nm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/h）。</w:t>
            </w:r>
          </w:p>
          <w:p w14:paraId="4657544A">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②颗粒物（烟尘）排放量</w:t>
            </w:r>
          </w:p>
          <w:p w14:paraId="0BDCAEC7">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根据《污染源源强核算技术指南 锅炉》（HJ991-2018）表1中源强核算方法选取次序表，有组织废气（正常工况）的新（改、扩）建工程污染源核算方法及选取优先次序为：1.物料衡算法、2.类比法、3.产污系数法，故</w:t>
            </w:r>
            <w:r>
              <w:rPr>
                <w:rFonts w:hint="default" w:ascii="Times New Roman" w:hAnsi="Times New Roman" w:eastAsia="宋体" w:cs="Times New Roman"/>
                <w:color w:val="auto"/>
                <w:sz w:val="21"/>
                <w:szCs w:val="21"/>
                <w:lang w:eastAsia="zh-CN"/>
              </w:rPr>
              <w:t>改扩建项目</w:t>
            </w:r>
            <w:r>
              <w:rPr>
                <w:rFonts w:hint="default" w:ascii="Times New Roman" w:hAnsi="Times New Roman" w:eastAsia="宋体" w:cs="Times New Roman"/>
                <w:color w:val="auto"/>
                <w:sz w:val="21"/>
                <w:szCs w:val="21"/>
              </w:rPr>
              <w:t>优先采用物料衡算法，其公式为：</w:t>
            </w:r>
          </w:p>
          <w:p w14:paraId="5F81D88D">
            <w:pPr>
              <w:pStyle w:val="24"/>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position w:val="-60"/>
                <w:sz w:val="21"/>
                <w:szCs w:val="21"/>
              </w:rPr>
              <w:object>
                <v:shape id="_x0000_i1025" o:spt="75" type="#_x0000_t75" style="height:67.95pt;width:157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14:paraId="5D87ADD1">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262852FC">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r>
              <w:rPr>
                <w:rFonts w:hint="default" w:ascii="Times New Roman" w:hAnsi="Times New Roman" w:eastAsia="宋体" w:cs="Times New Roman"/>
                <w:color w:val="auto"/>
                <w:sz w:val="21"/>
                <w:szCs w:val="21"/>
                <w:vertAlign w:val="subscript"/>
              </w:rPr>
              <w:t>A</w:t>
            </w:r>
            <w:r>
              <w:rPr>
                <w:rFonts w:hint="default" w:ascii="Times New Roman" w:hAnsi="Times New Roman" w:eastAsia="宋体" w:cs="Times New Roman"/>
                <w:color w:val="auto"/>
                <w:sz w:val="21"/>
                <w:szCs w:val="21"/>
              </w:rPr>
              <w:t>—核算时段内颗粒物（烟尘）排放量，t；</w:t>
            </w:r>
          </w:p>
          <w:p w14:paraId="072112D1">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R—核算时段内</w:t>
            </w:r>
            <w:r>
              <w:rPr>
                <w:rFonts w:hint="default" w:ascii="Times New Roman" w:hAnsi="Times New Roman" w:eastAsia="宋体" w:cs="Times New Roman"/>
                <w:color w:val="auto"/>
                <w:sz w:val="21"/>
                <w:szCs w:val="21"/>
                <w:lang w:eastAsia="zh-CN"/>
              </w:rPr>
              <w:t>生物质锅炉燃料</w:t>
            </w:r>
            <w:r>
              <w:rPr>
                <w:rFonts w:hint="default" w:ascii="Times New Roman" w:hAnsi="Times New Roman" w:eastAsia="宋体" w:cs="Times New Roman"/>
                <w:color w:val="auto"/>
                <w:sz w:val="21"/>
                <w:szCs w:val="21"/>
              </w:rPr>
              <w:t>耗量，</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color w:val="auto"/>
                <w:sz w:val="21"/>
                <w:szCs w:val="21"/>
              </w:rPr>
              <w:t>t；</w:t>
            </w:r>
          </w:p>
          <w:p w14:paraId="47BADFAB">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Aar—收到基灰分的质量分数，根据生物质成分清单Aar=2.48%；</w:t>
            </w:r>
          </w:p>
          <w:p w14:paraId="140CAE47">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vertAlign w:val="subscript"/>
              </w:rPr>
              <w:t>fh</w:t>
            </w:r>
            <w:r>
              <w:rPr>
                <w:rFonts w:hint="default" w:ascii="Times New Roman" w:hAnsi="Times New Roman" w:eastAsia="宋体" w:cs="Times New Roman"/>
                <w:color w:val="auto"/>
                <w:sz w:val="21"/>
                <w:szCs w:val="21"/>
              </w:rPr>
              <w:t>—锅炉烟气带出的飞灰份额，参照《污染源源强核算技术指南锅炉》（HJ991-2018）表B.2层燃炉（链条炉排炉）取20%，且燃料为生物质时飞灰份额加30%，则</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取50%；</w:t>
            </w:r>
          </w:p>
          <w:p w14:paraId="6AF13504">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ηc—综合除尘效率，参照</w:t>
            </w:r>
            <w:r>
              <w:rPr>
                <w:rFonts w:hint="default" w:ascii="Times New Roman" w:hAnsi="Times New Roman" w:eastAsia="宋体" w:cs="Times New Roman"/>
                <w:color w:val="auto"/>
                <w:sz w:val="21"/>
                <w:szCs w:val="21"/>
                <w:lang w:val="en-US" w:eastAsia="zh-CN"/>
              </w:rPr>
              <w:t>同类型的锅炉，采用多管除尘器+布袋除尘系统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除尘效率取9</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p>
          <w:p w14:paraId="3BEBCEF0">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fh</w:t>
            </w:r>
            <w:r>
              <w:rPr>
                <w:rFonts w:hint="default" w:ascii="Times New Roman" w:hAnsi="Times New Roman" w:eastAsia="宋体" w:cs="Times New Roman"/>
                <w:color w:val="auto"/>
                <w:sz w:val="21"/>
                <w:szCs w:val="21"/>
              </w:rPr>
              <w:t>—飞灰中的可燃物含量，取5%，满足GB/T15317、GB/T17954限值要求。</w:t>
            </w:r>
          </w:p>
          <w:p w14:paraId="00269136">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经计算，</w:t>
            </w:r>
            <w:r>
              <w:rPr>
                <w:rFonts w:hint="default" w:ascii="Times New Roman" w:hAnsi="Times New Roman" w:eastAsia="宋体" w:cs="Times New Roman"/>
                <w:color w:val="auto"/>
                <w:sz w:val="21"/>
                <w:szCs w:val="21"/>
                <w:lang w:eastAsia="zh-CN"/>
              </w:rPr>
              <w:t>改扩建项目</w:t>
            </w:r>
            <w:r>
              <w:rPr>
                <w:rFonts w:hint="default" w:ascii="Times New Roman" w:hAnsi="Times New Roman" w:eastAsia="宋体" w:cs="Times New Roman"/>
                <w:b w:val="0"/>
                <w:bCs w:val="0"/>
                <w:color w:val="auto"/>
                <w:sz w:val="21"/>
                <w:szCs w:val="21"/>
              </w:rPr>
              <w:t>颗粒物排放量为</w:t>
            </w:r>
            <w:r>
              <w:rPr>
                <w:rFonts w:hint="default" w:ascii="Times New Roman" w:hAnsi="Times New Roman" w:eastAsia="宋体" w:cs="Times New Roman"/>
                <w:b w:val="0"/>
                <w:bCs w:val="0"/>
                <w:color w:val="auto"/>
                <w:sz w:val="21"/>
                <w:szCs w:val="21"/>
                <w:lang w:val="en-US" w:eastAsia="zh-CN"/>
              </w:rPr>
              <w:t>0.46</w:t>
            </w:r>
            <w:r>
              <w:rPr>
                <w:rFonts w:hint="default" w:ascii="Times New Roman" w:hAnsi="Times New Roman" w:eastAsia="宋体" w:cs="Times New Roman"/>
                <w:b w:val="0"/>
                <w:bCs w:val="0"/>
                <w:color w:val="auto"/>
                <w:sz w:val="21"/>
                <w:szCs w:val="21"/>
              </w:rPr>
              <w:t>t/a、0.</w:t>
            </w:r>
            <w:r>
              <w:rPr>
                <w:rFonts w:hint="default" w:ascii="Times New Roman" w:hAnsi="Times New Roman" w:eastAsia="宋体" w:cs="Times New Roman"/>
                <w:b w:val="0"/>
                <w:bCs w:val="0"/>
                <w:color w:val="auto"/>
                <w:sz w:val="21"/>
                <w:szCs w:val="21"/>
                <w:lang w:val="en-US" w:eastAsia="zh-CN"/>
              </w:rPr>
              <w:t>1917</w:t>
            </w:r>
            <w:r>
              <w:rPr>
                <w:rFonts w:hint="default" w:ascii="Times New Roman" w:hAnsi="Times New Roman" w:eastAsia="宋体" w:cs="Times New Roman"/>
                <w:b w:val="0"/>
                <w:bCs w:val="0"/>
                <w:color w:val="auto"/>
                <w:sz w:val="21"/>
                <w:szCs w:val="21"/>
              </w:rPr>
              <w:t>kg/h、</w:t>
            </w:r>
            <w:r>
              <w:rPr>
                <w:rFonts w:hint="default" w:ascii="Times New Roman" w:hAnsi="Times New Roman" w:eastAsia="宋体" w:cs="Times New Roman"/>
                <w:b w:val="0"/>
                <w:bCs w:val="0"/>
                <w:color w:val="auto"/>
                <w:sz w:val="21"/>
                <w:szCs w:val="21"/>
                <w:lang w:val="en-US" w:eastAsia="zh-CN"/>
              </w:rPr>
              <w:t>31.95</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p w14:paraId="0E60C719">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③二氧化硫排放量</w:t>
            </w:r>
          </w:p>
          <w:p w14:paraId="108EA2AD">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根据《污染源源强核算技术指南 锅炉》（HJ991-2018），优先采用物料衡算法，其计算公式为：</w:t>
            </w:r>
          </w:p>
          <w:p w14:paraId="6D9B0ECF">
            <w:pPr>
              <w:pStyle w:val="24"/>
              <w:spacing w:line="360" w:lineRule="auto"/>
              <w:ind w:firstLine="48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0"/>
                <w:sz w:val="21"/>
                <w:szCs w:val="21"/>
              </w:rPr>
              <w:object>
                <v:shape id="_x0000_i1026" o:spt="75" type="#_x0000_t75" style="height:36pt;width:211pt;" o:ole="t" filled="f" o:preferrelative="t" stroked="f" coordsize="21600,21600">
                  <v:path/>
                  <v:fill on="f" focussize="0,0"/>
                  <v:stroke on="f"/>
                  <v:imagedata r:id="rId24" o:title=""/>
                  <o:lock v:ext="edit" aspectratio="t"/>
                  <w10:wrap type="none"/>
                  <w10:anchorlock/>
                </v:shape>
                <o:OLEObject Type="Embed" ProgID="Equation.KSEE3" ShapeID="_x0000_i1026" DrawAspect="Content" ObjectID="_1468075726" r:id="rId23">
                  <o:LockedField>false</o:LockedField>
                </o:OLEObject>
              </w:object>
            </w:r>
          </w:p>
          <w:p w14:paraId="1624F7C4">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式中：E</w:t>
            </w:r>
            <w:r>
              <w:rPr>
                <w:rFonts w:hint="default" w:ascii="Times New Roman" w:hAnsi="Times New Roman" w:eastAsia="宋体" w:cs="Times New Roman"/>
                <w:color w:val="auto"/>
                <w:sz w:val="21"/>
                <w:szCs w:val="21"/>
                <w:vertAlign w:val="subscript"/>
              </w:rPr>
              <w:t>SO2</w:t>
            </w:r>
            <w:r>
              <w:rPr>
                <w:rFonts w:hint="default" w:ascii="Times New Roman" w:hAnsi="Times New Roman" w:eastAsia="宋体" w:cs="Times New Roman"/>
                <w:color w:val="auto"/>
                <w:sz w:val="21"/>
                <w:szCs w:val="21"/>
              </w:rPr>
              <w:t>——核算时段内二氧化硫的实际排放量，吨；</w:t>
            </w:r>
          </w:p>
          <w:p w14:paraId="6FF5D99F">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R——核算阶段内</w:t>
            </w:r>
            <w:r>
              <w:rPr>
                <w:rFonts w:hint="default" w:ascii="Times New Roman" w:hAnsi="Times New Roman" w:eastAsia="宋体" w:cs="Times New Roman"/>
                <w:color w:val="auto"/>
                <w:sz w:val="21"/>
                <w:szCs w:val="21"/>
                <w:lang w:eastAsia="zh-CN"/>
              </w:rPr>
              <w:t>生物质锅炉燃料</w:t>
            </w:r>
            <w:r>
              <w:rPr>
                <w:rFonts w:hint="default" w:ascii="Times New Roman" w:hAnsi="Times New Roman" w:eastAsia="宋体" w:cs="Times New Roman"/>
                <w:color w:val="auto"/>
                <w:sz w:val="21"/>
                <w:szCs w:val="21"/>
              </w:rPr>
              <w:t>消耗量，</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color w:val="auto"/>
                <w:sz w:val="21"/>
                <w:szCs w:val="21"/>
              </w:rPr>
              <w:t>t；</w:t>
            </w:r>
          </w:p>
          <w:p w14:paraId="2FF02D14">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Sar——燃料收到基硫含量，根据生物质成分清单Sar=0.02%；</w:t>
            </w:r>
          </w:p>
          <w:p w14:paraId="3BB07ED2">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——锅炉机械不完全燃烧热损失，百分比；</w:t>
            </w:r>
          </w:p>
          <w:p w14:paraId="39C31011">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η</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——脱硫效率，</w:t>
            </w:r>
            <w:r>
              <w:rPr>
                <w:rFonts w:hint="default" w:ascii="Times New Roman" w:hAnsi="Times New Roman" w:eastAsia="宋体" w:cs="Times New Roman"/>
                <w:color w:val="auto"/>
                <w:sz w:val="21"/>
                <w:szCs w:val="21"/>
                <w:lang w:eastAsia="zh-CN"/>
              </w:rPr>
              <w:t>改扩建项目</w:t>
            </w:r>
            <w:r>
              <w:rPr>
                <w:rFonts w:hint="default" w:ascii="Times New Roman" w:hAnsi="Times New Roman" w:eastAsia="宋体" w:cs="Times New Roman"/>
                <w:color w:val="auto"/>
                <w:sz w:val="21"/>
                <w:szCs w:val="21"/>
              </w:rPr>
              <w:t>去除效率取0%；</w:t>
            </w:r>
          </w:p>
          <w:p w14:paraId="73F48926">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K——燃料中的硫燃烧后氧化成二氧化硫的份额，无量纲。</w:t>
            </w:r>
          </w:p>
          <w:p w14:paraId="19395FF3">
            <w:pPr>
              <w:spacing w:line="360" w:lineRule="auto"/>
              <w:ind w:firstLine="420" w:firstLineChars="20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根据《污染源源强核算技术指南锅炉》（HJ991-2018）表B.1层燃炉（链条炉排炉）、表B.3燃生物质炉：q</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=5%、</w:t>
            </w:r>
            <w:r>
              <w:rPr>
                <w:rFonts w:hint="default" w:ascii="Times New Roman" w:hAnsi="Times New Roman" w:eastAsia="宋体" w:cs="Times New Roman"/>
                <w:b w:val="0"/>
                <w:bCs w:val="0"/>
                <w:color w:val="auto"/>
                <w:sz w:val="21"/>
                <w:szCs w:val="21"/>
              </w:rPr>
              <w:t>K=0.4。则项目SO</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排放量为</w:t>
            </w:r>
            <w:r>
              <w:rPr>
                <w:rFonts w:hint="default" w:ascii="Times New Roman" w:hAnsi="Times New Roman" w:eastAsia="宋体" w:cs="Times New Roman"/>
                <w:b w:val="0"/>
                <w:bCs w:val="0"/>
                <w:color w:val="auto"/>
                <w:sz w:val="21"/>
                <w:szCs w:val="21"/>
                <w:lang w:val="en-US" w:eastAsia="zh-CN"/>
              </w:rPr>
              <w:t>0.27</w:t>
            </w:r>
            <w:r>
              <w:rPr>
                <w:rFonts w:hint="default" w:ascii="Times New Roman" w:hAnsi="Times New Roman" w:eastAsia="宋体" w:cs="Times New Roman"/>
                <w:b w:val="0"/>
                <w:bCs w:val="0"/>
                <w:color w:val="auto"/>
                <w:sz w:val="21"/>
                <w:szCs w:val="21"/>
              </w:rPr>
              <w:t>t/a、0.</w:t>
            </w:r>
            <w:r>
              <w:rPr>
                <w:rFonts w:hint="default" w:ascii="Times New Roman" w:hAnsi="Times New Roman" w:eastAsia="宋体" w:cs="Times New Roman"/>
                <w:b w:val="0"/>
                <w:bCs w:val="0"/>
                <w:color w:val="auto"/>
                <w:sz w:val="21"/>
                <w:szCs w:val="21"/>
                <w:lang w:val="en-US" w:eastAsia="zh-CN"/>
              </w:rPr>
              <w:t>1125</w:t>
            </w:r>
            <w:r>
              <w:rPr>
                <w:rFonts w:hint="default" w:ascii="Times New Roman" w:hAnsi="Times New Roman" w:eastAsia="宋体" w:cs="Times New Roman"/>
                <w:b w:val="0"/>
                <w:bCs w:val="0"/>
                <w:color w:val="auto"/>
                <w:sz w:val="21"/>
                <w:szCs w:val="21"/>
              </w:rPr>
              <w:t>kg/h、18.</w:t>
            </w:r>
            <w:r>
              <w:rPr>
                <w:rFonts w:hint="default" w:ascii="Times New Roman" w:hAnsi="Times New Roman" w:eastAsia="宋体" w:cs="Times New Roman"/>
                <w:b w:val="0"/>
                <w:bCs w:val="0"/>
                <w:color w:val="auto"/>
                <w:sz w:val="21"/>
                <w:szCs w:val="21"/>
                <w:lang w:val="en-US" w:eastAsia="zh-CN"/>
              </w:rPr>
              <w:t>75</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p w14:paraId="051475F6">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④氮氧化物排放量</w:t>
            </w:r>
          </w:p>
          <w:p w14:paraId="5E56B091">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根据《污染物源强核算技术指南 锅炉》（HJ991-2018），项目NOx排放量采用产污系数法，公示如下：</w:t>
            </w:r>
          </w:p>
          <w:p w14:paraId="00074359">
            <w:pPr>
              <w:widowControl/>
              <w:jc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bCs/>
                <w:color w:val="auto"/>
                <w:position w:val="-28"/>
                <w:sz w:val="21"/>
                <w:szCs w:val="21"/>
              </w:rPr>
              <w:object>
                <v:shape id="_x0000_i1027" o:spt="75" type="#_x0000_t75" style="height:34pt;width:147pt;" o:ole="t" filled="f" o:preferrelative="t" stroked="f" coordsize="21600,21600">
                  <v:path/>
                  <v:fill on="f" focussize="0,0"/>
                  <v:stroke on="f"/>
                  <v:imagedata r:id="rId26" o:title=""/>
                  <o:lock v:ext="edit" aspectratio="t"/>
                  <w10:wrap type="none"/>
                  <w10:anchorlock/>
                </v:shape>
                <o:OLEObject Type="Embed" ProgID="Equation.KSEE3" ShapeID="_x0000_i1027" DrawAspect="Content" ObjectID="_1468075727" r:id="rId25">
                  <o:LockedField>false</o:LockedField>
                </o:OLEObject>
              </w:object>
            </w:r>
          </w:p>
          <w:p w14:paraId="5DA1F4DE">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式中：E</w:t>
            </w:r>
            <w:r>
              <w:rPr>
                <w:rFonts w:hint="default" w:ascii="Times New Roman" w:hAnsi="Times New Roman" w:eastAsia="宋体" w:cs="Times New Roman"/>
                <w:color w:val="auto"/>
                <w:sz w:val="21"/>
                <w:szCs w:val="21"/>
                <w:vertAlign w:val="subscript"/>
              </w:rPr>
              <w:t>j</w:t>
            </w:r>
            <w:r>
              <w:rPr>
                <w:rFonts w:hint="default" w:ascii="Times New Roman" w:hAnsi="Times New Roman" w:eastAsia="宋体" w:cs="Times New Roman"/>
                <w:color w:val="auto"/>
                <w:sz w:val="21"/>
                <w:szCs w:val="21"/>
              </w:rPr>
              <w:t>——核算时段内第j种污染物的排放量，吨；</w:t>
            </w:r>
          </w:p>
          <w:p w14:paraId="0A6BA17C">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R——核算阶段内</w:t>
            </w:r>
            <w:r>
              <w:rPr>
                <w:rFonts w:hint="default" w:ascii="Times New Roman" w:hAnsi="Times New Roman" w:eastAsia="宋体" w:cs="Times New Roman"/>
                <w:color w:val="auto"/>
                <w:sz w:val="21"/>
                <w:szCs w:val="21"/>
                <w:lang w:eastAsia="zh-CN"/>
              </w:rPr>
              <w:t>生物质锅炉燃料</w:t>
            </w:r>
            <w:r>
              <w:rPr>
                <w:rFonts w:hint="default" w:ascii="Times New Roman" w:hAnsi="Times New Roman" w:eastAsia="宋体" w:cs="Times New Roman"/>
                <w:color w:val="auto"/>
                <w:sz w:val="21"/>
                <w:szCs w:val="21"/>
              </w:rPr>
              <w:t>消耗量，</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color w:val="auto"/>
                <w:sz w:val="21"/>
                <w:szCs w:val="21"/>
              </w:rPr>
              <w:t>t；</w:t>
            </w:r>
          </w:p>
          <w:p w14:paraId="55BF310E">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w:t>
            </w:r>
            <w:r>
              <w:rPr>
                <w:rFonts w:hint="default" w:ascii="Times New Roman" w:hAnsi="Times New Roman" w:eastAsia="宋体" w:cs="Times New Roman"/>
                <w:color w:val="auto"/>
                <w:sz w:val="21"/>
                <w:szCs w:val="21"/>
                <w:vertAlign w:val="subscript"/>
              </w:rPr>
              <w:t>j</w:t>
            </w:r>
            <w:r>
              <w:rPr>
                <w:rFonts w:hint="default" w:ascii="Times New Roman" w:hAnsi="Times New Roman" w:eastAsia="宋体" w:cs="Times New Roman"/>
                <w:color w:val="auto"/>
                <w:sz w:val="21"/>
                <w:szCs w:val="21"/>
              </w:rPr>
              <w:t>——第j种污染物产排污系数，kg/t-燃料；</w:t>
            </w:r>
          </w:p>
          <w:p w14:paraId="4E04272B">
            <w:pPr>
              <w:spacing w:line="360" w:lineRule="auto"/>
              <w:ind w:firstLine="1050" w:firstLineChars="5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η——脱</w:t>
            </w:r>
            <w:r>
              <w:rPr>
                <w:rFonts w:hint="default" w:ascii="Times New Roman" w:hAnsi="Times New Roman" w:eastAsia="宋体" w:cs="Times New Roman"/>
                <w:color w:val="auto"/>
                <w:sz w:val="21"/>
                <w:szCs w:val="21"/>
                <w:lang w:val="en-US" w:eastAsia="zh-CN"/>
              </w:rPr>
              <w:t>氮</w:t>
            </w:r>
            <w:r>
              <w:rPr>
                <w:rFonts w:hint="default" w:ascii="Times New Roman" w:hAnsi="Times New Roman" w:eastAsia="宋体" w:cs="Times New Roman"/>
                <w:color w:val="auto"/>
                <w:sz w:val="21"/>
                <w:szCs w:val="21"/>
              </w:rPr>
              <w:t>效率，%。</w:t>
            </w:r>
          </w:p>
          <w:p w14:paraId="0F390B63">
            <w:pPr>
              <w:spacing w:line="360" w:lineRule="auto"/>
              <w:ind w:firstLine="420"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根据《排污许可证申请与核发技术规范 锅炉》（HJ953-2018）表F.4，则β</w:t>
            </w:r>
            <w:r>
              <w:rPr>
                <w:rFonts w:hint="default" w:ascii="Times New Roman" w:hAnsi="Times New Roman" w:eastAsia="宋体" w:cs="Times New Roman"/>
                <w:color w:val="auto"/>
                <w:sz w:val="21"/>
                <w:szCs w:val="21"/>
                <w:vertAlign w:val="subscript"/>
              </w:rPr>
              <w:t>j</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1.02</w:t>
            </w:r>
            <w:r>
              <w:rPr>
                <w:rFonts w:hint="default" w:ascii="Times New Roman" w:hAnsi="Times New Roman" w:eastAsia="宋体" w:cs="Times New Roman"/>
                <w:color w:val="auto"/>
                <w:sz w:val="21"/>
                <w:szCs w:val="21"/>
              </w:rPr>
              <w:t>，η=0</w:t>
            </w:r>
            <w:r>
              <w:rPr>
                <w:rFonts w:hint="default" w:ascii="Times New Roman" w:hAnsi="Times New Roman" w:eastAsia="宋体" w:cs="Times New Roman"/>
                <w:b w:val="0"/>
                <w:bCs w:val="0"/>
                <w:color w:val="auto"/>
                <w:sz w:val="21"/>
                <w:szCs w:val="21"/>
              </w:rPr>
              <w:t>。则NO</w:t>
            </w:r>
            <w:r>
              <w:rPr>
                <w:rFonts w:hint="default" w:ascii="Times New Roman" w:hAnsi="Times New Roman" w:eastAsia="宋体" w:cs="Times New Roman"/>
                <w:b w:val="0"/>
                <w:bCs w:val="0"/>
                <w:color w:val="auto"/>
                <w:sz w:val="21"/>
                <w:szCs w:val="21"/>
                <w:vertAlign w:val="subscript"/>
              </w:rPr>
              <w:t>X</w:t>
            </w:r>
            <w:r>
              <w:rPr>
                <w:rFonts w:hint="default" w:ascii="Times New Roman" w:hAnsi="Times New Roman" w:eastAsia="宋体" w:cs="Times New Roman"/>
                <w:b w:val="0"/>
                <w:bCs w:val="0"/>
                <w:color w:val="auto"/>
                <w:sz w:val="21"/>
                <w:szCs w:val="21"/>
              </w:rPr>
              <w:t>排放量为</w:t>
            </w:r>
            <w:r>
              <w:rPr>
                <w:rFonts w:hint="default" w:ascii="Times New Roman" w:hAnsi="Times New Roman" w:eastAsia="宋体" w:cs="Times New Roman"/>
                <w:b w:val="0"/>
                <w:bCs w:val="0"/>
                <w:color w:val="auto"/>
                <w:sz w:val="21"/>
                <w:szCs w:val="21"/>
                <w:lang w:val="en-US" w:eastAsia="zh-CN"/>
              </w:rPr>
              <w:t>1.81</w:t>
            </w:r>
            <w:r>
              <w:rPr>
                <w:rFonts w:hint="default" w:ascii="Times New Roman" w:hAnsi="Times New Roman" w:eastAsia="宋体" w:cs="Times New Roman"/>
                <w:b w:val="0"/>
                <w:bCs w:val="0"/>
                <w:color w:val="auto"/>
                <w:sz w:val="21"/>
                <w:szCs w:val="21"/>
              </w:rPr>
              <w:t>t/a、</w:t>
            </w:r>
            <w:r>
              <w:rPr>
                <w:rFonts w:hint="default" w:ascii="Times New Roman" w:hAnsi="Times New Roman" w:eastAsia="宋体" w:cs="Times New Roman"/>
                <w:b w:val="0"/>
                <w:bCs w:val="0"/>
                <w:color w:val="auto"/>
                <w:sz w:val="21"/>
                <w:szCs w:val="21"/>
                <w:lang w:val="en-US" w:eastAsia="zh-CN"/>
              </w:rPr>
              <w:t>0.754</w:t>
            </w:r>
            <w:r>
              <w:rPr>
                <w:rFonts w:hint="default" w:ascii="Times New Roman" w:hAnsi="Times New Roman" w:eastAsia="宋体" w:cs="Times New Roman"/>
                <w:b w:val="0"/>
                <w:bCs w:val="0"/>
                <w:color w:val="auto"/>
                <w:sz w:val="21"/>
                <w:szCs w:val="21"/>
              </w:rPr>
              <w:t>kg/h、</w:t>
            </w:r>
            <w:r>
              <w:rPr>
                <w:rFonts w:hint="default" w:ascii="Times New Roman" w:hAnsi="Times New Roman" w:eastAsia="宋体" w:cs="Times New Roman"/>
                <w:b w:val="0"/>
                <w:bCs w:val="0"/>
                <w:color w:val="auto"/>
                <w:sz w:val="21"/>
                <w:szCs w:val="21"/>
                <w:lang w:val="en-US" w:eastAsia="zh-CN"/>
              </w:rPr>
              <w:t>125.7</w:t>
            </w:r>
            <w:r>
              <w:rPr>
                <w:rFonts w:hint="default" w:ascii="Times New Roman" w:hAnsi="Times New Roman" w:eastAsia="宋体" w:cs="Times New Roman"/>
                <w:b w:val="0"/>
                <w:bCs w:val="0"/>
                <w:color w:val="auto"/>
                <w:sz w:val="21"/>
                <w:szCs w:val="21"/>
              </w:rPr>
              <w:t>mg/m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w:t>
            </w:r>
          </w:p>
          <w:p w14:paraId="09BA6C49">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根据项目运营期产污环节分析，项目废气主要为</w:t>
            </w:r>
            <w:r>
              <w:rPr>
                <w:rFonts w:hint="default" w:ascii="Times New Roman" w:hAnsi="Times New Roman" w:eastAsia="宋体" w:cs="Times New Roman"/>
                <w:color w:val="auto"/>
                <w:sz w:val="21"/>
                <w:szCs w:val="21"/>
                <w:lang w:val="en-US" w:eastAsia="zh-CN"/>
              </w:rPr>
              <w:t>锅炉</w:t>
            </w:r>
            <w:r>
              <w:rPr>
                <w:rFonts w:hint="default" w:ascii="Times New Roman" w:hAnsi="Times New Roman" w:eastAsia="宋体" w:cs="Times New Roman"/>
                <w:color w:val="auto"/>
                <w:sz w:val="21"/>
                <w:szCs w:val="21"/>
              </w:rPr>
              <w:t>燃烧废气（主要为颗粒物、SO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）。项目运营大气污染物产生及排放情况详见下表：</w:t>
            </w:r>
          </w:p>
          <w:p w14:paraId="790453A3">
            <w:pPr>
              <w:adjustRightInd w:val="0"/>
              <w:snapToGrid w:val="0"/>
              <w:jc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表4.</w:t>
            </w:r>
            <w:r>
              <w:rPr>
                <w:rFonts w:hint="default" w:ascii="Times New Roman" w:hAnsi="Times New Roman" w:eastAsia="宋体" w:cs="Times New Roman"/>
                <w:b/>
                <w:bCs/>
                <w:color w:val="auto"/>
                <w:kern w:val="0"/>
                <w:sz w:val="21"/>
                <w:szCs w:val="21"/>
                <w:lang w:val="en-US" w:eastAsia="zh-CN" w:bidi="ar"/>
              </w:rPr>
              <w:t>4</w:t>
            </w:r>
            <w:r>
              <w:rPr>
                <w:rFonts w:hint="default" w:ascii="Times New Roman" w:hAnsi="Times New Roman" w:eastAsia="宋体" w:cs="Times New Roman"/>
                <w:b/>
                <w:bCs/>
                <w:color w:val="auto"/>
                <w:kern w:val="0"/>
                <w:sz w:val="21"/>
                <w:szCs w:val="21"/>
                <w:lang w:bidi="ar"/>
              </w:rPr>
              <w:t>-</w:t>
            </w:r>
            <w:r>
              <w:rPr>
                <w:rFonts w:hint="default" w:ascii="Times New Roman" w:hAnsi="Times New Roman" w:eastAsia="宋体" w:cs="Times New Roman"/>
                <w:b/>
                <w:bCs/>
                <w:color w:val="auto"/>
                <w:kern w:val="0"/>
                <w:sz w:val="21"/>
                <w:szCs w:val="21"/>
                <w:lang w:val="en-US" w:eastAsia="zh-CN" w:bidi="ar"/>
              </w:rPr>
              <w:t>3</w:t>
            </w:r>
            <w:r>
              <w:rPr>
                <w:rFonts w:hint="default" w:ascii="Times New Roman" w:hAnsi="Times New Roman" w:eastAsia="宋体" w:cs="Times New Roman"/>
                <w:b/>
                <w:bCs/>
                <w:color w:val="auto"/>
                <w:kern w:val="0"/>
                <w:sz w:val="21"/>
                <w:szCs w:val="21"/>
                <w:lang w:bidi="ar"/>
              </w:rPr>
              <w:t xml:space="preserve">  </w:t>
            </w:r>
            <w:r>
              <w:rPr>
                <w:rFonts w:hint="default" w:ascii="Times New Roman" w:hAnsi="Times New Roman" w:eastAsia="宋体" w:cs="Times New Roman"/>
                <w:b/>
                <w:bCs/>
                <w:color w:val="auto"/>
                <w:sz w:val="21"/>
                <w:szCs w:val="21"/>
                <w:lang w:val="en-US" w:eastAsia="zh-CN"/>
              </w:rPr>
              <w:t>4t/h生物质锅炉</w:t>
            </w:r>
            <w:r>
              <w:rPr>
                <w:rFonts w:hint="default" w:ascii="Times New Roman" w:hAnsi="Times New Roman" w:eastAsia="宋体" w:cs="Times New Roman"/>
                <w:b/>
                <w:bCs/>
                <w:color w:val="auto"/>
                <w:kern w:val="0"/>
                <w:sz w:val="21"/>
                <w:szCs w:val="21"/>
                <w:lang w:bidi="ar"/>
              </w:rPr>
              <w:t>废气产排情况一览表</w:t>
            </w:r>
          </w:p>
          <w:tbl>
            <w:tblPr>
              <w:tblStyle w:val="25"/>
              <w:tblW w:w="4998"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041"/>
              <w:gridCol w:w="1549"/>
              <w:gridCol w:w="1549"/>
              <w:gridCol w:w="1555"/>
            </w:tblGrid>
            <w:tr w14:paraId="6265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80" w:type="pct"/>
                  <w:noWrap w:val="0"/>
                  <w:vAlign w:val="center"/>
                </w:tcPr>
                <w:p w14:paraId="7B32448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1286" w:type="pct"/>
                  <w:noWrap w:val="0"/>
                  <w:vAlign w:val="center"/>
                </w:tcPr>
                <w:p w14:paraId="7AFBC8F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2932" w:type="pct"/>
                  <w:gridSpan w:val="3"/>
                  <w:noWrap w:val="0"/>
                  <w:vAlign w:val="center"/>
                </w:tcPr>
                <w:p w14:paraId="6CC7163D">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4t/h生物质锅炉</w:t>
                  </w:r>
                  <w:r>
                    <w:rPr>
                      <w:rFonts w:hint="default" w:ascii="Times New Roman" w:hAnsi="Times New Roman" w:eastAsia="宋体" w:cs="Times New Roman"/>
                      <w:b/>
                      <w:bCs/>
                      <w:color w:val="auto"/>
                      <w:sz w:val="21"/>
                      <w:szCs w:val="21"/>
                    </w:rPr>
                    <w:t>废气</w:t>
                  </w:r>
                </w:p>
              </w:tc>
            </w:tr>
            <w:tr w14:paraId="1EC6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pct"/>
                  <w:vMerge w:val="restart"/>
                  <w:noWrap w:val="0"/>
                  <w:vAlign w:val="center"/>
                </w:tcPr>
                <w:p w14:paraId="01766BB0">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有组织废气</w:t>
                  </w:r>
                </w:p>
              </w:tc>
              <w:tc>
                <w:tcPr>
                  <w:tcW w:w="1286" w:type="pct"/>
                  <w:noWrap w:val="0"/>
                  <w:vAlign w:val="center"/>
                </w:tcPr>
                <w:p w14:paraId="376F383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污染源量(万m³/a)</w:t>
                  </w:r>
                </w:p>
              </w:tc>
              <w:tc>
                <w:tcPr>
                  <w:tcW w:w="2932" w:type="pct"/>
                  <w:gridSpan w:val="3"/>
                  <w:noWrap w:val="0"/>
                  <w:vAlign w:val="center"/>
                </w:tcPr>
                <w:p w14:paraId="05453E5F">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9677.22</w:t>
                  </w:r>
                </w:p>
              </w:tc>
            </w:tr>
            <w:tr w14:paraId="4289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80" w:type="pct"/>
                  <w:vMerge w:val="continue"/>
                  <w:noWrap w:val="0"/>
                  <w:vAlign w:val="center"/>
                </w:tcPr>
                <w:p w14:paraId="0914133C">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3ED70E6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污染源量(m³/h)</w:t>
                  </w:r>
                </w:p>
              </w:tc>
              <w:tc>
                <w:tcPr>
                  <w:tcW w:w="2932" w:type="pct"/>
                  <w:gridSpan w:val="3"/>
                  <w:noWrap w:val="0"/>
                  <w:vAlign w:val="center"/>
                </w:tcPr>
                <w:p w14:paraId="1BAFBFCC">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13440.58</w:t>
                  </w:r>
                </w:p>
              </w:tc>
            </w:tr>
            <w:tr w14:paraId="0909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80" w:type="pct"/>
                  <w:vMerge w:val="continue"/>
                  <w:noWrap w:val="0"/>
                  <w:vAlign w:val="center"/>
                </w:tcPr>
                <w:p w14:paraId="417472A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491806B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976" w:type="pct"/>
                  <w:noWrap w:val="0"/>
                  <w:vAlign w:val="center"/>
                </w:tcPr>
                <w:p w14:paraId="4F5339F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976" w:type="pct"/>
                  <w:noWrap w:val="0"/>
                  <w:vAlign w:val="center"/>
                </w:tcPr>
                <w:p w14:paraId="6F977118">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980" w:type="pct"/>
                  <w:noWrap w:val="0"/>
                  <w:vAlign w:val="center"/>
                </w:tcPr>
                <w:p w14:paraId="3C0BAE4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w:t>
                  </w:r>
                </w:p>
              </w:tc>
            </w:tr>
            <w:tr w14:paraId="2458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80" w:type="pct"/>
                  <w:vMerge w:val="continue"/>
                  <w:noWrap w:val="0"/>
                  <w:vAlign w:val="center"/>
                </w:tcPr>
                <w:p w14:paraId="073CF5B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691286E9">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976" w:type="pct"/>
                  <w:noWrap w:val="0"/>
                  <w:vAlign w:val="center"/>
                </w:tcPr>
                <w:p w14:paraId="399D35B6">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976" w:type="pct"/>
                  <w:noWrap w:val="0"/>
                  <w:vAlign w:val="center"/>
                </w:tcPr>
                <w:p w14:paraId="4877CF67">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w:t>
                  </w:r>
                </w:p>
              </w:tc>
              <w:tc>
                <w:tcPr>
                  <w:tcW w:w="980" w:type="pct"/>
                  <w:noWrap w:val="0"/>
                  <w:vAlign w:val="center"/>
                </w:tcPr>
                <w:p w14:paraId="2AEA3834">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1.81</w:t>
                  </w:r>
                </w:p>
              </w:tc>
            </w:tr>
            <w:tr w14:paraId="2CEA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pct"/>
                  <w:vMerge w:val="continue"/>
                  <w:noWrap w:val="0"/>
                  <w:vAlign w:val="center"/>
                </w:tcPr>
                <w:p w14:paraId="3BCB89C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6AF4DE35">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产生速率(kg/h)</w:t>
                  </w:r>
                </w:p>
              </w:tc>
              <w:tc>
                <w:tcPr>
                  <w:tcW w:w="976" w:type="pct"/>
                  <w:noWrap w:val="0"/>
                  <w:vAlign w:val="center"/>
                </w:tcPr>
                <w:p w14:paraId="0391936B">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9.583</w:t>
                  </w:r>
                </w:p>
              </w:tc>
              <w:tc>
                <w:tcPr>
                  <w:tcW w:w="976" w:type="pct"/>
                  <w:noWrap w:val="0"/>
                  <w:vAlign w:val="center"/>
                </w:tcPr>
                <w:p w14:paraId="34053C3A">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0.1125</w:t>
                  </w:r>
                </w:p>
              </w:tc>
              <w:tc>
                <w:tcPr>
                  <w:tcW w:w="980" w:type="pct"/>
                  <w:noWrap w:val="0"/>
                  <w:vAlign w:val="center"/>
                </w:tcPr>
                <w:p w14:paraId="6538403A">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0.754</w:t>
                  </w:r>
                </w:p>
              </w:tc>
            </w:tr>
            <w:tr w14:paraId="7DB7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80" w:type="pct"/>
                  <w:vMerge w:val="continue"/>
                  <w:noWrap w:val="0"/>
                  <w:vAlign w:val="center"/>
                </w:tcPr>
                <w:p w14:paraId="5107E1A1">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4FB41A3C">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产生浓度(mg/Nm³)</w:t>
                  </w:r>
                </w:p>
              </w:tc>
              <w:tc>
                <w:tcPr>
                  <w:tcW w:w="976" w:type="pct"/>
                  <w:noWrap w:val="0"/>
                  <w:vAlign w:val="center"/>
                </w:tcPr>
                <w:p w14:paraId="1CD61A74">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1597.17</w:t>
                  </w:r>
                </w:p>
              </w:tc>
              <w:tc>
                <w:tcPr>
                  <w:tcW w:w="976" w:type="pct"/>
                  <w:noWrap w:val="0"/>
                  <w:vAlign w:val="center"/>
                </w:tcPr>
                <w:p w14:paraId="5DED8733">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18.75</w:t>
                  </w:r>
                </w:p>
              </w:tc>
              <w:tc>
                <w:tcPr>
                  <w:tcW w:w="980" w:type="pct"/>
                  <w:noWrap w:val="0"/>
                  <w:vAlign w:val="center"/>
                </w:tcPr>
                <w:p w14:paraId="236A5596">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125.7</w:t>
                  </w:r>
                </w:p>
              </w:tc>
            </w:tr>
            <w:tr w14:paraId="0F1D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80" w:type="pct"/>
                  <w:vMerge w:val="continue"/>
                  <w:noWrap w:val="0"/>
                  <w:vAlign w:val="center"/>
                </w:tcPr>
                <w:p w14:paraId="7B0A616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vMerge w:val="restart"/>
                  <w:noWrap w:val="0"/>
                  <w:vAlign w:val="center"/>
                </w:tcPr>
                <w:p w14:paraId="63CB04E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2932" w:type="pct"/>
                  <w:gridSpan w:val="3"/>
                  <w:noWrap w:val="0"/>
                  <w:vAlign w:val="center"/>
                </w:tcPr>
                <w:p w14:paraId="6FB8258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lang w:val="en-US" w:eastAsia="zh-CN"/>
                    </w:rPr>
                    <w:t>锅炉</w:t>
                  </w:r>
                  <w:r>
                    <w:rPr>
                      <w:rFonts w:hint="default" w:ascii="Times New Roman" w:hAnsi="Times New Roman" w:eastAsia="宋体" w:cs="Times New Roman"/>
                      <w:color w:val="auto"/>
                      <w:sz w:val="21"/>
                      <w:szCs w:val="21"/>
                    </w:rPr>
                    <w:t>采用</w:t>
                  </w:r>
                  <w:r>
                    <w:rPr>
                      <w:rFonts w:hint="default" w:ascii="Times New Roman" w:hAnsi="Times New Roman" w:eastAsia="宋体" w:cs="Times New Roman"/>
                      <w:color w:val="auto"/>
                      <w:sz w:val="21"/>
                      <w:szCs w:val="21"/>
                      <w:lang w:val="en-US" w:eastAsia="zh-CN"/>
                    </w:rPr>
                    <w:t>多管除尘+布袋除尘器</w:t>
                  </w:r>
                  <w:r>
                    <w:rPr>
                      <w:rFonts w:hint="default" w:ascii="Times New Roman" w:hAnsi="Times New Roman" w:eastAsia="宋体" w:cs="Times New Roman"/>
                      <w:color w:val="auto"/>
                      <w:sz w:val="21"/>
                      <w:szCs w:val="21"/>
                    </w:rPr>
                    <w:t>（TA00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）综合除尘效率</w:t>
                  </w:r>
                  <w:r>
                    <w:rPr>
                      <w:rFonts w:hint="default" w:ascii="Times New Roman" w:hAnsi="Times New Roman" w:eastAsia="宋体" w:cs="Times New Roman"/>
                      <w:color w:val="auto"/>
                      <w:sz w:val="21"/>
                      <w:szCs w:val="21"/>
                      <w:lang w:val="en-US" w:eastAsia="zh-CN"/>
                    </w:rPr>
                    <w:t>取</w:t>
                  </w: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p>
              </w:tc>
            </w:tr>
            <w:tr w14:paraId="1CF0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80" w:type="pct"/>
                  <w:vMerge w:val="continue"/>
                  <w:noWrap w:val="0"/>
                  <w:vAlign w:val="center"/>
                </w:tcPr>
                <w:p w14:paraId="0647425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vMerge w:val="continue"/>
                  <w:noWrap w:val="0"/>
                  <w:vAlign w:val="center"/>
                </w:tcPr>
                <w:p w14:paraId="2AACC4A6">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2932" w:type="pct"/>
                  <w:gridSpan w:val="3"/>
                  <w:noWrap w:val="0"/>
                  <w:vAlign w:val="center"/>
                </w:tcPr>
                <w:p w14:paraId="38BC339A">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总风机量</w:t>
                  </w:r>
                  <w:r>
                    <w:rPr>
                      <w:rFonts w:hint="default" w:ascii="Times New Roman" w:hAnsi="Times New Roman" w:eastAsia="宋体" w:cs="Times New Roman"/>
                      <w:b w:val="0"/>
                      <w:bCs w:val="0"/>
                      <w:color w:val="auto"/>
                      <w:sz w:val="21"/>
                      <w:szCs w:val="21"/>
                      <w:lang w:val="en-US" w:eastAsia="zh-CN"/>
                    </w:rPr>
                    <w:t>6000</w:t>
                  </w: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r>
            <w:tr w14:paraId="7104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80" w:type="pct"/>
                  <w:vMerge w:val="continue"/>
                  <w:noWrap w:val="0"/>
                  <w:vAlign w:val="center"/>
                </w:tcPr>
                <w:p w14:paraId="7DDAAF0B">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66F36DD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976" w:type="pct"/>
                  <w:noWrap w:val="0"/>
                  <w:vAlign w:val="center"/>
                </w:tcPr>
                <w:p w14:paraId="5DACA51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0.46</w:t>
                  </w:r>
                </w:p>
              </w:tc>
              <w:tc>
                <w:tcPr>
                  <w:tcW w:w="1549" w:type="dxa"/>
                  <w:noWrap w:val="0"/>
                  <w:vAlign w:val="center"/>
                </w:tcPr>
                <w:p w14:paraId="5240F5A2">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w:t>
                  </w:r>
                </w:p>
              </w:tc>
              <w:tc>
                <w:tcPr>
                  <w:tcW w:w="1555" w:type="dxa"/>
                  <w:noWrap w:val="0"/>
                  <w:vAlign w:val="center"/>
                </w:tcPr>
                <w:p w14:paraId="2D9B7602">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1.81</w:t>
                  </w:r>
                </w:p>
              </w:tc>
            </w:tr>
            <w:tr w14:paraId="0942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80" w:type="pct"/>
                  <w:vMerge w:val="continue"/>
                  <w:noWrap w:val="0"/>
                  <w:vAlign w:val="center"/>
                </w:tcPr>
                <w:p w14:paraId="5B0CE25E">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34B125AE">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976" w:type="pct"/>
                  <w:noWrap w:val="0"/>
                  <w:vAlign w:val="center"/>
                </w:tcPr>
                <w:p w14:paraId="3BBE1456">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0.</w:t>
                  </w:r>
                  <w:r>
                    <w:rPr>
                      <w:rFonts w:hint="default" w:ascii="Times New Roman" w:hAnsi="Times New Roman" w:eastAsia="宋体" w:cs="Times New Roman"/>
                      <w:b w:val="0"/>
                      <w:bCs w:val="0"/>
                      <w:color w:val="auto"/>
                      <w:sz w:val="21"/>
                      <w:szCs w:val="21"/>
                      <w:lang w:val="en-US" w:eastAsia="zh-CN"/>
                    </w:rPr>
                    <w:t>1917</w:t>
                  </w:r>
                </w:p>
              </w:tc>
              <w:tc>
                <w:tcPr>
                  <w:tcW w:w="1549" w:type="dxa"/>
                  <w:noWrap w:val="0"/>
                  <w:vAlign w:val="center"/>
                </w:tcPr>
                <w:p w14:paraId="4D4AFFFD">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0.1125</w:t>
                  </w:r>
                </w:p>
              </w:tc>
              <w:tc>
                <w:tcPr>
                  <w:tcW w:w="1555" w:type="dxa"/>
                  <w:noWrap w:val="0"/>
                  <w:vAlign w:val="center"/>
                </w:tcPr>
                <w:p w14:paraId="36AAF127">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0.754</w:t>
                  </w:r>
                </w:p>
              </w:tc>
            </w:tr>
            <w:tr w14:paraId="708E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pct"/>
                  <w:vMerge w:val="continue"/>
                  <w:noWrap w:val="0"/>
                  <w:vAlign w:val="center"/>
                </w:tcPr>
                <w:p w14:paraId="32509D73">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p>
              </w:tc>
              <w:tc>
                <w:tcPr>
                  <w:tcW w:w="1286" w:type="pct"/>
                  <w:noWrap w:val="0"/>
                  <w:vAlign w:val="center"/>
                </w:tcPr>
                <w:p w14:paraId="35EE93F4">
                  <w:pPr>
                    <w:keepNext w:val="0"/>
                    <w:keepLines w:val="0"/>
                    <w:pageBreakBefore w:val="0"/>
                    <w:kinsoku/>
                    <w:wordWrap/>
                    <w:overflowPunct/>
                    <w:topLinePunct w:val="0"/>
                    <w:autoSpaceDE/>
                    <w:autoSpaceDN/>
                    <w:bidi w:val="0"/>
                    <w:adjustRightInd/>
                    <w:snapToGrid w:val="0"/>
                    <w:spacing w:before="95" w:beforeLines="30" w:after="95" w:afterLines="3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排放浓度(mg/Nm³)</w:t>
                  </w:r>
                </w:p>
              </w:tc>
              <w:tc>
                <w:tcPr>
                  <w:tcW w:w="976" w:type="pct"/>
                  <w:noWrap w:val="0"/>
                  <w:vAlign w:val="center"/>
                </w:tcPr>
                <w:p w14:paraId="301025D0">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31.95</w:t>
                  </w:r>
                </w:p>
              </w:tc>
              <w:tc>
                <w:tcPr>
                  <w:tcW w:w="1549" w:type="dxa"/>
                  <w:noWrap w:val="0"/>
                  <w:vAlign w:val="center"/>
                </w:tcPr>
                <w:p w14:paraId="65014CBD">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18.75</w:t>
                  </w:r>
                </w:p>
              </w:tc>
              <w:tc>
                <w:tcPr>
                  <w:tcW w:w="1555" w:type="dxa"/>
                  <w:noWrap w:val="0"/>
                  <w:vAlign w:val="center"/>
                </w:tcPr>
                <w:p w14:paraId="5A1064B2">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125.7</w:t>
                  </w:r>
                </w:p>
              </w:tc>
            </w:tr>
          </w:tbl>
          <w:p w14:paraId="55769981">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⑤</w:t>
            </w:r>
            <w:r>
              <w:rPr>
                <w:rFonts w:hint="default" w:ascii="Times New Roman" w:hAnsi="Times New Roman" w:eastAsia="宋体" w:cs="Times New Roman"/>
                <w:b/>
                <w:bCs/>
                <w:color w:val="auto"/>
                <w:sz w:val="21"/>
                <w:szCs w:val="21"/>
              </w:rPr>
              <w:t>排放口基本情况</w:t>
            </w:r>
          </w:p>
          <w:p w14:paraId="1205E1D4">
            <w:pPr>
              <w:spacing w:line="360" w:lineRule="auto"/>
              <w:ind w:firstLine="420" w:firstLineChars="200"/>
              <w:rPr>
                <w:rFonts w:hint="default" w:ascii="Times New Roman" w:hAnsi="Times New Roman" w:eastAsia="宋体" w:cs="Times New Roman"/>
                <w:b/>
                <w:color w:val="auto"/>
                <w:kern w:val="0"/>
                <w:sz w:val="21"/>
                <w:szCs w:val="21"/>
                <w:lang w:bidi="ar"/>
              </w:rPr>
            </w:pPr>
            <w:r>
              <w:rPr>
                <w:rStyle w:val="30"/>
                <w:rFonts w:hint="default" w:ascii="Times New Roman" w:hAnsi="Times New Roman" w:eastAsia="宋体" w:cs="Times New Roman"/>
                <w:color w:val="auto"/>
                <w:sz w:val="21"/>
                <w:szCs w:val="21"/>
              </w:rPr>
              <w:t>根据《排污许可证申请与核发技术规范 锅炉》（HJ953-2018）4.5.2.4 排放口类型“单台出力10吨/小时（7兆瓦）以下且合计出力20吨/小时（14兆瓦）以下锅炉所有排污单位的有组织排放口为一般排放口”，则</w:t>
            </w:r>
            <w:r>
              <w:rPr>
                <w:rStyle w:val="30"/>
                <w:rFonts w:hint="default" w:ascii="Times New Roman" w:hAnsi="Times New Roman" w:eastAsia="宋体" w:cs="Times New Roman"/>
                <w:color w:val="auto"/>
                <w:sz w:val="21"/>
                <w:szCs w:val="21"/>
                <w:lang w:eastAsia="zh-CN"/>
              </w:rPr>
              <w:t>改扩建项目</w:t>
            </w:r>
            <w:r>
              <w:rPr>
                <w:rStyle w:val="30"/>
                <w:rFonts w:hint="default" w:ascii="Times New Roman" w:hAnsi="Times New Roman" w:eastAsia="宋体" w:cs="Times New Roman"/>
                <w:color w:val="auto"/>
                <w:sz w:val="21"/>
                <w:szCs w:val="21"/>
              </w:rPr>
              <w:t>排放口为一般排放口，排放口基本情况详见表</w:t>
            </w:r>
            <w:r>
              <w:rPr>
                <w:rStyle w:val="30"/>
                <w:rFonts w:hint="default" w:ascii="Times New Roman" w:hAnsi="Times New Roman" w:eastAsia="宋体" w:cs="Times New Roman"/>
                <w:color w:val="auto"/>
                <w:sz w:val="21"/>
                <w:szCs w:val="21"/>
                <w:lang w:val="en-US" w:eastAsia="zh-CN"/>
              </w:rPr>
              <w:t>4.4</w:t>
            </w:r>
            <w:r>
              <w:rPr>
                <w:rStyle w:val="30"/>
                <w:rFonts w:hint="default" w:ascii="Times New Roman" w:hAnsi="Times New Roman" w:eastAsia="宋体" w:cs="Times New Roman"/>
                <w:color w:val="auto"/>
                <w:sz w:val="21"/>
                <w:szCs w:val="21"/>
              </w:rPr>
              <w:t>-4。</w:t>
            </w:r>
          </w:p>
          <w:p w14:paraId="1C90AF7C">
            <w:pPr>
              <w:widowControl/>
              <w:jc w:val="center"/>
              <w:rPr>
                <w:rFonts w:hint="default" w:ascii="Times New Roman" w:hAnsi="Times New Roman" w:eastAsia="宋体" w:cs="Times New Roman"/>
                <w:b/>
                <w:color w:val="auto"/>
                <w:kern w:val="0"/>
                <w:sz w:val="21"/>
                <w:szCs w:val="21"/>
                <w:lang w:bidi="ar"/>
              </w:rPr>
            </w:pPr>
            <w:r>
              <w:rPr>
                <w:rFonts w:hint="default" w:ascii="Times New Roman" w:hAnsi="Times New Roman" w:eastAsia="宋体" w:cs="Times New Roman"/>
                <w:b/>
                <w:color w:val="auto"/>
                <w:kern w:val="0"/>
                <w:sz w:val="21"/>
                <w:szCs w:val="21"/>
                <w:lang w:bidi="ar"/>
              </w:rPr>
              <w:t>表</w:t>
            </w:r>
            <w:r>
              <w:rPr>
                <w:rFonts w:hint="default" w:ascii="Times New Roman" w:hAnsi="Times New Roman" w:eastAsia="宋体" w:cs="Times New Roman"/>
                <w:b/>
                <w:color w:val="auto"/>
                <w:kern w:val="0"/>
                <w:sz w:val="21"/>
                <w:szCs w:val="21"/>
                <w:lang w:val="en-US" w:eastAsia="zh-CN" w:bidi="ar"/>
              </w:rPr>
              <w:t>4.4</w:t>
            </w:r>
            <w:r>
              <w:rPr>
                <w:rFonts w:hint="default" w:ascii="Times New Roman" w:hAnsi="Times New Roman" w:eastAsia="宋体" w:cs="Times New Roman"/>
                <w:b/>
                <w:color w:val="auto"/>
                <w:kern w:val="0"/>
                <w:sz w:val="21"/>
                <w:szCs w:val="21"/>
                <w:lang w:bidi="ar"/>
              </w:rPr>
              <w:t>-</w:t>
            </w:r>
            <w:r>
              <w:rPr>
                <w:rFonts w:hint="default" w:ascii="Times New Roman" w:hAnsi="Times New Roman" w:eastAsia="宋体" w:cs="Times New Roman"/>
                <w:b/>
                <w:color w:val="auto"/>
                <w:kern w:val="0"/>
                <w:sz w:val="21"/>
                <w:szCs w:val="21"/>
                <w:lang w:val="en-US" w:eastAsia="zh-CN" w:bidi="ar"/>
              </w:rPr>
              <w:t>4</w:t>
            </w:r>
            <w:r>
              <w:rPr>
                <w:rFonts w:hint="default" w:ascii="Times New Roman" w:hAnsi="Times New Roman" w:eastAsia="宋体" w:cs="Times New Roman"/>
                <w:b/>
                <w:color w:val="auto"/>
                <w:kern w:val="0"/>
                <w:sz w:val="21"/>
                <w:szCs w:val="21"/>
                <w:lang w:bidi="ar"/>
              </w:rPr>
              <w:t xml:space="preserve">  排放口基本情况一览表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999"/>
              <w:gridCol w:w="1185"/>
              <w:gridCol w:w="1000"/>
              <w:gridCol w:w="961"/>
              <w:gridCol w:w="2448"/>
            </w:tblGrid>
            <w:tr w14:paraId="16B2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44" w:type="pct"/>
                  <w:noWrap w:val="0"/>
                  <w:vAlign w:val="center"/>
                </w:tcPr>
                <w:p w14:paraId="1B55796E">
                  <w:pPr>
                    <w:pStyle w:val="23"/>
                    <w:snapToGrid/>
                    <w:spacing w:before="0" w:after="0" w:line="240" w:lineRule="auto"/>
                    <w:ind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编号及名称</w:t>
                  </w:r>
                </w:p>
              </w:tc>
              <w:tc>
                <w:tcPr>
                  <w:tcW w:w="629" w:type="pct"/>
                  <w:noWrap w:val="0"/>
                  <w:vAlign w:val="center"/>
                </w:tcPr>
                <w:p w14:paraId="26471FA1">
                  <w:pPr>
                    <w:pStyle w:val="23"/>
                    <w:snapToGrid/>
                    <w:spacing w:before="0" w:after="0" w:line="240" w:lineRule="auto"/>
                    <w:ind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排放高度（m）</w:t>
                  </w:r>
                </w:p>
              </w:tc>
              <w:tc>
                <w:tcPr>
                  <w:tcW w:w="747" w:type="pct"/>
                  <w:noWrap w:val="0"/>
                  <w:vAlign w:val="center"/>
                </w:tcPr>
                <w:p w14:paraId="3AAADCA7">
                  <w:pPr>
                    <w:pStyle w:val="23"/>
                    <w:snapToGrid/>
                    <w:spacing w:before="0" w:after="0" w:line="240" w:lineRule="auto"/>
                    <w:ind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排气筒内径（m）</w:t>
                  </w:r>
                </w:p>
              </w:tc>
              <w:tc>
                <w:tcPr>
                  <w:tcW w:w="630" w:type="pct"/>
                  <w:noWrap w:val="0"/>
                  <w:vAlign w:val="center"/>
                </w:tcPr>
                <w:p w14:paraId="62E03D5D">
                  <w:pPr>
                    <w:pStyle w:val="23"/>
                    <w:snapToGrid/>
                    <w:spacing w:before="0" w:after="0" w:line="240" w:lineRule="auto"/>
                    <w:ind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温度（℃）</w:t>
                  </w:r>
                </w:p>
              </w:tc>
              <w:tc>
                <w:tcPr>
                  <w:tcW w:w="606" w:type="pct"/>
                  <w:noWrap w:val="0"/>
                  <w:vAlign w:val="center"/>
                </w:tcPr>
                <w:p w14:paraId="1654193B">
                  <w:pPr>
                    <w:pStyle w:val="23"/>
                    <w:snapToGrid/>
                    <w:spacing w:before="0" w:after="0" w:line="240" w:lineRule="auto"/>
                    <w:ind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类型</w:t>
                  </w:r>
                </w:p>
              </w:tc>
              <w:tc>
                <w:tcPr>
                  <w:tcW w:w="1542" w:type="pct"/>
                  <w:noWrap w:val="0"/>
                  <w:vAlign w:val="center"/>
                </w:tcPr>
                <w:p w14:paraId="021ADDBB">
                  <w:pPr>
                    <w:pStyle w:val="23"/>
                    <w:snapToGrid/>
                    <w:spacing w:before="0" w:after="0" w:line="240" w:lineRule="auto"/>
                    <w:ind w:right="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地理坐标</w:t>
                  </w:r>
                </w:p>
              </w:tc>
            </w:tr>
            <w:tr w14:paraId="18AB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44" w:type="pct"/>
                  <w:noWrap w:val="0"/>
                  <w:vAlign w:val="center"/>
                </w:tcPr>
                <w:p w14:paraId="2B64D9AB">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w:t>
                  </w:r>
                  <w:r>
                    <w:rPr>
                      <w:rFonts w:hint="default" w:ascii="Times New Roman" w:hAnsi="Times New Roman" w:eastAsia="宋体" w:cs="Times New Roman"/>
                      <w:color w:val="auto"/>
                      <w:sz w:val="21"/>
                      <w:szCs w:val="21"/>
                      <w:lang w:val="en-US" w:eastAsia="zh-CN"/>
                    </w:rPr>
                    <w:t>2锅炉废气</w:t>
                  </w:r>
                  <w:r>
                    <w:rPr>
                      <w:rFonts w:hint="default" w:ascii="Times New Roman" w:hAnsi="Times New Roman" w:eastAsia="宋体" w:cs="Times New Roman"/>
                      <w:color w:val="auto"/>
                      <w:sz w:val="21"/>
                      <w:szCs w:val="21"/>
                    </w:rPr>
                    <w:t>排放口</w:t>
                  </w:r>
                </w:p>
              </w:tc>
              <w:tc>
                <w:tcPr>
                  <w:tcW w:w="629" w:type="pct"/>
                  <w:noWrap w:val="0"/>
                  <w:vAlign w:val="center"/>
                </w:tcPr>
                <w:p w14:paraId="436066D8">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747" w:type="pct"/>
                  <w:noWrap w:val="0"/>
                  <w:vAlign w:val="center"/>
                </w:tcPr>
                <w:p w14:paraId="59842223">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630" w:type="pct"/>
                  <w:noWrap w:val="0"/>
                  <w:vAlign w:val="center"/>
                </w:tcPr>
                <w:p w14:paraId="2A892652">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w:t>
                  </w:r>
                </w:p>
              </w:tc>
              <w:tc>
                <w:tcPr>
                  <w:tcW w:w="606" w:type="pct"/>
                  <w:noWrap w:val="0"/>
                  <w:vAlign w:val="center"/>
                </w:tcPr>
                <w:p w14:paraId="05E66ACC">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c>
                <w:tcPr>
                  <w:tcW w:w="1542" w:type="pct"/>
                  <w:noWrap w:val="0"/>
                  <w:vAlign w:val="center"/>
                </w:tcPr>
                <w:p w14:paraId="5F011ADD">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东经：</w:t>
                  </w:r>
                  <w:r>
                    <w:rPr>
                      <w:rFonts w:hint="default" w:ascii="Times New Roman" w:hAnsi="Times New Roman" w:eastAsia="宋体" w:cs="Times New Roman"/>
                      <w:color w:val="auto"/>
                      <w:sz w:val="21"/>
                      <w:szCs w:val="21"/>
                    </w:rPr>
                    <w:t>102°32'40.513"</w:t>
                  </w:r>
                </w:p>
                <w:p w14:paraId="4FB8E9E8">
                  <w:pPr>
                    <w:pStyle w:val="23"/>
                    <w:snapToGrid/>
                    <w:spacing w:before="0" w:after="0"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北纬：</w:t>
                  </w:r>
                  <w:r>
                    <w:rPr>
                      <w:rFonts w:hint="default" w:ascii="Times New Roman" w:hAnsi="Times New Roman" w:eastAsia="宋体" w:cs="Times New Roman"/>
                      <w:color w:val="auto"/>
                      <w:sz w:val="21"/>
                      <w:szCs w:val="21"/>
                    </w:rPr>
                    <w:t>24°23'48.984"</w:t>
                  </w:r>
                </w:p>
              </w:tc>
            </w:tr>
          </w:tbl>
          <w:p w14:paraId="7A12D35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b w:val="0"/>
                <w:bCs w:val="0"/>
                <w:color w:val="auto"/>
                <w:sz w:val="21"/>
                <w:szCs w:val="21"/>
              </w:rPr>
            </w:pPr>
            <w:r>
              <w:rPr>
                <w:rStyle w:val="30"/>
                <w:rFonts w:hint="default" w:ascii="Times New Roman" w:hAnsi="Times New Roman" w:eastAsia="宋体" w:cs="Times New Roman"/>
                <w:b/>
                <w:bCs/>
                <w:color w:val="auto"/>
                <w:sz w:val="21"/>
                <w:szCs w:val="21"/>
              </w:rPr>
              <w:t>排放口高度设置分析：</w:t>
            </w:r>
            <w:r>
              <w:rPr>
                <w:rStyle w:val="30"/>
                <w:rFonts w:hint="default" w:ascii="Times New Roman" w:hAnsi="Times New Roman" w:eastAsia="宋体" w:cs="Times New Roman"/>
                <w:color w:val="auto"/>
                <w:sz w:val="21"/>
                <w:szCs w:val="21"/>
              </w:rPr>
              <w:t>根据《锅炉大气污染物排放标准》（GB13271-2014）</w:t>
            </w:r>
            <w:r>
              <w:rPr>
                <w:rStyle w:val="30"/>
                <w:rFonts w:hint="default" w:ascii="Times New Roman" w:hAnsi="Times New Roman" w:eastAsia="宋体" w:cs="Times New Roman"/>
                <w:color w:val="auto"/>
                <w:sz w:val="21"/>
                <w:szCs w:val="21"/>
                <w:lang w:eastAsia="zh-CN"/>
              </w:rPr>
              <w:t>“</w:t>
            </w:r>
            <w:r>
              <w:rPr>
                <w:rStyle w:val="30"/>
                <w:rFonts w:hint="default" w:ascii="Times New Roman" w:hAnsi="Times New Roman" w:eastAsia="宋体" w:cs="Times New Roman"/>
                <w:color w:val="auto"/>
                <w:sz w:val="21"/>
                <w:szCs w:val="21"/>
                <w:lang w:val="en-US" w:eastAsia="zh-CN"/>
              </w:rPr>
              <w:t>表4燃煤锅炉房烟囱最低允许高度</w:t>
            </w:r>
            <w:r>
              <w:rPr>
                <w:rStyle w:val="30"/>
                <w:rFonts w:hint="default" w:ascii="Times New Roman" w:hAnsi="Times New Roman" w:eastAsia="宋体" w:cs="Times New Roman"/>
                <w:color w:val="auto"/>
                <w:sz w:val="21"/>
                <w:szCs w:val="21"/>
                <w:lang w:eastAsia="zh-CN"/>
              </w:rPr>
              <w:t>”</w:t>
            </w:r>
            <w:r>
              <w:rPr>
                <w:rStyle w:val="30"/>
                <w:rFonts w:hint="default" w:ascii="Times New Roman" w:hAnsi="Times New Roman" w:eastAsia="宋体" w:cs="Times New Roman"/>
                <w:color w:val="auto"/>
                <w:sz w:val="21"/>
                <w:szCs w:val="21"/>
              </w:rPr>
              <w:t>，</w:t>
            </w:r>
            <w:r>
              <w:rPr>
                <w:rStyle w:val="30"/>
                <w:rFonts w:hint="default" w:ascii="Times New Roman" w:hAnsi="Times New Roman" w:eastAsia="宋体" w:cs="Times New Roman"/>
                <w:color w:val="auto"/>
                <w:sz w:val="21"/>
                <w:szCs w:val="21"/>
                <w:lang w:val="en-US" w:eastAsia="zh-CN"/>
              </w:rPr>
              <w:t>可知4t/h的生物质锅炉</w:t>
            </w:r>
            <w:r>
              <w:rPr>
                <w:rStyle w:val="30"/>
                <w:rFonts w:hint="default" w:ascii="Times New Roman" w:hAnsi="Times New Roman" w:eastAsia="宋体" w:cs="Times New Roman"/>
                <w:color w:val="auto"/>
                <w:sz w:val="21"/>
                <w:szCs w:val="21"/>
              </w:rPr>
              <w:t>排放口（DA00</w:t>
            </w:r>
            <w:r>
              <w:rPr>
                <w:rStyle w:val="30"/>
                <w:rFonts w:hint="default" w:ascii="Times New Roman" w:hAnsi="Times New Roman" w:eastAsia="宋体" w:cs="Times New Roman"/>
                <w:color w:val="auto"/>
                <w:sz w:val="21"/>
                <w:szCs w:val="21"/>
                <w:lang w:val="en-US" w:eastAsia="zh-CN"/>
              </w:rPr>
              <w:t>2</w:t>
            </w:r>
            <w:r>
              <w:rPr>
                <w:rStyle w:val="30"/>
                <w:rFonts w:hint="default" w:ascii="Times New Roman" w:hAnsi="Times New Roman" w:eastAsia="宋体" w:cs="Times New Roman"/>
                <w:color w:val="auto"/>
                <w:sz w:val="21"/>
                <w:szCs w:val="21"/>
              </w:rPr>
              <w:t>）高度</w:t>
            </w:r>
            <w:r>
              <w:rPr>
                <w:rStyle w:val="30"/>
                <w:rFonts w:hint="default" w:ascii="Times New Roman" w:hAnsi="Times New Roman" w:eastAsia="宋体" w:cs="Times New Roman"/>
                <w:color w:val="auto"/>
                <w:sz w:val="21"/>
                <w:szCs w:val="21"/>
                <w:lang w:val="en-US" w:eastAsia="zh-CN"/>
              </w:rPr>
              <w:t>最低</w:t>
            </w:r>
            <w:r>
              <w:rPr>
                <w:rStyle w:val="30"/>
                <w:rFonts w:hint="default" w:ascii="Times New Roman" w:hAnsi="Times New Roman" w:eastAsia="宋体" w:cs="Times New Roman"/>
                <w:color w:val="auto"/>
                <w:sz w:val="21"/>
                <w:szCs w:val="21"/>
              </w:rPr>
              <w:t>为</w:t>
            </w:r>
            <w:r>
              <w:rPr>
                <w:rStyle w:val="30"/>
                <w:rFonts w:hint="default" w:ascii="Times New Roman" w:hAnsi="Times New Roman" w:eastAsia="宋体" w:cs="Times New Roman"/>
                <w:color w:val="auto"/>
                <w:sz w:val="21"/>
                <w:szCs w:val="21"/>
                <w:lang w:val="en-US" w:eastAsia="zh-CN"/>
              </w:rPr>
              <w:t>35</w:t>
            </w:r>
            <w:r>
              <w:rPr>
                <w:rStyle w:val="30"/>
                <w:rFonts w:hint="default" w:ascii="Times New Roman" w:hAnsi="Times New Roman" w:eastAsia="宋体" w:cs="Times New Roman"/>
                <w:color w:val="auto"/>
                <w:sz w:val="21"/>
                <w:szCs w:val="21"/>
              </w:rPr>
              <w:t>m</w:t>
            </w:r>
            <w:r>
              <w:rPr>
                <w:rStyle w:val="30"/>
                <w:rFonts w:hint="default" w:ascii="Times New Roman" w:hAnsi="Times New Roman" w:eastAsia="宋体" w:cs="Times New Roman"/>
                <w:color w:val="auto"/>
                <w:sz w:val="21"/>
                <w:szCs w:val="21"/>
                <w:lang w:eastAsia="zh-CN"/>
              </w:rPr>
              <w:t>，</w:t>
            </w:r>
            <w:r>
              <w:rPr>
                <w:rStyle w:val="30"/>
                <w:rFonts w:hint="default" w:ascii="Times New Roman" w:hAnsi="Times New Roman" w:eastAsia="宋体" w:cs="Times New Roman"/>
                <w:color w:val="auto"/>
                <w:sz w:val="21"/>
                <w:szCs w:val="21"/>
                <w:lang w:val="en-US" w:eastAsia="zh-CN"/>
              </w:rPr>
              <w:t>本项目生物质锅炉排放口高度</w:t>
            </w:r>
            <w:r>
              <w:rPr>
                <w:rStyle w:val="30"/>
                <w:rFonts w:hint="default" w:ascii="Times New Roman" w:hAnsi="Times New Roman" w:eastAsia="宋体" w:cs="Times New Roman"/>
                <w:color w:val="auto"/>
                <w:sz w:val="21"/>
                <w:szCs w:val="21"/>
              </w:rPr>
              <w:t>设置合理。</w:t>
            </w:r>
          </w:p>
          <w:p w14:paraId="680A35A9">
            <w:pPr>
              <w:pStyle w:val="31"/>
              <w:ind w:firstLine="42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lang w:val="en-US" w:eastAsia="zh-CN"/>
              </w:rPr>
              <w:t>⑥</w:t>
            </w:r>
            <w:r>
              <w:rPr>
                <w:rFonts w:hint="default" w:ascii="Times New Roman" w:hAnsi="Times New Roman" w:eastAsia="宋体" w:cs="Times New Roman"/>
                <w:b/>
                <w:bCs/>
                <w:color w:val="auto"/>
                <w:sz w:val="21"/>
                <w:szCs w:val="21"/>
                <w:lang w:val="en-US" w:eastAsia="zh-CN"/>
              </w:rPr>
              <w:t>锅炉</w:t>
            </w:r>
            <w:r>
              <w:rPr>
                <w:rFonts w:hint="default" w:ascii="Times New Roman" w:hAnsi="Times New Roman" w:eastAsia="宋体" w:cs="Times New Roman"/>
                <w:b/>
                <w:bCs/>
                <w:color w:val="auto"/>
                <w:sz w:val="21"/>
                <w:szCs w:val="21"/>
              </w:rPr>
              <w:t>废气处理措施可行性分析</w:t>
            </w:r>
          </w:p>
          <w:p w14:paraId="0A0C1B3F">
            <w:pPr>
              <w:pStyle w:val="31"/>
              <w:ind w:left="0" w:leftChars="0" w:firstLine="420" w:firstLineChars="200"/>
              <w:rPr>
                <w:rFonts w:hint="default" w:ascii="Times New Roman" w:hAnsi="Times New Roman" w:eastAsia="宋体" w:cs="Times New Roman"/>
                <w:b/>
                <w:bCs/>
                <w:color w:val="auto"/>
                <w:lang w:eastAsia="zh-CN"/>
              </w:rPr>
            </w:pPr>
            <w:r>
              <w:rPr>
                <w:rFonts w:hint="default" w:ascii="Times New Roman" w:hAnsi="Times New Roman" w:eastAsia="宋体" w:cs="Times New Roman"/>
                <w:color w:val="auto"/>
                <w:sz w:val="21"/>
                <w:szCs w:val="21"/>
              </w:rPr>
              <w:t>根据《排放源统计调查产排污核算方法和系数手册-4430工业锅炉（热力供应）行业系数手册》</w:t>
            </w:r>
            <w:r>
              <w:rPr>
                <w:rFonts w:hint="default" w:ascii="Times New Roman" w:hAnsi="Times New Roman" w:eastAsia="宋体" w:cs="Times New Roman"/>
                <w:color w:val="auto"/>
                <w:sz w:val="21"/>
                <w:szCs w:val="21"/>
                <w:lang w:val="en-US" w:eastAsia="zh-CN"/>
              </w:rPr>
              <w:t>及</w:t>
            </w:r>
            <w:r>
              <w:rPr>
                <w:rStyle w:val="30"/>
                <w:rFonts w:hint="default" w:ascii="Times New Roman" w:hAnsi="Times New Roman" w:eastAsia="宋体" w:cs="Times New Roman"/>
                <w:color w:val="auto"/>
                <w:sz w:val="21"/>
                <w:szCs w:val="21"/>
              </w:rPr>
              <w:t>《排污许可证申请与核发技术规范 锅炉》（HJ953-2018）</w:t>
            </w:r>
            <w:r>
              <w:rPr>
                <w:rStyle w:val="30"/>
                <w:rFonts w:hint="default" w:ascii="Times New Roman" w:hAnsi="Times New Roman" w:eastAsia="宋体" w:cs="Times New Roman"/>
                <w:color w:val="auto"/>
                <w:sz w:val="21"/>
                <w:szCs w:val="21"/>
                <w:lang w:val="en-US" w:eastAsia="zh-CN"/>
              </w:rPr>
              <w:t>可知</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生物质</w:t>
            </w:r>
            <w:r>
              <w:rPr>
                <w:rFonts w:hint="default" w:ascii="Times New Roman" w:hAnsi="Times New Roman" w:eastAsia="宋体" w:cs="Times New Roman"/>
                <w:color w:val="auto"/>
                <w:sz w:val="21"/>
                <w:szCs w:val="21"/>
              </w:rPr>
              <w:t>锅炉燃烧的颗粒物的可行处理技术</w:t>
            </w:r>
            <w:r>
              <w:rPr>
                <w:rFonts w:hint="default" w:ascii="Times New Roman" w:hAnsi="Times New Roman" w:eastAsia="宋体" w:cs="Times New Roman"/>
                <w:color w:val="auto"/>
                <w:sz w:val="21"/>
                <w:szCs w:val="21"/>
                <w:lang w:val="en-US" w:eastAsia="zh-CN"/>
              </w:rPr>
              <w:t>是袋式</w:t>
            </w:r>
            <w:r>
              <w:rPr>
                <w:rFonts w:hint="default" w:ascii="Times New Roman" w:hAnsi="Times New Roman" w:eastAsia="宋体" w:cs="Times New Roman"/>
                <w:color w:val="auto"/>
                <w:sz w:val="21"/>
                <w:szCs w:val="21"/>
              </w:rPr>
              <w:t>除尘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布袋除尘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，本项目产生的颗粒物采用</w:t>
            </w:r>
            <w:r>
              <w:rPr>
                <w:rFonts w:hint="default" w:ascii="Times New Roman" w:hAnsi="Times New Roman" w:eastAsia="宋体" w:cs="Times New Roman"/>
                <w:color w:val="auto"/>
                <w:sz w:val="21"/>
                <w:szCs w:val="21"/>
                <w:lang w:val="en-US" w:eastAsia="zh-CN"/>
              </w:rPr>
              <w:t>多管除尘+布袋</w:t>
            </w:r>
            <w:r>
              <w:rPr>
                <w:rFonts w:hint="default" w:ascii="Times New Roman" w:hAnsi="Times New Roman" w:eastAsia="宋体" w:cs="Times New Roman"/>
                <w:color w:val="auto"/>
                <w:sz w:val="21"/>
                <w:szCs w:val="21"/>
              </w:rPr>
              <w:t>除尘设施，为可行技术</w:t>
            </w:r>
            <w:r>
              <w:rPr>
                <w:rFonts w:hint="default" w:ascii="Times New Roman" w:hAnsi="Times New Roman" w:eastAsia="宋体" w:cs="Times New Roman"/>
                <w:color w:val="auto"/>
                <w:sz w:val="21"/>
                <w:szCs w:val="21"/>
                <w:lang w:eastAsia="zh-CN"/>
              </w:rPr>
              <w:t>。</w:t>
            </w:r>
          </w:p>
          <w:p w14:paraId="79E4FD7A">
            <w:pPr>
              <w:pStyle w:val="31"/>
              <w:ind w:left="0" w:leftChars="0" w:firstLine="42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（2）无组织废气</w:t>
            </w:r>
          </w:p>
          <w:p w14:paraId="030C5097">
            <w:pPr>
              <w:pStyle w:val="31"/>
              <w:ind w:firstLine="42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无组织颗粒物</w:t>
            </w:r>
          </w:p>
          <w:p w14:paraId="75E5E02F">
            <w:pPr>
              <w:pStyle w:val="31"/>
              <w:ind w:firstLine="42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A、燃料堆棚及炉渣堆棚</w:t>
            </w:r>
          </w:p>
          <w:p w14:paraId="0EC9ABEE">
            <w:pPr>
              <w:pStyle w:val="31"/>
              <w:ind w:firstLine="42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val="0"/>
                <w:bCs w:val="0"/>
                <w:color w:val="auto"/>
                <w:lang w:val="en-US" w:eastAsia="zh-CN"/>
              </w:rPr>
              <w:t>项目使用生物质颗粒，为袋装，由于燃料呈大颗粒状态且储存于三面围挡设有顶棚的燃料堆棚；项目炉渣堆棚为三面围挡设有顶棚，无组织废气产生量较少，</w:t>
            </w:r>
            <w:r>
              <w:rPr>
                <w:rFonts w:hint="default" w:ascii="Times New Roman" w:hAnsi="Times New Roman" w:eastAsia="宋体" w:cs="Times New Roman"/>
                <w:color w:val="auto"/>
                <w:lang w:val="en-US" w:eastAsia="zh-CN"/>
              </w:rPr>
              <w:t>本项目不做定量分析，生产的堆存废气对大气环境影响较小</w:t>
            </w:r>
            <w:r>
              <w:rPr>
                <w:rFonts w:hint="default" w:ascii="Times New Roman" w:hAnsi="Times New Roman" w:eastAsia="宋体" w:cs="Times New Roman"/>
                <w:b w:val="0"/>
                <w:bCs w:val="0"/>
                <w:color w:val="auto"/>
                <w:lang w:val="en-US" w:eastAsia="zh-CN"/>
              </w:rPr>
              <w:t>。</w:t>
            </w:r>
          </w:p>
          <w:p w14:paraId="523CA062">
            <w:pPr>
              <w:pStyle w:val="31"/>
              <w:ind w:firstLine="42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B、其他工序产生的粉尘</w:t>
            </w:r>
          </w:p>
          <w:p w14:paraId="107AA7A4">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本项目其它工序产生的无组织颗粒物的环节为分切纸张、模切，这些工序在生产过程产生的颗粒物较少，本项目不做定量分析，产生的粉尘经封闭的车间阻隔后，自然沉降，仅有少量粉尘外排至大气环境当中。</w:t>
            </w:r>
          </w:p>
          <w:p w14:paraId="4C7DED42">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（3）本项目废气源强汇总</w:t>
            </w:r>
          </w:p>
          <w:p w14:paraId="1603DD0A">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表4-2  本项目废气源强汇总一览表</w:t>
            </w:r>
          </w:p>
          <w:tbl>
            <w:tblPr>
              <w:tblStyle w:val="25"/>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698"/>
              <w:gridCol w:w="657"/>
              <w:gridCol w:w="763"/>
              <w:gridCol w:w="900"/>
              <w:gridCol w:w="917"/>
              <w:gridCol w:w="519"/>
              <w:gridCol w:w="691"/>
              <w:gridCol w:w="738"/>
              <w:gridCol w:w="693"/>
              <w:gridCol w:w="853"/>
            </w:tblGrid>
            <w:tr w14:paraId="611C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353" w:type="pct"/>
                  <w:shd w:val="clear" w:color="auto" w:fill="auto"/>
                  <w:noWrap/>
                  <w:vAlign w:val="center"/>
                </w:tcPr>
                <w:p w14:paraId="73D0A1AA">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排放形式</w:t>
                  </w:r>
                </w:p>
              </w:tc>
              <w:tc>
                <w:tcPr>
                  <w:tcW w:w="847" w:type="pct"/>
                  <w:gridSpan w:val="2"/>
                  <w:shd w:val="clear" w:color="auto" w:fill="auto"/>
                  <w:noWrap/>
                  <w:vAlign w:val="center"/>
                </w:tcPr>
                <w:p w14:paraId="448BA1B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废气类型</w:t>
                  </w:r>
                </w:p>
              </w:tc>
              <w:tc>
                <w:tcPr>
                  <w:tcW w:w="477" w:type="pct"/>
                  <w:shd w:val="clear" w:color="auto" w:fill="auto"/>
                  <w:noWrap/>
                  <w:vAlign w:val="center"/>
                </w:tcPr>
                <w:p w14:paraId="1E0984C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产生量t/a</w:t>
                  </w:r>
                </w:p>
              </w:tc>
              <w:tc>
                <w:tcPr>
                  <w:tcW w:w="562" w:type="pct"/>
                  <w:shd w:val="clear" w:color="auto" w:fill="auto"/>
                  <w:noWrap/>
                  <w:vAlign w:val="center"/>
                </w:tcPr>
                <w:p w14:paraId="6BB2C9D1">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产生浓度mg/m</w:t>
                  </w:r>
                  <w:r>
                    <w:rPr>
                      <w:rFonts w:hint="default" w:ascii="Times New Roman" w:hAnsi="Times New Roman" w:eastAsia="宋体" w:cs="Times New Roman"/>
                      <w:color w:val="auto"/>
                      <w:vertAlign w:val="superscript"/>
                    </w:rPr>
                    <w:t>3</w:t>
                  </w:r>
                </w:p>
              </w:tc>
              <w:tc>
                <w:tcPr>
                  <w:tcW w:w="573" w:type="pct"/>
                  <w:shd w:val="clear" w:color="auto" w:fill="auto"/>
                  <w:noWrap/>
                  <w:vAlign w:val="center"/>
                </w:tcPr>
                <w:p w14:paraId="6F81892D">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收集效率</w:t>
                  </w:r>
                </w:p>
              </w:tc>
              <w:tc>
                <w:tcPr>
                  <w:tcW w:w="324" w:type="pct"/>
                  <w:shd w:val="clear" w:color="auto" w:fill="auto"/>
                  <w:noWrap/>
                  <w:vAlign w:val="center"/>
                </w:tcPr>
                <w:p w14:paraId="7F00B44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去除效率</w:t>
                  </w:r>
                </w:p>
              </w:tc>
              <w:tc>
                <w:tcPr>
                  <w:tcW w:w="432" w:type="pct"/>
                  <w:shd w:val="clear" w:color="auto" w:fill="auto"/>
                  <w:noWrap/>
                  <w:vAlign w:val="center"/>
                </w:tcPr>
                <w:p w14:paraId="704F8124">
                  <w:pPr>
                    <w:spacing w:before="60" w:beforeLines="25" w:after="60" w:afterLines="25"/>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总风量</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61" w:type="pct"/>
                  <w:shd w:val="clear" w:color="auto" w:fill="auto"/>
                  <w:noWrap/>
                  <w:vAlign w:val="center"/>
                </w:tcPr>
                <w:p w14:paraId="42D4045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排放量t/a</w:t>
                  </w:r>
                </w:p>
              </w:tc>
              <w:tc>
                <w:tcPr>
                  <w:tcW w:w="433" w:type="pct"/>
                  <w:shd w:val="clear" w:color="auto" w:fill="auto"/>
                  <w:noWrap/>
                  <w:vAlign w:val="center"/>
                </w:tcPr>
                <w:p w14:paraId="796BCEE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排放速率kg/h</w:t>
                  </w:r>
                </w:p>
              </w:tc>
              <w:tc>
                <w:tcPr>
                  <w:tcW w:w="533" w:type="pct"/>
                  <w:shd w:val="clear" w:color="auto" w:fill="auto"/>
                  <w:noWrap/>
                  <w:vAlign w:val="center"/>
                </w:tcPr>
                <w:p w14:paraId="1992B53C">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排放浓度mg/m</w:t>
                  </w:r>
                  <w:r>
                    <w:rPr>
                      <w:rFonts w:hint="default" w:ascii="Times New Roman" w:hAnsi="Times New Roman" w:eastAsia="宋体" w:cs="Times New Roman"/>
                      <w:color w:val="auto"/>
                      <w:vertAlign w:val="superscript"/>
                    </w:rPr>
                    <w:t>3</w:t>
                  </w:r>
                </w:p>
              </w:tc>
            </w:tr>
            <w:tr w14:paraId="0EAF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353" w:type="pct"/>
                  <w:vMerge w:val="restart"/>
                  <w:shd w:val="clear" w:color="auto" w:fill="auto"/>
                  <w:noWrap/>
                  <w:vAlign w:val="center"/>
                </w:tcPr>
                <w:p w14:paraId="33E8BF2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有组织排放</w:t>
                  </w:r>
                </w:p>
              </w:tc>
              <w:tc>
                <w:tcPr>
                  <w:tcW w:w="436" w:type="pct"/>
                  <w:vMerge w:val="restart"/>
                  <w:shd w:val="clear" w:color="auto" w:fill="auto"/>
                  <w:noWrap/>
                  <w:vAlign w:val="center"/>
                </w:tcPr>
                <w:p w14:paraId="3F12BED3">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锅炉废气DA002</w:t>
                  </w:r>
                </w:p>
              </w:tc>
              <w:tc>
                <w:tcPr>
                  <w:tcW w:w="410" w:type="pct"/>
                  <w:shd w:val="clear" w:color="auto" w:fill="auto"/>
                  <w:noWrap/>
                  <w:vAlign w:val="center"/>
                </w:tcPr>
                <w:p w14:paraId="0A2D6900">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477" w:type="pct"/>
                  <w:shd w:val="clear" w:color="auto" w:fill="auto"/>
                  <w:noWrap/>
                  <w:vAlign w:val="center"/>
                </w:tcPr>
                <w:p w14:paraId="7B93939F">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rPr>
                    <w:t>23</w:t>
                  </w:r>
                </w:p>
              </w:tc>
              <w:tc>
                <w:tcPr>
                  <w:tcW w:w="562" w:type="pct"/>
                  <w:shd w:val="clear" w:color="auto" w:fill="auto"/>
                  <w:noWrap/>
                  <w:vAlign w:val="center"/>
                </w:tcPr>
                <w:p w14:paraId="7E0CB277">
                  <w:pPr>
                    <w:spacing w:before="60" w:beforeLines="25" w:after="60" w:afterLines="25"/>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11.55</w:t>
                  </w:r>
                </w:p>
              </w:tc>
              <w:tc>
                <w:tcPr>
                  <w:tcW w:w="573" w:type="pct"/>
                  <w:vMerge w:val="restart"/>
                  <w:shd w:val="clear" w:color="auto" w:fill="auto"/>
                  <w:noWrap/>
                  <w:vAlign w:val="center"/>
                </w:tcPr>
                <w:p w14:paraId="275C5492">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100</w:t>
                  </w:r>
                </w:p>
              </w:tc>
              <w:tc>
                <w:tcPr>
                  <w:tcW w:w="324" w:type="pct"/>
                  <w:shd w:val="clear" w:color="auto" w:fill="auto"/>
                  <w:noWrap/>
                  <w:vAlign w:val="center"/>
                </w:tcPr>
                <w:p w14:paraId="7C8CCD32">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98</w:t>
                  </w:r>
                  <w:r>
                    <w:rPr>
                      <w:rFonts w:hint="default" w:ascii="Times New Roman" w:hAnsi="Times New Roman" w:eastAsia="宋体" w:cs="Times New Roman"/>
                      <w:color w:val="auto"/>
                    </w:rPr>
                    <w:t>%</w:t>
                  </w:r>
                </w:p>
              </w:tc>
              <w:tc>
                <w:tcPr>
                  <w:tcW w:w="432" w:type="pct"/>
                  <w:vMerge w:val="restart"/>
                  <w:shd w:val="clear" w:color="auto" w:fill="auto"/>
                  <w:noWrap/>
                  <w:vAlign w:val="center"/>
                </w:tcPr>
                <w:p w14:paraId="67E5F5EF">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6000</w:t>
                  </w:r>
                </w:p>
              </w:tc>
              <w:tc>
                <w:tcPr>
                  <w:tcW w:w="461" w:type="pct"/>
                  <w:shd w:val="clear" w:color="auto" w:fill="auto"/>
                  <w:noWrap/>
                  <w:vAlign w:val="center"/>
                </w:tcPr>
                <w:p w14:paraId="7962CE0D">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0.46</w:t>
                  </w:r>
                </w:p>
              </w:tc>
              <w:tc>
                <w:tcPr>
                  <w:tcW w:w="433" w:type="pct"/>
                  <w:shd w:val="clear" w:color="auto" w:fill="auto"/>
                  <w:noWrap/>
                  <w:vAlign w:val="center"/>
                </w:tcPr>
                <w:p w14:paraId="09E7A5AD">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0.1917</w:t>
                  </w:r>
                </w:p>
              </w:tc>
              <w:tc>
                <w:tcPr>
                  <w:tcW w:w="533" w:type="pct"/>
                  <w:shd w:val="clear" w:color="auto" w:fill="auto"/>
                  <w:noWrap/>
                  <w:vAlign w:val="center"/>
                </w:tcPr>
                <w:p w14:paraId="50FC2F74">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0.35</w:t>
                  </w:r>
                </w:p>
              </w:tc>
            </w:tr>
            <w:tr w14:paraId="363B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53" w:type="pct"/>
                  <w:vMerge w:val="continue"/>
                  <w:shd w:val="clear" w:color="auto" w:fill="auto"/>
                  <w:noWrap/>
                  <w:vAlign w:val="center"/>
                </w:tcPr>
                <w:p w14:paraId="75CAC65E">
                  <w:pPr>
                    <w:pStyle w:val="32"/>
                    <w:spacing w:before="60" w:after="60"/>
                    <w:rPr>
                      <w:rFonts w:hint="default" w:ascii="Times New Roman" w:hAnsi="Times New Roman" w:eastAsia="宋体" w:cs="Times New Roman"/>
                      <w:color w:val="auto"/>
                    </w:rPr>
                  </w:pPr>
                </w:p>
              </w:tc>
              <w:tc>
                <w:tcPr>
                  <w:tcW w:w="436" w:type="pct"/>
                  <w:vMerge w:val="continue"/>
                  <w:shd w:val="clear" w:color="auto" w:fill="auto"/>
                  <w:noWrap/>
                  <w:vAlign w:val="center"/>
                </w:tcPr>
                <w:p w14:paraId="64E8AD7A">
                  <w:pPr>
                    <w:spacing w:before="60" w:beforeLines="25" w:after="60" w:afterLines="25"/>
                    <w:jc w:val="center"/>
                    <w:rPr>
                      <w:rFonts w:hint="default" w:ascii="Times New Roman" w:hAnsi="Times New Roman" w:eastAsia="宋体" w:cs="Times New Roman"/>
                      <w:color w:val="auto"/>
                      <w:szCs w:val="21"/>
                      <w:lang w:val="en-US" w:eastAsia="zh-CN"/>
                    </w:rPr>
                  </w:pPr>
                </w:p>
              </w:tc>
              <w:tc>
                <w:tcPr>
                  <w:tcW w:w="410" w:type="pct"/>
                  <w:shd w:val="clear" w:color="auto" w:fill="auto"/>
                  <w:noWrap/>
                  <w:vAlign w:val="center"/>
                </w:tcPr>
                <w:p w14:paraId="35E5F227">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NO</w:t>
                  </w:r>
                  <w:r>
                    <w:rPr>
                      <w:rFonts w:hint="default" w:ascii="Times New Roman" w:hAnsi="Times New Roman" w:eastAsia="宋体" w:cs="Times New Roman"/>
                      <w:color w:val="auto"/>
                      <w:szCs w:val="21"/>
                      <w:vertAlign w:val="subscript"/>
                      <w:lang w:val="en-US" w:eastAsia="zh-CN"/>
                    </w:rPr>
                    <w:t>x</w:t>
                  </w:r>
                </w:p>
              </w:tc>
              <w:tc>
                <w:tcPr>
                  <w:tcW w:w="477" w:type="pct"/>
                  <w:shd w:val="clear" w:color="auto" w:fill="auto"/>
                  <w:noWrap/>
                  <w:vAlign w:val="center"/>
                </w:tcPr>
                <w:p w14:paraId="5DA33D5E">
                  <w:pPr>
                    <w:spacing w:before="60" w:beforeLines="25" w:after="60" w:afterLines="25"/>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1.81</w:t>
                  </w:r>
                </w:p>
              </w:tc>
              <w:tc>
                <w:tcPr>
                  <w:tcW w:w="562" w:type="pct"/>
                  <w:shd w:val="clear" w:color="auto" w:fill="auto"/>
                  <w:noWrap/>
                  <w:vAlign w:val="center"/>
                </w:tcPr>
                <w:p w14:paraId="657BDBFB">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125.7</w:t>
                  </w:r>
                </w:p>
              </w:tc>
              <w:tc>
                <w:tcPr>
                  <w:tcW w:w="573" w:type="pct"/>
                  <w:vMerge w:val="continue"/>
                  <w:shd w:val="clear" w:color="auto" w:fill="auto"/>
                  <w:noWrap/>
                  <w:vAlign w:val="center"/>
                </w:tcPr>
                <w:p w14:paraId="558FB395">
                  <w:pPr>
                    <w:pStyle w:val="32"/>
                    <w:spacing w:before="60" w:after="60"/>
                    <w:rPr>
                      <w:rFonts w:hint="default" w:ascii="Times New Roman" w:hAnsi="Times New Roman" w:eastAsia="宋体" w:cs="Times New Roman"/>
                      <w:color w:val="auto"/>
                    </w:rPr>
                  </w:pPr>
                </w:p>
              </w:tc>
              <w:tc>
                <w:tcPr>
                  <w:tcW w:w="324" w:type="pct"/>
                  <w:shd w:val="clear" w:color="auto" w:fill="auto"/>
                  <w:noWrap/>
                  <w:vAlign w:val="center"/>
                </w:tcPr>
                <w:p w14:paraId="37B4C06A">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432" w:type="pct"/>
                  <w:vMerge w:val="continue"/>
                  <w:shd w:val="clear" w:color="auto" w:fill="auto"/>
                  <w:noWrap/>
                  <w:vAlign w:val="center"/>
                </w:tcPr>
                <w:p w14:paraId="3F6F353B">
                  <w:pPr>
                    <w:spacing w:before="60" w:beforeLines="25" w:after="60" w:afterLines="25"/>
                    <w:jc w:val="center"/>
                    <w:rPr>
                      <w:rFonts w:hint="default" w:ascii="Times New Roman" w:hAnsi="Times New Roman" w:eastAsia="宋体" w:cs="Times New Roman"/>
                      <w:color w:val="auto"/>
                      <w:szCs w:val="21"/>
                      <w:lang w:val="en-US" w:eastAsia="zh-CN"/>
                    </w:rPr>
                  </w:pPr>
                </w:p>
              </w:tc>
              <w:tc>
                <w:tcPr>
                  <w:tcW w:w="461" w:type="pct"/>
                  <w:shd w:val="clear" w:color="auto" w:fill="auto"/>
                  <w:noWrap/>
                  <w:vAlign w:val="center"/>
                </w:tcPr>
                <w:p w14:paraId="683B7E7B">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rPr>
                    <w:t>1.81</w:t>
                  </w:r>
                </w:p>
              </w:tc>
              <w:tc>
                <w:tcPr>
                  <w:tcW w:w="433" w:type="pct"/>
                  <w:shd w:val="clear" w:color="auto" w:fill="auto"/>
                  <w:noWrap/>
                  <w:vAlign w:val="center"/>
                </w:tcPr>
                <w:p w14:paraId="3F3080B3">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0.754</w:t>
                  </w:r>
                </w:p>
              </w:tc>
              <w:tc>
                <w:tcPr>
                  <w:tcW w:w="533" w:type="pct"/>
                  <w:shd w:val="clear" w:color="auto" w:fill="auto"/>
                  <w:noWrap/>
                  <w:vAlign w:val="center"/>
                </w:tcPr>
                <w:p w14:paraId="682DF07A">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125.7</w:t>
                  </w:r>
                </w:p>
              </w:tc>
            </w:tr>
            <w:tr w14:paraId="72D4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53" w:type="pct"/>
                  <w:vMerge w:val="continue"/>
                  <w:shd w:val="clear" w:color="auto" w:fill="auto"/>
                  <w:noWrap/>
                  <w:vAlign w:val="center"/>
                </w:tcPr>
                <w:p w14:paraId="68666530">
                  <w:pPr>
                    <w:pStyle w:val="32"/>
                    <w:spacing w:before="60" w:after="60"/>
                    <w:rPr>
                      <w:rFonts w:hint="default" w:ascii="Times New Roman" w:hAnsi="Times New Roman" w:eastAsia="宋体" w:cs="Times New Roman"/>
                      <w:color w:val="auto"/>
                    </w:rPr>
                  </w:pPr>
                </w:p>
              </w:tc>
              <w:tc>
                <w:tcPr>
                  <w:tcW w:w="436" w:type="pct"/>
                  <w:vMerge w:val="continue"/>
                  <w:shd w:val="clear" w:color="auto" w:fill="auto"/>
                  <w:noWrap/>
                  <w:vAlign w:val="center"/>
                </w:tcPr>
                <w:p w14:paraId="54ACC13E">
                  <w:pPr>
                    <w:spacing w:before="60" w:beforeLines="25" w:after="60" w:afterLines="25"/>
                    <w:jc w:val="center"/>
                    <w:rPr>
                      <w:rFonts w:hint="default" w:ascii="Times New Roman" w:hAnsi="Times New Roman" w:eastAsia="宋体" w:cs="Times New Roman"/>
                      <w:color w:val="auto"/>
                      <w:szCs w:val="21"/>
                      <w:lang w:val="en-US" w:eastAsia="zh-CN"/>
                    </w:rPr>
                  </w:pPr>
                </w:p>
              </w:tc>
              <w:tc>
                <w:tcPr>
                  <w:tcW w:w="410" w:type="pct"/>
                  <w:shd w:val="clear" w:color="auto" w:fill="auto"/>
                  <w:noWrap/>
                  <w:vAlign w:val="center"/>
                </w:tcPr>
                <w:p w14:paraId="382ED5D0">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SO</w:t>
                  </w:r>
                  <w:r>
                    <w:rPr>
                      <w:rFonts w:hint="default" w:ascii="Times New Roman" w:hAnsi="Times New Roman" w:eastAsia="宋体" w:cs="Times New Roman"/>
                      <w:color w:val="auto"/>
                      <w:szCs w:val="21"/>
                      <w:vertAlign w:val="subscript"/>
                      <w:lang w:val="en-US" w:eastAsia="zh-CN"/>
                    </w:rPr>
                    <w:t>2</w:t>
                  </w:r>
                </w:p>
              </w:tc>
              <w:tc>
                <w:tcPr>
                  <w:tcW w:w="477" w:type="pct"/>
                  <w:shd w:val="clear" w:color="auto" w:fill="auto"/>
                  <w:noWrap/>
                  <w:vAlign w:val="center"/>
                </w:tcPr>
                <w:p w14:paraId="44923EA8">
                  <w:pPr>
                    <w:spacing w:before="60" w:beforeLines="25" w:after="60" w:afterLines="25"/>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0.27</w:t>
                  </w:r>
                </w:p>
              </w:tc>
              <w:tc>
                <w:tcPr>
                  <w:tcW w:w="562" w:type="pct"/>
                  <w:shd w:val="clear" w:color="auto" w:fill="auto"/>
                  <w:noWrap/>
                  <w:vAlign w:val="center"/>
                </w:tcPr>
                <w:p w14:paraId="23CC2DDE">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18.75</w:t>
                  </w:r>
                </w:p>
              </w:tc>
              <w:tc>
                <w:tcPr>
                  <w:tcW w:w="573" w:type="pct"/>
                  <w:vMerge w:val="continue"/>
                  <w:shd w:val="clear" w:color="auto" w:fill="auto"/>
                  <w:noWrap/>
                  <w:vAlign w:val="center"/>
                </w:tcPr>
                <w:p w14:paraId="3CF70C04">
                  <w:pPr>
                    <w:pStyle w:val="32"/>
                    <w:spacing w:before="60" w:after="60"/>
                    <w:rPr>
                      <w:rFonts w:hint="default" w:ascii="Times New Roman" w:hAnsi="Times New Roman" w:eastAsia="宋体" w:cs="Times New Roman"/>
                      <w:color w:val="auto"/>
                    </w:rPr>
                  </w:pPr>
                </w:p>
              </w:tc>
              <w:tc>
                <w:tcPr>
                  <w:tcW w:w="324" w:type="pct"/>
                  <w:shd w:val="clear" w:color="auto" w:fill="auto"/>
                  <w:noWrap/>
                  <w:vAlign w:val="center"/>
                </w:tcPr>
                <w:p w14:paraId="31B0F765">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432" w:type="pct"/>
                  <w:vMerge w:val="continue"/>
                  <w:shd w:val="clear" w:color="auto" w:fill="auto"/>
                  <w:noWrap/>
                  <w:vAlign w:val="center"/>
                </w:tcPr>
                <w:p w14:paraId="2DA6A670">
                  <w:pPr>
                    <w:spacing w:before="60" w:beforeLines="25" w:after="60" w:afterLines="25"/>
                    <w:jc w:val="center"/>
                    <w:rPr>
                      <w:rFonts w:hint="default" w:ascii="Times New Roman" w:hAnsi="Times New Roman" w:eastAsia="宋体" w:cs="Times New Roman"/>
                      <w:color w:val="auto"/>
                      <w:szCs w:val="21"/>
                      <w:lang w:val="en-US" w:eastAsia="zh-CN"/>
                    </w:rPr>
                  </w:pPr>
                </w:p>
              </w:tc>
              <w:tc>
                <w:tcPr>
                  <w:tcW w:w="461" w:type="pct"/>
                  <w:shd w:val="clear" w:color="auto" w:fill="auto"/>
                  <w:noWrap/>
                  <w:vAlign w:val="center"/>
                </w:tcPr>
                <w:p w14:paraId="53BFDC9A">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rPr>
                    <w:t>0.27</w:t>
                  </w:r>
                </w:p>
              </w:tc>
              <w:tc>
                <w:tcPr>
                  <w:tcW w:w="433" w:type="pct"/>
                  <w:shd w:val="clear" w:color="auto" w:fill="auto"/>
                  <w:noWrap/>
                  <w:vAlign w:val="center"/>
                </w:tcPr>
                <w:p w14:paraId="3476E826">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0.1125</w:t>
                  </w:r>
                </w:p>
              </w:tc>
              <w:tc>
                <w:tcPr>
                  <w:tcW w:w="533" w:type="pct"/>
                  <w:shd w:val="clear" w:color="auto" w:fill="auto"/>
                  <w:noWrap/>
                  <w:vAlign w:val="center"/>
                </w:tcPr>
                <w:p w14:paraId="35645669">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18.75</w:t>
                  </w:r>
                </w:p>
              </w:tc>
            </w:tr>
            <w:tr w14:paraId="418B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53" w:type="pct"/>
                  <w:vMerge w:val="restart"/>
                  <w:shd w:val="clear" w:color="auto" w:fill="auto"/>
                  <w:noWrap/>
                  <w:vAlign w:val="center"/>
                </w:tcPr>
                <w:p w14:paraId="5536FA15">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无组织排放</w:t>
                  </w:r>
                </w:p>
              </w:tc>
              <w:tc>
                <w:tcPr>
                  <w:tcW w:w="847" w:type="pct"/>
                  <w:gridSpan w:val="2"/>
                  <w:shd w:val="clear" w:color="auto" w:fill="auto"/>
                  <w:noWrap/>
                  <w:vAlign w:val="center"/>
                </w:tcPr>
                <w:p w14:paraId="30E73945">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b w:val="0"/>
                      <w:bCs w:val="0"/>
                      <w:color w:val="auto"/>
                      <w:lang w:val="en-US" w:eastAsia="zh-CN"/>
                    </w:rPr>
                    <w:t>燃料堆棚粉尘</w:t>
                  </w:r>
                </w:p>
              </w:tc>
              <w:tc>
                <w:tcPr>
                  <w:tcW w:w="477" w:type="pct"/>
                  <w:shd w:val="clear" w:color="auto" w:fill="auto"/>
                  <w:noWrap/>
                  <w:vAlign w:val="center"/>
                </w:tcPr>
                <w:p w14:paraId="6E1B9F7D">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562" w:type="pct"/>
                  <w:shd w:val="clear" w:color="auto" w:fill="auto"/>
                  <w:noWrap/>
                  <w:vAlign w:val="center"/>
                </w:tcPr>
                <w:p w14:paraId="150EA615">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73" w:type="pct"/>
                  <w:shd w:val="clear" w:color="auto" w:fill="auto"/>
                  <w:noWrap/>
                  <w:vAlign w:val="center"/>
                </w:tcPr>
                <w:p w14:paraId="3FD99A86">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324" w:type="pct"/>
                  <w:shd w:val="clear" w:color="auto" w:fill="auto"/>
                  <w:noWrap/>
                  <w:vAlign w:val="center"/>
                </w:tcPr>
                <w:p w14:paraId="737CD79D">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32" w:type="pct"/>
                  <w:shd w:val="clear" w:color="auto" w:fill="auto"/>
                  <w:noWrap/>
                  <w:vAlign w:val="center"/>
                </w:tcPr>
                <w:p w14:paraId="4C2E1B58">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61" w:type="pct"/>
                  <w:shd w:val="clear" w:color="auto" w:fill="auto"/>
                  <w:noWrap/>
                  <w:vAlign w:val="center"/>
                </w:tcPr>
                <w:p w14:paraId="3569199B">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33" w:type="pct"/>
                  <w:shd w:val="clear" w:color="auto" w:fill="auto"/>
                  <w:noWrap/>
                  <w:vAlign w:val="center"/>
                </w:tcPr>
                <w:p w14:paraId="6D19376F">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533" w:type="pct"/>
                  <w:shd w:val="clear" w:color="auto" w:fill="auto"/>
                  <w:noWrap/>
                  <w:vAlign w:val="center"/>
                </w:tcPr>
                <w:p w14:paraId="51CFB719">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45E3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53" w:type="pct"/>
                  <w:vMerge w:val="continue"/>
                  <w:shd w:val="clear" w:color="auto" w:fill="auto"/>
                  <w:noWrap/>
                  <w:vAlign w:val="center"/>
                </w:tcPr>
                <w:p w14:paraId="3B70A46F">
                  <w:pPr>
                    <w:pStyle w:val="32"/>
                    <w:spacing w:before="60" w:after="60"/>
                    <w:rPr>
                      <w:rFonts w:hint="default" w:ascii="Times New Roman" w:hAnsi="Times New Roman" w:eastAsia="宋体" w:cs="Times New Roman"/>
                      <w:color w:val="auto"/>
                    </w:rPr>
                  </w:pPr>
                </w:p>
              </w:tc>
              <w:tc>
                <w:tcPr>
                  <w:tcW w:w="847" w:type="pct"/>
                  <w:gridSpan w:val="2"/>
                  <w:shd w:val="clear" w:color="auto" w:fill="auto"/>
                  <w:noWrap/>
                  <w:vAlign w:val="center"/>
                </w:tcPr>
                <w:p w14:paraId="5F72D95B">
                  <w:pPr>
                    <w:pStyle w:val="32"/>
                    <w:spacing w:before="60" w:after="60"/>
                    <w:ind w:firstLine="0" w:firstLineChars="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其他工序产生的粉尘</w:t>
                  </w:r>
                </w:p>
              </w:tc>
              <w:tc>
                <w:tcPr>
                  <w:tcW w:w="477" w:type="pct"/>
                  <w:shd w:val="clear" w:color="auto" w:fill="auto"/>
                  <w:noWrap/>
                  <w:vAlign w:val="center"/>
                </w:tcPr>
                <w:p w14:paraId="4225DA0B">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562" w:type="pct"/>
                  <w:shd w:val="clear" w:color="auto" w:fill="auto"/>
                  <w:noWrap/>
                  <w:vAlign w:val="center"/>
                </w:tcPr>
                <w:p w14:paraId="38C57C5B">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73" w:type="pct"/>
                  <w:shd w:val="clear" w:color="auto" w:fill="auto"/>
                  <w:noWrap/>
                  <w:vAlign w:val="center"/>
                </w:tcPr>
                <w:p w14:paraId="0BE22ED6">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324" w:type="pct"/>
                  <w:shd w:val="clear" w:color="auto" w:fill="auto"/>
                  <w:noWrap/>
                  <w:vAlign w:val="center"/>
                </w:tcPr>
                <w:p w14:paraId="46A46A37">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32" w:type="pct"/>
                  <w:shd w:val="clear" w:color="auto" w:fill="auto"/>
                  <w:noWrap/>
                  <w:vAlign w:val="center"/>
                </w:tcPr>
                <w:p w14:paraId="1456214B">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61" w:type="pct"/>
                  <w:shd w:val="clear" w:color="auto" w:fill="auto"/>
                  <w:noWrap/>
                  <w:vAlign w:val="center"/>
                </w:tcPr>
                <w:p w14:paraId="026839F8">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433" w:type="pct"/>
                  <w:shd w:val="clear" w:color="auto" w:fill="auto"/>
                  <w:noWrap/>
                  <w:vAlign w:val="center"/>
                </w:tcPr>
                <w:p w14:paraId="311B24A1">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533" w:type="pct"/>
                  <w:shd w:val="clear" w:color="auto" w:fill="auto"/>
                  <w:noWrap/>
                  <w:vAlign w:val="center"/>
                </w:tcPr>
                <w:p w14:paraId="42C06649">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7D8A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53" w:type="pct"/>
                  <w:vMerge w:val="restart"/>
                  <w:shd w:val="clear" w:color="auto" w:fill="auto"/>
                  <w:noWrap/>
                  <w:vAlign w:val="center"/>
                </w:tcPr>
                <w:p w14:paraId="5E5F1665">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全厂合计</w:t>
                  </w:r>
                </w:p>
              </w:tc>
              <w:tc>
                <w:tcPr>
                  <w:tcW w:w="1355" w:type="dxa"/>
                  <w:gridSpan w:val="2"/>
                  <w:shd w:val="clear" w:color="auto" w:fill="auto"/>
                  <w:noWrap/>
                  <w:vAlign w:val="center"/>
                </w:tcPr>
                <w:p w14:paraId="06BCD7D1">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763" w:type="dxa"/>
                  <w:shd w:val="clear" w:color="auto" w:fill="auto"/>
                  <w:noWrap/>
                  <w:vAlign w:val="center"/>
                </w:tcPr>
                <w:p w14:paraId="701063C3">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0" w:type="dxa"/>
                  <w:shd w:val="clear" w:color="auto" w:fill="auto"/>
                  <w:noWrap/>
                  <w:vAlign w:val="center"/>
                </w:tcPr>
                <w:p w14:paraId="3552B327">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17" w:type="dxa"/>
                  <w:shd w:val="clear" w:color="auto" w:fill="auto"/>
                  <w:noWrap/>
                  <w:vAlign w:val="center"/>
                </w:tcPr>
                <w:p w14:paraId="79B30006">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19" w:type="dxa"/>
                  <w:shd w:val="clear" w:color="auto" w:fill="auto"/>
                  <w:noWrap/>
                  <w:vAlign w:val="center"/>
                </w:tcPr>
                <w:p w14:paraId="27DD9D77">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691" w:type="dxa"/>
                  <w:shd w:val="clear" w:color="auto" w:fill="auto"/>
                  <w:noWrap/>
                  <w:vAlign w:val="center"/>
                </w:tcPr>
                <w:p w14:paraId="59EA3378">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738" w:type="dxa"/>
                  <w:shd w:val="clear" w:color="auto" w:fill="auto"/>
                  <w:noWrap/>
                  <w:vAlign w:val="center"/>
                </w:tcPr>
                <w:p w14:paraId="6B9D32A8">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0.46</w:t>
                  </w:r>
                </w:p>
              </w:tc>
              <w:tc>
                <w:tcPr>
                  <w:tcW w:w="433" w:type="pct"/>
                  <w:shd w:val="clear" w:color="auto" w:fill="auto"/>
                  <w:noWrap/>
                  <w:vAlign w:val="center"/>
                </w:tcPr>
                <w:p w14:paraId="0F90E5BE">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33" w:type="pct"/>
                  <w:shd w:val="clear" w:color="auto" w:fill="auto"/>
                  <w:noWrap/>
                  <w:vAlign w:val="center"/>
                </w:tcPr>
                <w:p w14:paraId="2AD204D7">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7FD6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53" w:type="pct"/>
                  <w:vMerge w:val="continue"/>
                  <w:shd w:val="clear" w:color="auto" w:fill="auto"/>
                  <w:noWrap/>
                  <w:vAlign w:val="center"/>
                </w:tcPr>
                <w:p w14:paraId="15A19FD8">
                  <w:pPr>
                    <w:pStyle w:val="32"/>
                    <w:spacing w:before="60" w:after="60"/>
                    <w:rPr>
                      <w:rFonts w:hint="default" w:ascii="Times New Roman" w:hAnsi="Times New Roman" w:eastAsia="宋体" w:cs="Times New Roman"/>
                      <w:color w:val="auto"/>
                      <w:lang w:val="en-US" w:eastAsia="zh-CN"/>
                    </w:rPr>
                  </w:pPr>
                </w:p>
              </w:tc>
              <w:tc>
                <w:tcPr>
                  <w:tcW w:w="1355" w:type="dxa"/>
                  <w:gridSpan w:val="2"/>
                  <w:shd w:val="clear" w:color="auto" w:fill="auto"/>
                  <w:noWrap/>
                  <w:vAlign w:val="center"/>
                </w:tcPr>
                <w:p w14:paraId="02EF8728">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NO</w:t>
                  </w:r>
                  <w:r>
                    <w:rPr>
                      <w:rFonts w:hint="default" w:ascii="Times New Roman" w:hAnsi="Times New Roman" w:eastAsia="宋体" w:cs="Times New Roman"/>
                      <w:color w:val="auto"/>
                      <w:szCs w:val="21"/>
                      <w:vertAlign w:val="subscript"/>
                      <w:lang w:val="en-US" w:eastAsia="zh-CN"/>
                    </w:rPr>
                    <w:t>x</w:t>
                  </w:r>
                </w:p>
              </w:tc>
              <w:tc>
                <w:tcPr>
                  <w:tcW w:w="763" w:type="dxa"/>
                  <w:shd w:val="clear" w:color="auto" w:fill="auto"/>
                  <w:noWrap/>
                  <w:vAlign w:val="center"/>
                </w:tcPr>
                <w:p w14:paraId="60036FF8">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0" w:type="dxa"/>
                  <w:shd w:val="clear" w:color="auto" w:fill="auto"/>
                  <w:noWrap/>
                  <w:vAlign w:val="center"/>
                </w:tcPr>
                <w:p w14:paraId="3FB256E4">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17" w:type="dxa"/>
                  <w:shd w:val="clear" w:color="auto" w:fill="auto"/>
                  <w:noWrap/>
                  <w:vAlign w:val="center"/>
                </w:tcPr>
                <w:p w14:paraId="24DD7BDA">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19" w:type="dxa"/>
                  <w:shd w:val="clear" w:color="auto" w:fill="auto"/>
                  <w:noWrap/>
                  <w:vAlign w:val="center"/>
                </w:tcPr>
                <w:p w14:paraId="6E34EA80">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691" w:type="dxa"/>
                  <w:shd w:val="clear" w:color="auto" w:fill="auto"/>
                  <w:noWrap/>
                  <w:vAlign w:val="center"/>
                </w:tcPr>
                <w:p w14:paraId="7850A76E">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738" w:type="dxa"/>
                  <w:shd w:val="clear" w:color="auto" w:fill="auto"/>
                  <w:noWrap/>
                  <w:vAlign w:val="center"/>
                </w:tcPr>
                <w:p w14:paraId="20519BD9">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rPr>
                    <w:t>1.81</w:t>
                  </w:r>
                </w:p>
              </w:tc>
              <w:tc>
                <w:tcPr>
                  <w:tcW w:w="693" w:type="dxa"/>
                  <w:shd w:val="clear" w:color="auto" w:fill="auto"/>
                  <w:noWrap/>
                  <w:vAlign w:val="center"/>
                </w:tcPr>
                <w:p w14:paraId="31AEA550">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53" w:type="dxa"/>
                  <w:shd w:val="clear" w:color="auto" w:fill="auto"/>
                  <w:noWrap/>
                  <w:vAlign w:val="center"/>
                </w:tcPr>
                <w:p w14:paraId="177D28A2">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47F2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3" w:type="pct"/>
                  <w:vMerge w:val="continue"/>
                  <w:shd w:val="clear" w:color="auto" w:fill="auto"/>
                  <w:noWrap/>
                  <w:vAlign w:val="center"/>
                </w:tcPr>
                <w:p w14:paraId="0B2152A3">
                  <w:pPr>
                    <w:pStyle w:val="32"/>
                    <w:spacing w:before="60" w:after="60"/>
                    <w:rPr>
                      <w:rFonts w:hint="default" w:ascii="Times New Roman" w:hAnsi="Times New Roman" w:eastAsia="宋体" w:cs="Times New Roman"/>
                      <w:color w:val="auto"/>
                      <w:lang w:val="en-US" w:eastAsia="zh-CN"/>
                    </w:rPr>
                  </w:pPr>
                </w:p>
              </w:tc>
              <w:tc>
                <w:tcPr>
                  <w:tcW w:w="1355" w:type="dxa"/>
                  <w:gridSpan w:val="2"/>
                  <w:shd w:val="clear" w:color="auto" w:fill="auto"/>
                  <w:noWrap/>
                  <w:vAlign w:val="center"/>
                </w:tcPr>
                <w:p w14:paraId="1261A8E8">
                  <w:pPr>
                    <w:spacing w:before="60" w:beforeLines="25" w:after="60" w:afterLines="25"/>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SO</w:t>
                  </w:r>
                  <w:r>
                    <w:rPr>
                      <w:rFonts w:hint="default" w:ascii="Times New Roman" w:hAnsi="Times New Roman" w:eastAsia="宋体" w:cs="Times New Roman"/>
                      <w:color w:val="auto"/>
                      <w:szCs w:val="21"/>
                      <w:vertAlign w:val="subscript"/>
                      <w:lang w:val="en-US" w:eastAsia="zh-CN"/>
                    </w:rPr>
                    <w:t>2</w:t>
                  </w:r>
                </w:p>
              </w:tc>
              <w:tc>
                <w:tcPr>
                  <w:tcW w:w="763" w:type="dxa"/>
                  <w:shd w:val="clear" w:color="auto" w:fill="auto"/>
                  <w:noWrap/>
                  <w:vAlign w:val="center"/>
                </w:tcPr>
                <w:p w14:paraId="0EFDA83D">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00" w:type="dxa"/>
                  <w:shd w:val="clear" w:color="auto" w:fill="auto"/>
                  <w:noWrap/>
                  <w:vAlign w:val="center"/>
                </w:tcPr>
                <w:p w14:paraId="59142CAE">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17" w:type="dxa"/>
                  <w:shd w:val="clear" w:color="auto" w:fill="auto"/>
                  <w:noWrap/>
                  <w:vAlign w:val="center"/>
                </w:tcPr>
                <w:p w14:paraId="6C46F434">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19" w:type="dxa"/>
                  <w:shd w:val="clear" w:color="auto" w:fill="auto"/>
                  <w:noWrap/>
                  <w:vAlign w:val="center"/>
                </w:tcPr>
                <w:p w14:paraId="6EA0B711">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691" w:type="dxa"/>
                  <w:shd w:val="clear" w:color="auto" w:fill="auto"/>
                  <w:noWrap/>
                  <w:vAlign w:val="center"/>
                </w:tcPr>
                <w:p w14:paraId="482F0E35">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738" w:type="dxa"/>
                  <w:shd w:val="clear" w:color="auto" w:fill="auto"/>
                  <w:noWrap/>
                  <w:vAlign w:val="center"/>
                </w:tcPr>
                <w:p w14:paraId="75160C30">
                  <w:pPr>
                    <w:spacing w:before="60" w:beforeLines="25" w:after="60" w:afterLines="25"/>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Cs w:val="21"/>
                      <w:lang w:val="en-US" w:eastAsia="zh-CN"/>
                    </w:rPr>
                    <w:t>0.27</w:t>
                  </w:r>
                </w:p>
              </w:tc>
              <w:tc>
                <w:tcPr>
                  <w:tcW w:w="693" w:type="dxa"/>
                  <w:shd w:val="clear" w:color="auto" w:fill="auto"/>
                  <w:noWrap/>
                  <w:vAlign w:val="center"/>
                </w:tcPr>
                <w:p w14:paraId="4E6830A5">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53" w:type="dxa"/>
                  <w:shd w:val="clear" w:color="auto" w:fill="auto"/>
                  <w:noWrap/>
                  <w:vAlign w:val="center"/>
                </w:tcPr>
                <w:p w14:paraId="168F0FED">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5778F4E3">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（4）项目排放口信息</w:t>
            </w:r>
          </w:p>
          <w:p w14:paraId="56578D8B">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本项目排放口为一般排放口，排放口信息见下表：</w:t>
            </w:r>
          </w:p>
          <w:p w14:paraId="77DDE89B">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表4-3  排放口信息一览表</w:t>
            </w:r>
          </w:p>
          <w:tbl>
            <w:tblPr>
              <w:tblStyle w:val="26"/>
              <w:tblW w:w="7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859"/>
              <w:gridCol w:w="849"/>
              <w:gridCol w:w="772"/>
              <w:gridCol w:w="673"/>
              <w:gridCol w:w="1037"/>
              <w:gridCol w:w="2701"/>
            </w:tblGrid>
            <w:tr w14:paraId="3AF8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07" w:type="dxa"/>
                  <w:vMerge w:val="restart"/>
                  <w:vAlign w:val="center"/>
                </w:tcPr>
                <w:p w14:paraId="4BC68288">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排放口编号</w:t>
                  </w:r>
                </w:p>
              </w:tc>
              <w:tc>
                <w:tcPr>
                  <w:tcW w:w="1708" w:type="dxa"/>
                  <w:gridSpan w:val="2"/>
                  <w:vAlign w:val="center"/>
                </w:tcPr>
                <w:p w14:paraId="111BC90B">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2482" w:type="dxa"/>
                  <w:gridSpan w:val="3"/>
                  <w:vAlign w:val="center"/>
                </w:tcPr>
                <w:p w14:paraId="456D4CBD">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排气筒参数</w:t>
                  </w:r>
                </w:p>
              </w:tc>
              <w:tc>
                <w:tcPr>
                  <w:tcW w:w="2701" w:type="dxa"/>
                  <w:vMerge w:val="restart"/>
                  <w:vAlign w:val="center"/>
                </w:tcPr>
                <w:p w14:paraId="0506D1AB">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排放标准</w:t>
                  </w:r>
                </w:p>
              </w:tc>
            </w:tr>
            <w:tr w14:paraId="3061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7" w:type="dxa"/>
                  <w:vMerge w:val="continue"/>
                  <w:vAlign w:val="center"/>
                </w:tcPr>
                <w:p w14:paraId="2A4C45F5">
                  <w:pPr>
                    <w:pStyle w:val="32"/>
                    <w:spacing w:before="60" w:after="60"/>
                    <w:rPr>
                      <w:rFonts w:hint="default" w:ascii="Times New Roman" w:hAnsi="Times New Roman" w:eastAsia="宋体" w:cs="Times New Roman"/>
                      <w:color w:val="auto"/>
                    </w:rPr>
                  </w:pPr>
                </w:p>
              </w:tc>
              <w:tc>
                <w:tcPr>
                  <w:tcW w:w="859" w:type="dxa"/>
                  <w:vAlign w:val="center"/>
                </w:tcPr>
                <w:p w14:paraId="29AD7D97">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经度</w:t>
                  </w:r>
                </w:p>
              </w:tc>
              <w:tc>
                <w:tcPr>
                  <w:tcW w:w="849" w:type="dxa"/>
                  <w:vAlign w:val="center"/>
                </w:tcPr>
                <w:p w14:paraId="74BAB4B1">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纬度</w:t>
                  </w:r>
                </w:p>
              </w:tc>
              <w:tc>
                <w:tcPr>
                  <w:tcW w:w="772" w:type="dxa"/>
                  <w:vAlign w:val="center"/>
                </w:tcPr>
                <w:p w14:paraId="3BB86B7C">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高度m</w:t>
                  </w:r>
                </w:p>
              </w:tc>
              <w:tc>
                <w:tcPr>
                  <w:tcW w:w="673" w:type="dxa"/>
                  <w:vAlign w:val="center"/>
                </w:tcPr>
                <w:p w14:paraId="3D8B44E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内径m</w:t>
                  </w:r>
                </w:p>
              </w:tc>
              <w:tc>
                <w:tcPr>
                  <w:tcW w:w="1037" w:type="dxa"/>
                  <w:vAlign w:val="center"/>
                </w:tcPr>
                <w:p w14:paraId="3E317D9B">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排气筒温度℃</w:t>
                  </w:r>
                </w:p>
              </w:tc>
              <w:tc>
                <w:tcPr>
                  <w:tcW w:w="2701" w:type="dxa"/>
                  <w:vMerge w:val="continue"/>
                  <w:vAlign w:val="center"/>
                </w:tcPr>
                <w:p w14:paraId="7A3F2C09">
                  <w:pPr>
                    <w:pStyle w:val="32"/>
                    <w:spacing w:before="60" w:after="60"/>
                    <w:rPr>
                      <w:rFonts w:hint="default" w:ascii="Times New Roman" w:hAnsi="Times New Roman" w:eastAsia="宋体" w:cs="Times New Roman"/>
                      <w:color w:val="auto"/>
                    </w:rPr>
                  </w:pPr>
                </w:p>
              </w:tc>
            </w:tr>
            <w:tr w14:paraId="2E69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107" w:type="dxa"/>
                  <w:vAlign w:val="center"/>
                </w:tcPr>
                <w:p w14:paraId="7D5ACD0F">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DA00</w:t>
                  </w:r>
                  <w:r>
                    <w:rPr>
                      <w:rFonts w:hint="default" w:ascii="Times New Roman" w:hAnsi="Times New Roman" w:eastAsia="宋体" w:cs="Times New Roman"/>
                      <w:color w:val="auto"/>
                      <w:sz w:val="21"/>
                      <w:szCs w:val="21"/>
                      <w:lang w:val="en-US" w:eastAsia="zh-CN"/>
                    </w:rPr>
                    <w:t>2锅炉废气</w:t>
                  </w:r>
                  <w:r>
                    <w:rPr>
                      <w:rFonts w:hint="default" w:ascii="Times New Roman" w:hAnsi="Times New Roman" w:eastAsia="宋体" w:cs="Times New Roman"/>
                      <w:color w:val="auto"/>
                      <w:sz w:val="21"/>
                      <w:szCs w:val="21"/>
                    </w:rPr>
                    <w:t>排放口</w:t>
                  </w:r>
                </w:p>
              </w:tc>
              <w:tc>
                <w:tcPr>
                  <w:tcW w:w="859" w:type="dxa"/>
                  <w:vAlign w:val="center"/>
                </w:tcPr>
                <w:p w14:paraId="19DF2B6D">
                  <w:pPr>
                    <w:pStyle w:val="23"/>
                    <w:snapToGrid/>
                    <w:spacing w:before="0" w:after="0" w:line="240" w:lineRule="auto"/>
                    <w:ind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东经：</w:t>
                  </w:r>
                  <w:r>
                    <w:rPr>
                      <w:rFonts w:hint="default" w:ascii="Times New Roman" w:hAnsi="Times New Roman" w:eastAsia="宋体" w:cs="Times New Roman"/>
                      <w:color w:val="auto"/>
                      <w:sz w:val="21"/>
                      <w:szCs w:val="21"/>
                    </w:rPr>
                    <w:t>102°32'40.513"</w:t>
                  </w:r>
                </w:p>
              </w:tc>
              <w:tc>
                <w:tcPr>
                  <w:tcW w:w="849" w:type="dxa"/>
                  <w:vAlign w:val="center"/>
                </w:tcPr>
                <w:p w14:paraId="1DCC6730">
                  <w:pPr>
                    <w:pStyle w:val="23"/>
                    <w:snapToGrid/>
                    <w:spacing w:before="0" w:after="0" w:line="240" w:lineRule="auto"/>
                    <w:ind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北纬：</w:t>
                  </w:r>
                  <w:r>
                    <w:rPr>
                      <w:rFonts w:hint="default" w:ascii="Times New Roman" w:hAnsi="Times New Roman" w:eastAsia="宋体" w:cs="Times New Roman"/>
                      <w:color w:val="auto"/>
                      <w:sz w:val="21"/>
                      <w:szCs w:val="21"/>
                    </w:rPr>
                    <w:t>24°23'48.984"</w:t>
                  </w:r>
                </w:p>
              </w:tc>
              <w:tc>
                <w:tcPr>
                  <w:tcW w:w="772" w:type="dxa"/>
                  <w:vAlign w:val="center"/>
                </w:tcPr>
                <w:p w14:paraId="4F6788DD">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35</w:t>
                  </w:r>
                </w:p>
              </w:tc>
              <w:tc>
                <w:tcPr>
                  <w:tcW w:w="673" w:type="dxa"/>
                  <w:vAlign w:val="center"/>
                </w:tcPr>
                <w:p w14:paraId="5638F8CE">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1037" w:type="dxa"/>
                  <w:vAlign w:val="center"/>
                </w:tcPr>
                <w:p w14:paraId="328A1406">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115</w:t>
                  </w:r>
                </w:p>
              </w:tc>
              <w:tc>
                <w:tcPr>
                  <w:tcW w:w="2701" w:type="dxa"/>
                  <w:vAlign w:val="center"/>
                </w:tcPr>
                <w:p w14:paraId="7DBF7E0F">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《锅炉大气污染物排放标准》（GB13271-2014）表2（2014年7月1日起新建锅炉）标准</w:t>
                  </w:r>
                </w:p>
              </w:tc>
            </w:tr>
          </w:tbl>
          <w:p w14:paraId="01FB83B0">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4.2.3 监测要求</w:t>
            </w:r>
          </w:p>
          <w:p w14:paraId="28F7B05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本项目属于纸制品制造业，因</w:t>
            </w:r>
            <w:r>
              <w:rPr>
                <w:rFonts w:hint="default" w:ascii="Times New Roman" w:hAnsi="Times New Roman" w:eastAsia="宋体" w:cs="Times New Roman"/>
                <w:color w:val="auto"/>
                <w:lang w:eastAsia="zh-CN"/>
              </w:rPr>
              <w:t>《排污单位自行监测技术指南 造纸工业》（HJ821-2017）《造纸行业排污许可证申请 与核发技术规范》</w:t>
            </w:r>
            <w:r>
              <w:rPr>
                <w:rFonts w:hint="default" w:ascii="Times New Roman" w:hAnsi="Times New Roman" w:eastAsia="宋体" w:cs="Times New Roman"/>
                <w:color w:val="auto"/>
                <w:lang w:val="en-US" w:eastAsia="zh-CN"/>
              </w:rPr>
              <w:t>中未对纸制品生产中产生的废气提出自行监测要求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故根据</w:t>
            </w:r>
            <w:r>
              <w:rPr>
                <w:rFonts w:hint="default" w:ascii="Times New Roman" w:hAnsi="Times New Roman" w:eastAsia="宋体" w:cs="Times New Roman"/>
                <w:color w:val="auto"/>
              </w:rPr>
              <w:t>《排污单位自行监测技术指南 总则》（HJ819-2017）</w:t>
            </w:r>
            <w:r>
              <w:rPr>
                <w:rFonts w:hint="default" w:ascii="Times New Roman" w:hAnsi="Times New Roman" w:eastAsia="宋体" w:cs="Times New Roman"/>
                <w:color w:val="auto"/>
                <w:lang w:eastAsia="zh-CN"/>
              </w:rPr>
              <w:t>《排污许可证申请与核发技术规范 总则》（HJ 942－2018）</w:t>
            </w:r>
            <w:r>
              <w:rPr>
                <w:rFonts w:hint="default" w:ascii="Times New Roman" w:hAnsi="Times New Roman" w:eastAsia="宋体" w:cs="Times New Roman"/>
                <w:color w:val="auto"/>
                <w:lang w:val="en-US" w:eastAsia="zh-CN"/>
              </w:rPr>
              <w:t>的要求制定监测计划，因项目生产过程中存在通用工序-锅炉，故结合参考</w:t>
            </w:r>
            <w:r>
              <w:rPr>
                <w:rFonts w:hint="default" w:ascii="Times New Roman" w:hAnsi="Times New Roman" w:eastAsia="宋体" w:cs="Times New Roman"/>
                <w:color w:val="auto"/>
                <w:lang w:eastAsia="zh-CN"/>
              </w:rPr>
              <w:t>《排污单位自行监测技术指南 火力发电及锅炉(HJ 820-2017)》</w:t>
            </w:r>
            <w:r>
              <w:rPr>
                <w:rFonts w:hint="default" w:ascii="Times New Roman" w:hAnsi="Times New Roman" w:eastAsia="宋体" w:cs="Times New Roman"/>
                <w:color w:val="auto"/>
              </w:rPr>
              <w:t>的要求</w:t>
            </w:r>
            <w:r>
              <w:rPr>
                <w:rFonts w:hint="default" w:ascii="Times New Roman" w:hAnsi="Times New Roman" w:eastAsia="宋体" w:cs="Times New Roman"/>
                <w:color w:val="auto"/>
                <w:lang w:val="en-US" w:eastAsia="zh-CN"/>
              </w:rPr>
              <w:t>制定废气监测计划</w:t>
            </w:r>
            <w:r>
              <w:rPr>
                <w:rFonts w:hint="default" w:ascii="Times New Roman" w:hAnsi="Times New Roman" w:eastAsia="宋体" w:cs="Times New Roman"/>
                <w:color w:val="auto"/>
              </w:rPr>
              <w:t>，项目运行期废气污染物</w:t>
            </w:r>
            <w:r>
              <w:rPr>
                <w:rFonts w:hint="default" w:ascii="Times New Roman" w:hAnsi="Times New Roman" w:eastAsia="宋体" w:cs="Times New Roman"/>
                <w:color w:val="auto"/>
                <w:lang w:val="en-US" w:eastAsia="zh-CN"/>
              </w:rPr>
              <w:t>自行</w:t>
            </w:r>
            <w:r>
              <w:rPr>
                <w:rFonts w:hint="default" w:ascii="Times New Roman" w:hAnsi="Times New Roman" w:eastAsia="宋体" w:cs="Times New Roman"/>
                <w:color w:val="auto"/>
              </w:rPr>
              <w:t>监测计划如下表。</w:t>
            </w:r>
          </w:p>
          <w:p w14:paraId="41348BF7">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表4-5  废气监测要求</w:t>
            </w:r>
          </w:p>
          <w:tbl>
            <w:tblPr>
              <w:tblStyle w:val="26"/>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1775"/>
              <w:gridCol w:w="2984"/>
              <w:gridCol w:w="1445"/>
            </w:tblGrid>
            <w:tr w14:paraId="17EF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2" w:type="dxa"/>
                  <w:vAlign w:val="center"/>
                </w:tcPr>
                <w:p w14:paraId="5242587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排放形式</w:t>
                  </w:r>
                </w:p>
              </w:tc>
              <w:tc>
                <w:tcPr>
                  <w:tcW w:w="1775" w:type="dxa"/>
                  <w:vAlign w:val="center"/>
                </w:tcPr>
                <w:p w14:paraId="7367DE6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2984" w:type="dxa"/>
                  <w:vAlign w:val="center"/>
                </w:tcPr>
                <w:p w14:paraId="4A68EEE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监测指标</w:t>
                  </w:r>
                </w:p>
              </w:tc>
              <w:tc>
                <w:tcPr>
                  <w:tcW w:w="1445" w:type="dxa"/>
                  <w:vAlign w:val="center"/>
                </w:tcPr>
                <w:p w14:paraId="7C478759">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监测频次</w:t>
                  </w:r>
                </w:p>
              </w:tc>
            </w:tr>
            <w:tr w14:paraId="283D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732" w:type="dxa"/>
                  <w:vAlign w:val="center"/>
                </w:tcPr>
                <w:p w14:paraId="12FBDDF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有组织废气</w:t>
                  </w:r>
                </w:p>
              </w:tc>
              <w:tc>
                <w:tcPr>
                  <w:tcW w:w="1775" w:type="dxa"/>
                  <w:vAlign w:val="center"/>
                </w:tcPr>
                <w:p w14:paraId="21ADF35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DA00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排放口</w:t>
                  </w:r>
                </w:p>
              </w:tc>
              <w:tc>
                <w:tcPr>
                  <w:tcW w:w="2984" w:type="dxa"/>
                  <w:vAlign w:val="center"/>
                </w:tcPr>
                <w:p w14:paraId="288351BB">
                  <w:pPr>
                    <w:pStyle w:val="32"/>
                    <w:spacing w:before="60" w:after="6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颗粒物、氮氧化物、二氧化硫、烟气黑度</w:t>
                  </w:r>
                </w:p>
              </w:tc>
              <w:tc>
                <w:tcPr>
                  <w:tcW w:w="1445" w:type="dxa"/>
                  <w:vAlign w:val="center"/>
                </w:tcPr>
                <w:p w14:paraId="3DCEFA64">
                  <w:pPr>
                    <w:pStyle w:val="32"/>
                    <w:spacing w:before="60" w:after="6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1次</w:t>
                  </w:r>
                  <w:r>
                    <w:rPr>
                      <w:rFonts w:hint="default" w:ascii="Times New Roman" w:hAnsi="Times New Roman" w:eastAsia="宋体" w:cs="Times New Roman"/>
                      <w:color w:val="auto"/>
                      <w:lang w:val="en-US" w:eastAsia="zh-CN"/>
                    </w:rPr>
                    <w:t>月</w:t>
                  </w:r>
                </w:p>
              </w:tc>
            </w:tr>
            <w:tr w14:paraId="1BF5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32" w:type="dxa"/>
                  <w:vAlign w:val="center"/>
                </w:tcPr>
                <w:p w14:paraId="314044C1">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无组织废气</w:t>
                  </w:r>
                </w:p>
              </w:tc>
              <w:tc>
                <w:tcPr>
                  <w:tcW w:w="1775" w:type="dxa"/>
                  <w:shd w:val="clear" w:color="auto" w:fill="auto"/>
                  <w:vAlign w:val="center"/>
                </w:tcPr>
                <w:p w14:paraId="182C4FE6">
                  <w:pPr>
                    <w:pStyle w:val="32"/>
                    <w:spacing w:before="60" w:after="6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厂界</w:t>
                  </w:r>
                </w:p>
              </w:tc>
              <w:tc>
                <w:tcPr>
                  <w:tcW w:w="2984" w:type="dxa"/>
                  <w:shd w:val="clear" w:color="auto" w:fill="auto"/>
                  <w:vAlign w:val="center"/>
                </w:tcPr>
                <w:p w14:paraId="007D6971">
                  <w:pPr>
                    <w:pStyle w:val="32"/>
                    <w:spacing w:before="60" w:after="6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颗粒物</w:t>
                  </w:r>
                </w:p>
              </w:tc>
              <w:tc>
                <w:tcPr>
                  <w:tcW w:w="1445" w:type="dxa"/>
                  <w:shd w:val="clear" w:color="auto" w:fill="auto"/>
                  <w:vAlign w:val="center"/>
                </w:tcPr>
                <w:p w14:paraId="3EFDA26B">
                  <w:pPr>
                    <w:pStyle w:val="32"/>
                    <w:spacing w:before="60" w:after="6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1次/年</w:t>
                  </w:r>
                </w:p>
              </w:tc>
            </w:tr>
          </w:tbl>
          <w:p w14:paraId="28F04B7B">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4.2.4 非正常工况</w:t>
            </w:r>
          </w:p>
          <w:p w14:paraId="258C7624">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非正常排放主要考虑生产设施开停</w:t>
            </w:r>
            <w:r>
              <w:rPr>
                <w:rFonts w:hint="default" w:ascii="Times New Roman" w:hAnsi="Times New Roman" w:eastAsia="宋体" w:cs="Times New Roman"/>
                <w:color w:val="auto"/>
                <w:lang w:val="en-US" w:eastAsia="zh-CN"/>
              </w:rPr>
              <w:t>机</w:t>
            </w:r>
            <w:r>
              <w:rPr>
                <w:rFonts w:hint="default" w:ascii="Times New Roman" w:hAnsi="Times New Roman" w:eastAsia="宋体" w:cs="Times New Roman"/>
                <w:color w:val="auto"/>
              </w:rPr>
              <w:t>等非正常情况下，污染物的排放。根据项目生产工艺及产污环节、污染治理措施及污染物排放情况，一般废气治理设施异常为</w:t>
            </w:r>
            <w:r>
              <w:rPr>
                <w:rFonts w:hint="default" w:ascii="Times New Roman" w:hAnsi="Times New Roman" w:eastAsia="宋体" w:cs="Times New Roman"/>
                <w:color w:val="auto"/>
                <w:lang w:val="en-US" w:eastAsia="zh-CN"/>
              </w:rPr>
              <w:t>布袋除尘器发生烧袋、布袋破损</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除尘</w:t>
            </w:r>
            <w:r>
              <w:rPr>
                <w:rFonts w:hint="default" w:ascii="Times New Roman" w:hAnsi="Times New Roman" w:eastAsia="宋体" w:cs="Times New Roman"/>
                <w:color w:val="auto"/>
              </w:rPr>
              <w:t>效率降至</w:t>
            </w:r>
            <w:r>
              <w:rPr>
                <w:rFonts w:hint="default" w:ascii="Times New Roman" w:hAnsi="Times New Roman" w:eastAsia="宋体" w:cs="Times New Roman"/>
                <w:color w:val="auto"/>
                <w:lang w:val="en-US" w:eastAsia="zh-CN"/>
              </w:rPr>
              <w:t>90</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发生概率为1次/2年</w:t>
            </w:r>
            <w:r>
              <w:rPr>
                <w:rFonts w:hint="default" w:ascii="Times New Roman" w:hAnsi="Times New Roman" w:eastAsia="宋体" w:cs="Times New Roman"/>
                <w:color w:val="auto"/>
              </w:rPr>
              <w:t>。非正常排放情况见下表：</w:t>
            </w:r>
          </w:p>
          <w:p w14:paraId="189D0F5C">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表4-6  污染源非正常排放量核算表</w:t>
            </w:r>
          </w:p>
          <w:tbl>
            <w:tblPr>
              <w:tblStyle w:val="26"/>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07"/>
              <w:gridCol w:w="581"/>
              <w:gridCol w:w="1240"/>
              <w:gridCol w:w="670"/>
              <w:gridCol w:w="820"/>
              <w:gridCol w:w="730"/>
              <w:gridCol w:w="600"/>
              <w:gridCol w:w="930"/>
              <w:gridCol w:w="961"/>
            </w:tblGrid>
            <w:tr w14:paraId="04DE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12" w:type="pct"/>
                  <w:vMerge w:val="restart"/>
                  <w:vAlign w:val="center"/>
                </w:tcPr>
                <w:p w14:paraId="17E256B1">
                  <w:pPr>
                    <w:pStyle w:val="32"/>
                    <w:spacing w:before="60" w:after="6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污染物</w:t>
                  </w:r>
                </w:p>
              </w:tc>
              <w:tc>
                <w:tcPr>
                  <w:tcW w:w="504" w:type="pct"/>
                  <w:vMerge w:val="restart"/>
                  <w:vAlign w:val="center"/>
                </w:tcPr>
                <w:p w14:paraId="7CB0C491">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产生量（t/a）</w:t>
                  </w:r>
                </w:p>
              </w:tc>
              <w:tc>
                <w:tcPr>
                  <w:tcW w:w="363" w:type="pct"/>
                  <w:vMerge w:val="restart"/>
                  <w:vAlign w:val="center"/>
                </w:tcPr>
                <w:p w14:paraId="7F8A9B31">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集气效率</w:t>
                  </w:r>
                </w:p>
              </w:tc>
              <w:tc>
                <w:tcPr>
                  <w:tcW w:w="775" w:type="pct"/>
                  <w:vMerge w:val="restart"/>
                  <w:vAlign w:val="center"/>
                </w:tcPr>
                <w:p w14:paraId="06B335A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处理设施</w:t>
                  </w:r>
                </w:p>
              </w:tc>
              <w:tc>
                <w:tcPr>
                  <w:tcW w:w="418" w:type="pct"/>
                  <w:vMerge w:val="restart"/>
                  <w:vAlign w:val="center"/>
                </w:tcPr>
                <w:p w14:paraId="2F6A93DC">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处理效率</w:t>
                  </w:r>
                </w:p>
              </w:tc>
              <w:tc>
                <w:tcPr>
                  <w:tcW w:w="512" w:type="pct"/>
                  <w:vMerge w:val="restart"/>
                  <w:vAlign w:val="center"/>
                </w:tcPr>
                <w:p w14:paraId="5E3C117A">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风量（m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w:t>
                  </w:r>
                </w:p>
              </w:tc>
              <w:tc>
                <w:tcPr>
                  <w:tcW w:w="831" w:type="pct"/>
                  <w:gridSpan w:val="2"/>
                  <w:vAlign w:val="center"/>
                </w:tcPr>
                <w:p w14:paraId="61ADD2C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排气筒</w:t>
                  </w:r>
                </w:p>
              </w:tc>
              <w:tc>
                <w:tcPr>
                  <w:tcW w:w="581" w:type="pct"/>
                  <w:vMerge w:val="restart"/>
                  <w:vAlign w:val="center"/>
                </w:tcPr>
                <w:p w14:paraId="782383D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600" w:type="pct"/>
                  <w:vMerge w:val="restart"/>
                  <w:vAlign w:val="center"/>
                </w:tcPr>
                <w:p w14:paraId="2CB48028">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排放速率（kg/h）</w:t>
                  </w:r>
                </w:p>
              </w:tc>
            </w:tr>
            <w:tr w14:paraId="5941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12" w:type="pct"/>
                  <w:vMerge w:val="continue"/>
                  <w:vAlign w:val="center"/>
                </w:tcPr>
                <w:p w14:paraId="4B3E816D">
                  <w:pPr>
                    <w:pStyle w:val="32"/>
                    <w:spacing w:before="60" w:after="60"/>
                    <w:rPr>
                      <w:rFonts w:hint="default" w:ascii="Times New Roman" w:hAnsi="Times New Roman" w:eastAsia="宋体" w:cs="Times New Roman"/>
                      <w:color w:val="auto"/>
                    </w:rPr>
                  </w:pPr>
                </w:p>
              </w:tc>
              <w:tc>
                <w:tcPr>
                  <w:tcW w:w="504" w:type="pct"/>
                  <w:vMerge w:val="continue"/>
                  <w:vAlign w:val="center"/>
                </w:tcPr>
                <w:p w14:paraId="13FEDFCA">
                  <w:pPr>
                    <w:pStyle w:val="32"/>
                    <w:spacing w:before="60" w:after="60"/>
                    <w:rPr>
                      <w:rFonts w:hint="default" w:ascii="Times New Roman" w:hAnsi="Times New Roman" w:eastAsia="宋体" w:cs="Times New Roman"/>
                      <w:color w:val="auto"/>
                    </w:rPr>
                  </w:pPr>
                </w:p>
              </w:tc>
              <w:tc>
                <w:tcPr>
                  <w:tcW w:w="363" w:type="pct"/>
                  <w:vMerge w:val="continue"/>
                  <w:vAlign w:val="center"/>
                </w:tcPr>
                <w:p w14:paraId="6342F14A">
                  <w:pPr>
                    <w:pStyle w:val="32"/>
                    <w:spacing w:before="60" w:after="60"/>
                    <w:rPr>
                      <w:rFonts w:hint="default" w:ascii="Times New Roman" w:hAnsi="Times New Roman" w:eastAsia="宋体" w:cs="Times New Roman"/>
                      <w:color w:val="auto"/>
                    </w:rPr>
                  </w:pPr>
                </w:p>
              </w:tc>
              <w:tc>
                <w:tcPr>
                  <w:tcW w:w="775" w:type="pct"/>
                  <w:vMerge w:val="continue"/>
                  <w:vAlign w:val="center"/>
                </w:tcPr>
                <w:p w14:paraId="13FE578F">
                  <w:pPr>
                    <w:pStyle w:val="32"/>
                    <w:spacing w:before="60" w:after="60"/>
                    <w:rPr>
                      <w:rFonts w:hint="default" w:ascii="Times New Roman" w:hAnsi="Times New Roman" w:eastAsia="宋体" w:cs="Times New Roman"/>
                      <w:color w:val="auto"/>
                    </w:rPr>
                  </w:pPr>
                </w:p>
              </w:tc>
              <w:tc>
                <w:tcPr>
                  <w:tcW w:w="418" w:type="pct"/>
                  <w:vMerge w:val="continue"/>
                  <w:vAlign w:val="center"/>
                </w:tcPr>
                <w:p w14:paraId="3ED05198">
                  <w:pPr>
                    <w:pStyle w:val="32"/>
                    <w:spacing w:before="60" w:after="60"/>
                    <w:rPr>
                      <w:rFonts w:hint="default" w:ascii="Times New Roman" w:hAnsi="Times New Roman" w:eastAsia="宋体" w:cs="Times New Roman"/>
                      <w:color w:val="auto"/>
                    </w:rPr>
                  </w:pPr>
                </w:p>
              </w:tc>
              <w:tc>
                <w:tcPr>
                  <w:tcW w:w="512" w:type="pct"/>
                  <w:vMerge w:val="continue"/>
                  <w:vAlign w:val="center"/>
                </w:tcPr>
                <w:p w14:paraId="708A53F5">
                  <w:pPr>
                    <w:pStyle w:val="32"/>
                    <w:spacing w:before="60" w:after="60"/>
                    <w:rPr>
                      <w:rFonts w:hint="default" w:ascii="Times New Roman" w:hAnsi="Times New Roman" w:eastAsia="宋体" w:cs="Times New Roman"/>
                      <w:color w:val="auto"/>
                    </w:rPr>
                  </w:pPr>
                </w:p>
              </w:tc>
              <w:tc>
                <w:tcPr>
                  <w:tcW w:w="456" w:type="pct"/>
                  <w:vAlign w:val="center"/>
                </w:tcPr>
                <w:p w14:paraId="3C02F7E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高度（m）</w:t>
                  </w:r>
                </w:p>
              </w:tc>
              <w:tc>
                <w:tcPr>
                  <w:tcW w:w="375" w:type="pct"/>
                  <w:vAlign w:val="center"/>
                </w:tcPr>
                <w:p w14:paraId="44A139B7">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数量</w:t>
                  </w:r>
                </w:p>
              </w:tc>
              <w:tc>
                <w:tcPr>
                  <w:tcW w:w="581" w:type="pct"/>
                  <w:vMerge w:val="continue"/>
                  <w:vAlign w:val="center"/>
                </w:tcPr>
                <w:p w14:paraId="24556B12">
                  <w:pPr>
                    <w:pStyle w:val="32"/>
                    <w:spacing w:before="60" w:after="60"/>
                    <w:rPr>
                      <w:rFonts w:hint="default" w:ascii="Times New Roman" w:hAnsi="Times New Roman" w:eastAsia="宋体" w:cs="Times New Roman"/>
                      <w:color w:val="auto"/>
                    </w:rPr>
                  </w:pPr>
                </w:p>
              </w:tc>
              <w:tc>
                <w:tcPr>
                  <w:tcW w:w="600" w:type="pct"/>
                  <w:vMerge w:val="continue"/>
                  <w:vAlign w:val="center"/>
                </w:tcPr>
                <w:p w14:paraId="2E00D69B">
                  <w:pPr>
                    <w:pStyle w:val="32"/>
                    <w:spacing w:before="60" w:after="60"/>
                    <w:rPr>
                      <w:rFonts w:hint="default" w:ascii="Times New Roman" w:hAnsi="Times New Roman" w:eastAsia="宋体" w:cs="Times New Roman"/>
                      <w:color w:val="auto"/>
                    </w:rPr>
                  </w:pPr>
                </w:p>
              </w:tc>
            </w:tr>
            <w:tr w14:paraId="0932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412" w:type="pct"/>
                  <w:vAlign w:val="center"/>
                </w:tcPr>
                <w:p w14:paraId="6030A235">
                  <w:pPr>
                    <w:pStyle w:val="32"/>
                    <w:spacing w:before="60" w:after="6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DA002颗粒物</w:t>
                  </w:r>
                </w:p>
              </w:tc>
              <w:tc>
                <w:tcPr>
                  <w:tcW w:w="504" w:type="pct"/>
                  <w:vAlign w:val="center"/>
                </w:tcPr>
                <w:p w14:paraId="1E97A46F">
                  <w:pPr>
                    <w:spacing w:before="60" w:beforeLines="25" w:after="60" w:afterLines="25"/>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34.371</w:t>
                  </w:r>
                </w:p>
              </w:tc>
              <w:tc>
                <w:tcPr>
                  <w:tcW w:w="363" w:type="pct"/>
                  <w:vAlign w:val="center"/>
                </w:tcPr>
                <w:p w14:paraId="3DF5034D">
                  <w:pPr>
                    <w:spacing w:before="60" w:beforeLines="25" w:after="60" w:afterLines="25"/>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100%</w:t>
                  </w:r>
                </w:p>
              </w:tc>
              <w:tc>
                <w:tcPr>
                  <w:tcW w:w="775" w:type="pct"/>
                  <w:vAlign w:val="center"/>
                </w:tcPr>
                <w:p w14:paraId="04B0751F">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多管除尘+布袋除尘</w:t>
                  </w:r>
                </w:p>
              </w:tc>
              <w:tc>
                <w:tcPr>
                  <w:tcW w:w="418" w:type="pct"/>
                  <w:vAlign w:val="center"/>
                </w:tcPr>
                <w:p w14:paraId="49D9478C">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降至</w:t>
                  </w:r>
                  <w:r>
                    <w:rPr>
                      <w:rFonts w:hint="default" w:ascii="Times New Roman" w:hAnsi="Times New Roman" w:eastAsia="宋体" w:cs="Times New Roman"/>
                      <w:color w:val="auto"/>
                      <w:lang w:val="en-US" w:eastAsia="zh-CN"/>
                    </w:rPr>
                    <w:t>90</w:t>
                  </w:r>
                  <w:r>
                    <w:rPr>
                      <w:rFonts w:hint="default" w:ascii="Times New Roman" w:hAnsi="Times New Roman" w:eastAsia="宋体" w:cs="Times New Roman"/>
                      <w:color w:val="auto"/>
                    </w:rPr>
                    <w:t>%</w:t>
                  </w:r>
                </w:p>
              </w:tc>
              <w:tc>
                <w:tcPr>
                  <w:tcW w:w="512" w:type="pct"/>
                  <w:vAlign w:val="center"/>
                </w:tcPr>
                <w:p w14:paraId="490FD5C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000</w:t>
                  </w:r>
                </w:p>
              </w:tc>
              <w:tc>
                <w:tcPr>
                  <w:tcW w:w="456" w:type="pct"/>
                  <w:vAlign w:val="center"/>
                </w:tcPr>
                <w:p w14:paraId="672D5D65">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35</w:t>
                  </w:r>
                </w:p>
              </w:tc>
              <w:tc>
                <w:tcPr>
                  <w:tcW w:w="375" w:type="pct"/>
                  <w:vAlign w:val="center"/>
                </w:tcPr>
                <w:p w14:paraId="690EFD39">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81" w:type="pct"/>
                  <w:vAlign w:val="center"/>
                </w:tcPr>
                <w:p w14:paraId="418BCF58">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159.67</w:t>
                  </w:r>
                </w:p>
              </w:tc>
              <w:tc>
                <w:tcPr>
                  <w:tcW w:w="600" w:type="pct"/>
                  <w:vAlign w:val="center"/>
                </w:tcPr>
                <w:p w14:paraId="68B29239">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0.958</w:t>
                  </w:r>
                </w:p>
              </w:tc>
            </w:tr>
          </w:tbl>
          <w:p w14:paraId="61A68995">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根据上表，</w:t>
            </w:r>
            <w:r>
              <w:rPr>
                <w:rFonts w:hint="default" w:ascii="Times New Roman" w:hAnsi="Times New Roman" w:eastAsia="宋体" w:cs="Times New Roman"/>
                <w:color w:val="auto"/>
                <w:sz w:val="21"/>
                <w:szCs w:val="21"/>
                <w:lang w:val="en-US" w:eastAsia="zh-CN"/>
              </w:rPr>
              <w:t>TA</w:t>
            </w: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废气在环保设施</w:t>
            </w:r>
            <w:r>
              <w:rPr>
                <w:rFonts w:hint="default" w:ascii="Times New Roman" w:hAnsi="Times New Roman" w:eastAsia="宋体" w:cs="Times New Roman"/>
                <w:color w:val="auto"/>
                <w:lang w:val="en-US" w:eastAsia="zh-CN"/>
              </w:rPr>
              <w:t>布袋除尘器发生烧袋</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除尘</w:t>
            </w:r>
            <w:r>
              <w:rPr>
                <w:rFonts w:hint="default" w:ascii="Times New Roman" w:hAnsi="Times New Roman" w:eastAsia="宋体" w:cs="Times New Roman"/>
                <w:color w:val="auto"/>
              </w:rPr>
              <w:t>效率降至</w:t>
            </w:r>
            <w:r>
              <w:rPr>
                <w:rFonts w:hint="default" w:ascii="Times New Roman" w:hAnsi="Times New Roman" w:eastAsia="宋体" w:cs="Times New Roman"/>
                <w:color w:val="auto"/>
                <w:lang w:val="en-US" w:eastAsia="zh-CN"/>
              </w:rPr>
              <w:t>90</w:t>
            </w:r>
            <w:r>
              <w:rPr>
                <w:rFonts w:hint="default" w:ascii="Times New Roman" w:hAnsi="Times New Roman" w:eastAsia="宋体" w:cs="Times New Roman"/>
                <w:color w:val="auto"/>
              </w:rPr>
              <w:t>%</w:t>
            </w:r>
            <w:r>
              <w:rPr>
                <w:rFonts w:hint="default" w:ascii="Times New Roman" w:hAnsi="Times New Roman" w:eastAsia="宋体" w:cs="Times New Roman"/>
                <w:color w:val="auto"/>
                <w:sz w:val="21"/>
                <w:szCs w:val="21"/>
              </w:rPr>
              <w:t>的情况下，</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会超标排放，危害大气环境。建设单位应严格控制废气非正常排放，并采取以下措施：</w:t>
            </w:r>
          </w:p>
          <w:p w14:paraId="4CF8F24B">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①制定环保设备例行检查制度，加强定期维护保养，发现风机、处理设施故障、损坏或排风管道破损时，应立即停止生产活动，对设备或管道进行维修，待恢复正常后方正常运行。</w:t>
            </w:r>
          </w:p>
          <w:p w14:paraId="057406EF">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②根据废气检测频次，每半年对废气处理装置进行一次检维修，活性炭及时更换，确保净化效率符合要求；检修时应停止生产活动运行，杜绝废气未经处理直接排放。</w:t>
            </w:r>
          </w:p>
          <w:p w14:paraId="4F3AB093">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③设环保管理专员，对环保管理人员及技术人员进行岗位培训，委托具有专业资质的环境检测单位对项目排放的各类废气污染物进行定期监测。</w:t>
            </w:r>
          </w:p>
          <w:p w14:paraId="1994E89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4.2.5 环境影响分析</w:t>
            </w:r>
          </w:p>
          <w:p w14:paraId="00ACE0D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采取的废气污染治理措施可行，废气收集效率和处理效率高，有组织排放废气各因子能够做到稳定达标排放，建设单位在严格执行本环评提出的各项污染防治措施后，在开展自行监测和日常环境监理的前提下，不会明显降低项目区域大气环境质量，对项目区大气环境的影响在可接受范围内。</w:t>
            </w:r>
          </w:p>
          <w:p w14:paraId="033AAA72">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4.3 废水环境影响和治理措施</w:t>
            </w:r>
          </w:p>
          <w:p w14:paraId="7CA9811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w:t>
            </w:r>
            <w:r>
              <w:rPr>
                <w:rFonts w:hint="default" w:ascii="Times New Roman" w:hAnsi="Times New Roman" w:eastAsia="宋体" w:cs="Times New Roman"/>
                <w:color w:val="auto"/>
                <w:lang w:val="en-US" w:eastAsia="zh-CN"/>
              </w:rPr>
              <w:t>生产废水为制胶、糊胶设备清洗废水、锅炉软水制备产生的废水、锅炉排污水、车间清洁废水；制胶、糊胶设备清洗废水暂存于清洗桶内，</w:t>
            </w:r>
            <w:r>
              <w:rPr>
                <w:rFonts w:hint="default" w:ascii="Times New Roman" w:hAnsi="Times New Roman" w:eastAsia="宋体" w:cs="Times New Roman"/>
                <w:color w:val="auto"/>
                <w:sz w:val="21"/>
                <w:szCs w:val="21"/>
                <w:lang w:val="en-US" w:eastAsia="zh-CN"/>
              </w:rPr>
              <w:t>回用于制胶；</w:t>
            </w:r>
            <w:r>
              <w:rPr>
                <w:rFonts w:hint="default" w:ascii="Times New Roman" w:hAnsi="Times New Roman" w:eastAsia="宋体" w:cs="Times New Roman"/>
                <w:color w:val="auto"/>
                <w:lang w:val="en-US" w:eastAsia="zh-CN"/>
              </w:rPr>
              <w:t>锅炉软水制备产生的废水、锅炉排污水进入</w:t>
            </w:r>
            <w:r>
              <w:rPr>
                <w:rFonts w:hint="default" w:ascii="Times New Roman" w:hAnsi="Times New Roman" w:eastAsia="宋体" w:cs="Times New Roman"/>
                <w:color w:val="auto"/>
                <w:sz w:val="21"/>
                <w:szCs w:val="21"/>
                <w:lang w:val="en-US" w:eastAsia="zh-CN"/>
              </w:rPr>
              <w:t>依托云南新兴仁恒包装材料有限公司40m³/d的生活污水处理设施处理达标后回用于绿化及厂区洒水降尘</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1"/>
                <w:lang w:val="en-US" w:eastAsia="zh-CN"/>
              </w:rPr>
              <w:t>本项目不新增劳动定员，不新增生活污水，生活污水依托云南新兴仁恒包装材料有限公司40m³/d的生活污水处理设施处理达标后回用于绿化及厂区洒水降尘</w:t>
            </w:r>
            <w:r>
              <w:rPr>
                <w:rFonts w:hint="default" w:ascii="Times New Roman" w:hAnsi="Times New Roman" w:eastAsia="宋体" w:cs="Times New Roman"/>
                <w:color w:val="auto"/>
                <w:sz w:val="21"/>
                <w:szCs w:val="21"/>
              </w:rPr>
              <w:t>。</w:t>
            </w:r>
          </w:p>
          <w:p w14:paraId="773A7294">
            <w:pPr>
              <w:snapToGrid w:val="0"/>
              <w:spacing w:line="360" w:lineRule="auto"/>
              <w:ind w:firstLine="482"/>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生活污水处理可行性分析</w:t>
            </w:r>
          </w:p>
          <w:p w14:paraId="19B5D492">
            <w:pPr>
              <w:snapToGrid w:val="0"/>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本项目现有劳动定员20人，可不新增劳动定员，不新增生活污水。根据</w:t>
            </w:r>
            <w:r>
              <w:rPr>
                <w:rFonts w:hint="default" w:ascii="Times New Roman" w:hAnsi="Times New Roman" w:eastAsia="宋体" w:cs="Times New Roman"/>
                <w:color w:val="auto"/>
                <w:kern w:val="2"/>
                <w:sz w:val="21"/>
                <w:szCs w:val="21"/>
                <w:lang w:val="en-US" w:eastAsia="zh-CN" w:bidi="ar-SA"/>
              </w:rPr>
              <w:t>《云南兴恒包装瓦楞纸箱生产线搬改建设项目竣工环境保护验收监测报告表》可知，生活污水进入</w:t>
            </w:r>
            <w:r>
              <w:rPr>
                <w:rFonts w:hint="default" w:ascii="Times New Roman" w:hAnsi="Times New Roman" w:eastAsia="宋体" w:cs="Times New Roman"/>
                <w:color w:val="auto"/>
                <w:sz w:val="21"/>
                <w:szCs w:val="21"/>
                <w:u w:val="none"/>
                <w:lang w:val="en-US" w:eastAsia="zh-CN" w:bidi="ar-SA"/>
              </w:rPr>
              <w:t>新兴</w:t>
            </w:r>
            <w:r>
              <w:rPr>
                <w:rFonts w:hint="default" w:ascii="Times New Roman" w:hAnsi="Times New Roman" w:eastAsia="宋体" w:cs="Times New Roman"/>
                <w:color w:val="auto"/>
                <w:sz w:val="21"/>
                <w:szCs w:val="21"/>
                <w:u w:val="none"/>
                <w:lang w:val="en-US" w:eastAsia="zh-CN"/>
              </w:rPr>
              <w:t>仁恒</w:t>
            </w:r>
            <w:r>
              <w:rPr>
                <w:rFonts w:hint="default" w:ascii="Times New Roman" w:hAnsi="Times New Roman" w:eastAsia="宋体" w:cs="Times New Roman"/>
                <w:color w:val="auto"/>
                <w:kern w:val="2"/>
                <w:sz w:val="21"/>
                <w:szCs w:val="21"/>
                <w:lang w:val="en-US" w:eastAsia="zh-CN" w:bidi="ar-SA"/>
              </w:rPr>
              <w:t>40m³/d污水处理设施处理达标后，回用于绿化和洒水降尘。</w:t>
            </w:r>
          </w:p>
          <w:p w14:paraId="1923B239">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r>
              <w:rPr>
                <w:rFonts w:hint="default" w:ascii="Times New Roman" w:hAnsi="Times New Roman" w:eastAsia="宋体" w:cs="Times New Roman"/>
                <w:color w:val="auto"/>
                <w:szCs w:val="21"/>
                <w:lang w:val="en-US" w:eastAsia="zh-CN"/>
              </w:rPr>
              <w:t>生产污水</w:t>
            </w:r>
            <w:r>
              <w:rPr>
                <w:rFonts w:hint="default" w:ascii="Times New Roman" w:hAnsi="Times New Roman" w:eastAsia="宋体" w:cs="Times New Roman"/>
                <w:color w:val="auto"/>
                <w:szCs w:val="21"/>
              </w:rPr>
              <w:t>处理可行技术分析</w:t>
            </w:r>
          </w:p>
          <w:p w14:paraId="16424716">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A、制胶、糊胶设备清洗废水</w:t>
            </w:r>
          </w:p>
          <w:p w14:paraId="4ED17679">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制胶、糊胶设备清洗废水产生量为0.2m³/d，60m³/a；本项目预计年使用800t自制淀粉胶，采用1%氢氧化钠、60%的淀粉、39%的水配比，则年使用水312t，1.04t/d。这部分可回收后用于制胶，企业还需要使用新鲜水0.84m³/d，252m³/a</w:t>
            </w:r>
            <w:r>
              <w:rPr>
                <w:rFonts w:hint="default" w:ascii="Times New Roman" w:hAnsi="Times New Roman" w:eastAsia="宋体" w:cs="Times New Roman"/>
                <w:color w:val="auto"/>
              </w:rPr>
              <w:t>。</w:t>
            </w:r>
          </w:p>
          <w:p w14:paraId="731AA136">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B、锅炉软水制备产生的废水、锅炉排污水</w:t>
            </w:r>
          </w:p>
          <w:p w14:paraId="5C501E5F">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锅炉为瓦楞纸板生产线供热，供热方式为间接供热，锅炉蒸汽冷凝成水后，经热缸回水系统将冷凝水返回至锅炉，根据企业提供的资料，每天需要补充软水2m³，项目使用离子交换软水制备系统，制备率为80%，</w:t>
            </w:r>
            <w:r>
              <w:rPr>
                <w:rFonts w:hint="default" w:ascii="Times New Roman" w:hAnsi="Times New Roman" w:eastAsia="宋体" w:cs="Times New Roman"/>
                <w:color w:val="auto"/>
                <w:lang w:val="en-US" w:eastAsia="zh-CN"/>
              </w:rPr>
              <w:t>则每天使用自来水2.5m³，软水制备废水生产量为0.5m³/d，150m³/a。</w:t>
            </w:r>
          </w:p>
          <w:p w14:paraId="17E00623">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根据设备商提供的数据，每周锅炉需要进行一次排污水，排出量为100-120L/次，全年合计生产43周，最大产生量为5.16m³/a，0.0172m³/d。</w:t>
            </w:r>
          </w:p>
          <w:p w14:paraId="27470842">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C、车间清洁废水</w:t>
            </w:r>
          </w:p>
          <w:p w14:paraId="2AA0C4D9">
            <w:pPr>
              <w:adjustRightInd w:val="0"/>
              <w:snapToGrid w:val="0"/>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生产车间新增清洁面积为合计需要打扫的面积为</w:t>
            </w:r>
            <w:r>
              <w:rPr>
                <w:rFonts w:hint="default" w:ascii="Times New Roman" w:hAnsi="Times New Roman" w:eastAsia="宋体" w:cs="Times New Roman"/>
                <w:color w:val="auto"/>
                <w:szCs w:val="21"/>
                <w:lang w:val="en-US" w:eastAsia="zh-CN"/>
              </w:rPr>
              <w:t>5583.7</w:t>
            </w:r>
            <w:r>
              <w:rPr>
                <w:rFonts w:hint="default" w:ascii="Times New Roman" w:hAnsi="Times New Roman" w:eastAsia="宋体" w:cs="Times New Roman"/>
                <w:color w:val="auto"/>
                <w:lang w:val="en-US" w:eastAsia="zh-CN"/>
              </w:rPr>
              <w:t>㎡，需要每周进行一次清洗（按50次/a计算），根据</w:t>
            </w:r>
            <w:r>
              <w:rPr>
                <w:rFonts w:hint="default" w:ascii="Times New Roman" w:hAnsi="Times New Roman" w:eastAsia="宋体" w:cs="Times New Roman"/>
                <w:color w:val="auto"/>
              </w:rPr>
              <w:t>《云南省地方标准用水定额》（GB53/T 168-2019)，</w:t>
            </w:r>
            <w:r>
              <w:rPr>
                <w:rFonts w:hint="default" w:ascii="Times New Roman" w:hAnsi="Times New Roman" w:eastAsia="宋体" w:cs="Times New Roman"/>
                <w:color w:val="auto"/>
                <w:lang w:val="en-US" w:eastAsia="zh-CN"/>
              </w:rPr>
              <w:t>用水定额按照1L/㎡·次，合计用水量为279m³/a，合计0.93m³/d，产污系数按0.8计算，则废水产生量为0.75m³/d，223.2m³/a。</w:t>
            </w:r>
          </w:p>
          <w:p w14:paraId="5BD53D2A">
            <w:pPr>
              <w:adjustRightInd w:val="0"/>
              <w:snapToGrid w:val="0"/>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全厂合计产生锅炉软水制备产生的废水、</w:t>
            </w:r>
            <w:r>
              <w:rPr>
                <w:rFonts w:hint="default" w:ascii="Times New Roman" w:hAnsi="Times New Roman" w:eastAsia="宋体" w:cs="Times New Roman"/>
                <w:color w:val="auto"/>
                <w:sz w:val="21"/>
                <w:szCs w:val="21"/>
                <w:lang w:val="en-US" w:eastAsia="zh-CN"/>
              </w:rPr>
              <w:t>锅炉排污水1.2672m³/d，380.16m³/a。</w:t>
            </w:r>
          </w:p>
          <w:p w14:paraId="5831AE10">
            <w:pPr>
              <w:snapToGrid w:val="0"/>
              <w:spacing w:line="360" w:lineRule="auto"/>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a、本40m³/d污水处理设施处理能力依托性分析</w:t>
            </w:r>
          </w:p>
          <w:p w14:paraId="17865F6E">
            <w:pPr>
              <w:adjustRightInd w:val="0"/>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2"/>
                <w:sz w:val="21"/>
                <w:szCs w:val="21"/>
                <w:lang w:val="en-US" w:eastAsia="zh-CN" w:bidi="ar-SA"/>
              </w:rPr>
              <w:t>根据原项目环评和《云南兴恒包装瓦楞纸箱生产线搬改建设项目竣工环境保护验收监测报告表》可知，云南兴恒包装</w:t>
            </w:r>
            <w:r>
              <w:rPr>
                <w:rFonts w:hint="default" w:ascii="Times New Roman" w:hAnsi="Times New Roman" w:eastAsia="宋体" w:cs="Times New Roman"/>
                <w:color w:val="auto"/>
                <w:sz w:val="21"/>
                <w:szCs w:val="21"/>
                <w:u w:val="none"/>
                <w:lang w:val="en-US" w:eastAsia="zh-CN"/>
              </w:rPr>
              <w:t>全厂最大单日污水产生量为1.78m³/d</w:t>
            </w:r>
            <w:r>
              <w:rPr>
                <w:rFonts w:hint="default" w:ascii="Times New Roman" w:hAnsi="Times New Roman" w:eastAsia="宋体" w:cs="Times New Roman"/>
                <w:color w:val="auto"/>
                <w:sz w:val="21"/>
                <w:szCs w:val="21"/>
                <w:u w:val="none"/>
                <w:lang w:val="en-US" w:eastAsia="zh-CN" w:bidi="ar-SA"/>
              </w:rPr>
              <w:t>，新兴</w:t>
            </w:r>
            <w:r>
              <w:rPr>
                <w:rFonts w:hint="default" w:ascii="Times New Roman" w:hAnsi="Times New Roman" w:eastAsia="宋体" w:cs="Times New Roman"/>
                <w:color w:val="auto"/>
                <w:sz w:val="21"/>
                <w:szCs w:val="21"/>
                <w:u w:val="none"/>
                <w:lang w:val="en-US" w:eastAsia="zh-CN"/>
              </w:rPr>
              <w:t>仁恒自身污水产生量10.321m³/d，污水处理站处理规模为40m³/d，全厂剩余处理剩余负荷为27.899m³/d。本项目</w:t>
            </w:r>
            <w:r>
              <w:rPr>
                <w:rFonts w:hint="default" w:ascii="Times New Roman" w:hAnsi="Times New Roman" w:eastAsia="宋体" w:cs="Times New Roman"/>
                <w:color w:val="auto"/>
                <w:lang w:val="en-US" w:eastAsia="zh-CN"/>
              </w:rPr>
              <w:t>全厂合计产生锅炉软水制备产生的废水、锅炉排污水</w:t>
            </w:r>
            <w:r>
              <w:rPr>
                <w:rFonts w:hint="default" w:ascii="Times New Roman" w:hAnsi="Times New Roman" w:eastAsia="宋体" w:cs="Times New Roman"/>
                <w:color w:val="auto"/>
                <w:sz w:val="21"/>
                <w:szCs w:val="21"/>
                <w:lang w:val="en-US" w:eastAsia="zh-CN"/>
              </w:rPr>
              <w:t>1.2672</w:t>
            </w:r>
            <w:r>
              <w:rPr>
                <w:rFonts w:hint="default" w:ascii="Times New Roman" w:hAnsi="Times New Roman" w:eastAsia="宋体" w:cs="Times New Roman"/>
                <w:color w:val="auto"/>
                <w:lang w:val="en-US" w:eastAsia="zh-CN"/>
              </w:rPr>
              <w:t>m³/d，，剩余负荷足够处理。</w:t>
            </w:r>
          </w:p>
          <w:p w14:paraId="355A912D">
            <w:pPr>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b、</w:t>
            </w:r>
            <w:r>
              <w:rPr>
                <w:rFonts w:hint="default" w:ascii="Times New Roman" w:hAnsi="Times New Roman" w:eastAsia="宋体" w:cs="Times New Roman"/>
                <w:color w:val="auto"/>
                <w:lang w:val="en-US" w:eastAsia="zh-CN"/>
              </w:rPr>
              <w:t>锅炉软水制备产生的废水、锅炉排污水不外排可行性分析</w:t>
            </w:r>
          </w:p>
          <w:p w14:paraId="2AE62DB9">
            <w:pPr>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根据《</w:t>
            </w:r>
            <w:r>
              <w:rPr>
                <w:rFonts w:hint="default" w:ascii="Times New Roman" w:hAnsi="Times New Roman" w:eastAsia="宋体" w:cs="Times New Roman"/>
                <w:color w:val="auto"/>
                <w:sz w:val="21"/>
                <w:szCs w:val="21"/>
                <w:u w:val="none"/>
                <w:lang w:val="en-US" w:eastAsia="zh-CN" w:bidi="ar-SA"/>
              </w:rPr>
              <w:t>云南新兴仁恒包装材料有限公司内衬纸、框架纸年产能改建项目环境影响报告表</w:t>
            </w:r>
            <w:r>
              <w:rPr>
                <w:rFonts w:hint="default" w:ascii="Times New Roman" w:hAnsi="Times New Roman" w:eastAsia="宋体" w:cs="Times New Roman"/>
                <w:color w:val="auto"/>
                <w:sz w:val="21"/>
                <w:szCs w:val="21"/>
                <w:u w:val="none"/>
                <w:lang w:val="en-US" w:eastAsia="zh-CN"/>
              </w:rPr>
              <w:t>》及《</w:t>
            </w:r>
            <w:r>
              <w:rPr>
                <w:rFonts w:hint="default" w:ascii="Times New Roman" w:hAnsi="Times New Roman" w:eastAsia="宋体" w:cs="Times New Roman"/>
                <w:color w:val="auto"/>
                <w:sz w:val="21"/>
                <w:szCs w:val="21"/>
                <w:u w:val="none"/>
                <w:lang w:val="en-US" w:eastAsia="zh-CN" w:bidi="ar-SA"/>
              </w:rPr>
              <w:t>云南新兴仁恒包装材料有限公司内衬纸、框架纸年产能改建项目竣工环境保护验收监测报告表</w:t>
            </w:r>
            <w:r>
              <w:rPr>
                <w:rFonts w:hint="default" w:ascii="Times New Roman" w:hAnsi="Times New Roman" w:eastAsia="宋体" w:cs="Times New Roman"/>
                <w:color w:val="auto"/>
                <w:sz w:val="21"/>
                <w:szCs w:val="21"/>
                <w:u w:val="none"/>
                <w:lang w:val="en-US" w:eastAsia="zh-CN"/>
              </w:rPr>
              <w:t>》可知新兴仁恒现拥有绿化面积3333㎡，需要洒水降尘的道路场地8000㎡，绿化及厂区降尘用水需求量为34m³/d；</w:t>
            </w:r>
            <w:r>
              <w:rPr>
                <w:rFonts w:hint="default" w:ascii="Times New Roman" w:hAnsi="Times New Roman" w:eastAsia="宋体" w:cs="Times New Roman"/>
                <w:color w:val="auto"/>
                <w:kern w:val="2"/>
                <w:sz w:val="21"/>
                <w:szCs w:val="21"/>
                <w:lang w:val="en-US" w:eastAsia="zh-CN" w:bidi="ar-SA"/>
              </w:rPr>
              <w:t>《云南兴恒包装瓦楞纸箱生产线搬改建设项目竣工环境保护验收监测报告表》可知</w:t>
            </w:r>
            <w:r>
              <w:rPr>
                <w:rFonts w:hint="default" w:ascii="Times New Roman" w:hAnsi="Times New Roman" w:eastAsia="宋体" w:cs="Times New Roman"/>
                <w:color w:val="auto"/>
                <w:sz w:val="21"/>
                <w:szCs w:val="21"/>
                <w:u w:val="none"/>
                <w:lang w:val="en-US" w:eastAsia="zh-CN"/>
              </w:rPr>
              <w:t>现阶段的回用水量为12.101m³/d，还需要补充新鲜水21.899m³/d。本项目</w:t>
            </w:r>
            <w:r>
              <w:rPr>
                <w:rFonts w:hint="default" w:ascii="Times New Roman" w:hAnsi="Times New Roman" w:eastAsia="宋体" w:cs="Times New Roman"/>
                <w:color w:val="auto"/>
                <w:lang w:val="en-US" w:eastAsia="zh-CN"/>
              </w:rPr>
              <w:t>全厂合计产生锅炉软水制备产生的废水、锅炉排污水</w:t>
            </w:r>
            <w:r>
              <w:rPr>
                <w:rFonts w:hint="default" w:ascii="Times New Roman" w:hAnsi="Times New Roman" w:eastAsia="宋体" w:cs="Times New Roman"/>
                <w:color w:val="auto"/>
                <w:sz w:val="21"/>
                <w:szCs w:val="21"/>
                <w:lang w:val="en-US" w:eastAsia="zh-CN"/>
              </w:rPr>
              <w:t>1.2672</w:t>
            </w:r>
            <w:r>
              <w:rPr>
                <w:rFonts w:hint="default" w:ascii="Times New Roman" w:hAnsi="Times New Roman" w:eastAsia="宋体" w:cs="Times New Roman"/>
                <w:color w:val="auto"/>
                <w:lang w:val="en-US" w:eastAsia="zh-CN"/>
              </w:rPr>
              <w:t>m³/d，本项目废水量较小，依托现有回用方式可行。</w:t>
            </w:r>
          </w:p>
          <w:p w14:paraId="68D3BBDF">
            <w:pPr>
              <w:snapToGrid w:val="0"/>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c、</w:t>
            </w:r>
            <w:r>
              <w:rPr>
                <w:rFonts w:hint="default" w:ascii="Times New Roman" w:hAnsi="Times New Roman" w:eastAsia="宋体" w:cs="Times New Roman"/>
                <w:color w:val="auto"/>
                <w:kern w:val="2"/>
                <w:sz w:val="21"/>
                <w:szCs w:val="21"/>
                <w:lang w:val="en-US" w:eastAsia="zh-CN" w:bidi="ar-SA"/>
              </w:rPr>
              <w:t>40m³/d污水处理设施处理达标可行性分析</w:t>
            </w:r>
          </w:p>
          <w:p w14:paraId="432E5FC6">
            <w:pPr>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2025年08月14日至15日云南清源环境科技有限公司对项目污水处理系统出水进行了监测，出水浓度</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rPr>
              <w:t>《城市污水再生利用 城市杂用水水质》（GB/T 18920-2020）“表1城市杂用水水质基本控制项目及限值</w:t>
            </w:r>
            <w:r>
              <w:rPr>
                <w:rFonts w:hint="default" w:ascii="Times New Roman" w:hAnsi="Times New Roman" w:eastAsia="宋体" w:cs="Times New Roman"/>
                <w:color w:val="auto"/>
                <w:sz w:val="21"/>
                <w:szCs w:val="21"/>
                <w:lang w:val="en-US" w:eastAsia="zh-CN"/>
              </w:rPr>
              <w:t>城市绿化限值</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val="en-US" w:eastAsia="zh-CN" w:bidi="ar-SA"/>
              </w:rPr>
              <w:t>。本项目</w:t>
            </w:r>
            <w:r>
              <w:rPr>
                <w:rFonts w:hint="default" w:ascii="Times New Roman" w:hAnsi="Times New Roman" w:eastAsia="宋体" w:cs="Times New Roman"/>
                <w:color w:val="auto"/>
                <w:lang w:val="en-US" w:eastAsia="zh-CN"/>
              </w:rPr>
              <w:t>锅炉软水制备产生的废水、锅炉排污水、车间清洗废水量较小，废水中污染物较低，对污水处理系统负荷和处理效果影响不大</w:t>
            </w:r>
            <w:r>
              <w:rPr>
                <w:rFonts w:hint="default" w:ascii="Times New Roman" w:hAnsi="Times New Roman" w:eastAsia="宋体" w:cs="Times New Roman"/>
                <w:color w:val="auto"/>
                <w:kern w:val="2"/>
                <w:sz w:val="21"/>
                <w:szCs w:val="21"/>
                <w:lang w:val="en-US" w:eastAsia="zh-CN" w:bidi="ar-SA"/>
              </w:rPr>
              <w:t>。</w:t>
            </w:r>
          </w:p>
          <w:p w14:paraId="1DACA26A">
            <w:pPr>
              <w:pStyle w:val="11"/>
              <w:spacing w:before="0" w:after="0" w:line="360" w:lineRule="auto"/>
              <w:ind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）自行监测要求</w:t>
            </w:r>
          </w:p>
          <w:p w14:paraId="02DF898A">
            <w:pPr>
              <w:pStyle w:val="11"/>
              <w:spacing w:before="0" w:after="0" w:line="360" w:lineRule="auto"/>
              <w:ind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根据《固定污染源排污许可分类管理名录》（2019版），项目属于《名录》第十七项“十七、造纸和纸制品业22中纸制品制造223中有工业废水或者废气排放的”，为简化管理企业。《排污许可证申请与核发技术规范 总则》（HJ 942－2018） 的要求，本项目废水</w:t>
            </w: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val="en-US" w:eastAsia="zh-CN"/>
              </w:rPr>
              <w:t>自行监测计划如下</w:t>
            </w:r>
            <w:r>
              <w:rPr>
                <w:rFonts w:hint="default" w:ascii="Times New Roman" w:hAnsi="Times New Roman" w:eastAsia="宋体" w:cs="Times New Roman"/>
                <w:color w:val="auto"/>
                <w:sz w:val="21"/>
                <w:szCs w:val="21"/>
              </w:rPr>
              <w:t>。</w:t>
            </w:r>
          </w:p>
          <w:p w14:paraId="54AC1C1E">
            <w:pPr>
              <w:widowControl/>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表4-8  废水自行监测要求</w:t>
            </w:r>
          </w:p>
          <w:tbl>
            <w:tblPr>
              <w:tblStyle w:val="26"/>
              <w:tblW w:w="7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9"/>
              <w:gridCol w:w="2823"/>
              <w:gridCol w:w="1508"/>
            </w:tblGrid>
            <w:tr w14:paraId="6463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609" w:type="dxa"/>
                  <w:vAlign w:val="center"/>
                </w:tcPr>
                <w:p w14:paraId="69BF9273">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点位</w:t>
                  </w:r>
                </w:p>
              </w:tc>
              <w:tc>
                <w:tcPr>
                  <w:tcW w:w="2823" w:type="dxa"/>
                  <w:vAlign w:val="center"/>
                </w:tcPr>
                <w:p w14:paraId="756237AA">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监测内容</w:t>
                  </w:r>
                </w:p>
              </w:tc>
              <w:tc>
                <w:tcPr>
                  <w:tcW w:w="1508" w:type="dxa"/>
                  <w:vAlign w:val="center"/>
                </w:tcPr>
                <w:p w14:paraId="53FE788E">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color w:val="auto"/>
                      <w:szCs w:val="21"/>
                    </w:rPr>
                    <w:t>监测频率</w:t>
                  </w:r>
                </w:p>
              </w:tc>
            </w:tr>
            <w:tr w14:paraId="32EF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3609" w:type="dxa"/>
                  <w:vAlign w:val="center"/>
                </w:tcPr>
                <w:p w14:paraId="63B8BAA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拟建坐标为</w:t>
                  </w:r>
                </w:p>
                <w:p w14:paraId="40DD2807">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东经：</w:t>
                  </w:r>
                  <w:r>
                    <w:rPr>
                      <w:rFonts w:hint="default" w:ascii="Times New Roman" w:hAnsi="Times New Roman" w:eastAsia="宋体" w:cs="Times New Roman"/>
                      <w:color w:val="auto"/>
                      <w:szCs w:val="21"/>
                    </w:rPr>
                    <w:t>102°31'49.481"</w:t>
                  </w:r>
                </w:p>
                <w:p w14:paraId="7F557772">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北纬：</w:t>
                  </w:r>
                  <w:r>
                    <w:rPr>
                      <w:rFonts w:hint="default" w:ascii="Times New Roman" w:hAnsi="Times New Roman" w:eastAsia="宋体" w:cs="Times New Roman"/>
                      <w:color w:val="auto"/>
                      <w:szCs w:val="21"/>
                    </w:rPr>
                    <w:t>24°24'34.982"</w:t>
                  </w:r>
                </w:p>
              </w:tc>
              <w:tc>
                <w:tcPr>
                  <w:tcW w:w="2823" w:type="dxa"/>
                  <w:vAlign w:val="center"/>
                </w:tcPr>
                <w:p w14:paraId="0CD447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COD、五日生化需氧量、pH、氨氮、总磷、总氮、动植物油等</w:t>
                  </w:r>
                </w:p>
              </w:tc>
              <w:tc>
                <w:tcPr>
                  <w:tcW w:w="1508" w:type="dxa"/>
                  <w:vAlign w:val="center"/>
                </w:tcPr>
                <w:p w14:paraId="46CC9EA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r>
          </w:tbl>
          <w:p w14:paraId="77292DA7">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4.4 噪声环境影响和治理措施</w:t>
            </w:r>
          </w:p>
          <w:p w14:paraId="01C95263">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4.4.1 运营期噪声产生情况</w:t>
            </w:r>
          </w:p>
          <w:p w14:paraId="236A570A">
            <w:pPr>
              <w:pStyle w:val="31"/>
              <w:ind w:firstLine="420"/>
              <w:rPr>
                <w:rFonts w:hint="default" w:ascii="Times New Roman" w:hAnsi="Times New Roman" w:eastAsia="宋体" w:cs="Times New Roman"/>
                <w:color w:val="auto"/>
              </w:rPr>
            </w:pPr>
            <w:r>
              <w:rPr>
                <w:rStyle w:val="37"/>
                <w:rFonts w:hint="default" w:ascii="Times New Roman" w:hAnsi="Times New Roman" w:eastAsia="宋体" w:cs="Times New Roman"/>
                <w:color w:val="auto"/>
              </w:rPr>
              <w:t>本项目噪声主要产生源为生产设备噪声。</w:t>
            </w:r>
          </w:p>
          <w:p w14:paraId="4199E184">
            <w:pPr>
              <w:pStyle w:val="33"/>
              <w:rPr>
                <w:rFonts w:hint="default" w:ascii="Times New Roman" w:hAnsi="Times New Roman" w:eastAsia="宋体" w:cs="Times New Roman"/>
                <w:color w:val="auto"/>
              </w:rPr>
            </w:pPr>
            <w:r>
              <w:rPr>
                <w:rFonts w:hint="default" w:ascii="Times New Roman" w:hAnsi="Times New Roman" w:eastAsia="宋体" w:cs="Times New Roman"/>
                <w:color w:val="auto"/>
              </w:rPr>
              <w:t>4.4.2 运营期噪声源强预测</w:t>
            </w:r>
          </w:p>
          <w:p w14:paraId="476D6F5A">
            <w:pPr>
              <w:pStyle w:val="31"/>
              <w:snapToGrid w:val="0"/>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zh-CN"/>
              </w:rPr>
              <w:t>（</w:t>
            </w: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val="zh-CN"/>
              </w:rPr>
              <w:t>）</w:t>
            </w:r>
            <w:r>
              <w:rPr>
                <w:rFonts w:hint="default" w:ascii="Times New Roman" w:hAnsi="Times New Roman" w:eastAsia="宋体" w:cs="Times New Roman"/>
                <w:b/>
                <w:bCs/>
                <w:color w:val="auto"/>
              </w:rPr>
              <w:t>生产设备噪声</w:t>
            </w:r>
          </w:p>
          <w:p w14:paraId="4C55A6D6">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本项目主要生产设备为</w:t>
            </w:r>
            <w:r>
              <w:rPr>
                <w:rFonts w:hint="default" w:ascii="Times New Roman" w:hAnsi="Times New Roman" w:eastAsia="宋体" w:cs="Times New Roman"/>
                <w:color w:val="auto"/>
                <w:lang w:val="en-US" w:eastAsia="zh-CN"/>
              </w:rPr>
              <w:t>锅炉</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分切机</w:t>
            </w:r>
            <w:r>
              <w:rPr>
                <w:rFonts w:hint="default" w:ascii="Times New Roman" w:hAnsi="Times New Roman" w:eastAsia="宋体" w:cs="Times New Roman"/>
                <w:color w:val="auto"/>
              </w:rPr>
              <w:t>、风机、</w:t>
            </w:r>
            <w:r>
              <w:rPr>
                <w:rFonts w:hint="default" w:ascii="Times New Roman" w:hAnsi="Times New Roman" w:eastAsia="宋体" w:cs="Times New Roman"/>
                <w:color w:val="auto"/>
                <w:lang w:val="en-US" w:eastAsia="zh-CN"/>
              </w:rPr>
              <w:t>单面机、过胶机、粘合机</w:t>
            </w:r>
            <w:r>
              <w:rPr>
                <w:rFonts w:hint="default" w:ascii="Times New Roman" w:hAnsi="Times New Roman" w:eastAsia="宋体" w:cs="Times New Roman"/>
                <w:color w:val="auto"/>
              </w:rPr>
              <w:t>等，</w:t>
            </w:r>
            <w:r>
              <w:rPr>
                <w:rFonts w:hint="default" w:ascii="Times New Roman" w:hAnsi="Times New Roman" w:eastAsia="宋体" w:cs="Times New Roman"/>
                <w:color w:val="auto"/>
                <w:lang w:val="zh-CN"/>
              </w:rPr>
              <w:t>噪声值一般在</w:t>
            </w:r>
            <w:r>
              <w:rPr>
                <w:rFonts w:hint="default" w:ascii="Times New Roman" w:hAnsi="Times New Roman" w:eastAsia="宋体" w:cs="Times New Roman"/>
                <w:color w:val="auto"/>
              </w:rPr>
              <w:t>80-95</w:t>
            </w:r>
            <w:r>
              <w:rPr>
                <w:rFonts w:hint="default" w:ascii="Times New Roman" w:hAnsi="Times New Roman" w:eastAsia="宋体" w:cs="Times New Roman"/>
                <w:color w:val="auto"/>
                <w:lang w:val="zh-CN"/>
              </w:rPr>
              <w:t>dB（A），</w:t>
            </w:r>
            <w:r>
              <w:rPr>
                <w:rFonts w:hint="default" w:ascii="Times New Roman" w:hAnsi="Times New Roman" w:eastAsia="宋体" w:cs="Times New Roman"/>
                <w:color w:val="auto"/>
              </w:rPr>
              <w:t>采取安装减震垫、厂房隔声等措施削减噪声强度。</w:t>
            </w:r>
          </w:p>
          <w:p w14:paraId="0CEE431A">
            <w:pPr>
              <w:pStyle w:val="31"/>
              <w:ind w:firstLine="420"/>
              <w:rPr>
                <w:rFonts w:hint="default" w:ascii="Times New Roman" w:hAnsi="Times New Roman" w:eastAsia="宋体" w:cs="Times New Roman"/>
                <w:color w:val="auto"/>
              </w:rPr>
            </w:pPr>
          </w:p>
        </w:tc>
      </w:tr>
    </w:tbl>
    <w:p w14:paraId="614C136A">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cols w:space="720" w:num="1"/>
          <w:docGrid w:linePitch="312" w:charSpace="0"/>
        </w:sectPr>
      </w:pPr>
    </w:p>
    <w:tbl>
      <w:tblPr>
        <w:tblStyle w:val="26"/>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991"/>
      </w:tblGrid>
      <w:tr w14:paraId="5133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2" w:type="dxa"/>
          </w:tcPr>
          <w:p w14:paraId="487B8D43">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46E71C4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2B34C0F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21DA754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54D2FB1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3CF68AD3">
            <w:pPr>
              <w:adjustRightInd w:val="0"/>
              <w:snapToGrid w:val="0"/>
              <w:spacing w:line="360" w:lineRule="auto"/>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Cs/>
                <w:color w:val="auto"/>
                <w:szCs w:val="21"/>
              </w:rPr>
              <w:t>措施</w:t>
            </w:r>
          </w:p>
        </w:tc>
        <w:tc>
          <w:tcPr>
            <w:tcW w:w="13991" w:type="dxa"/>
          </w:tcPr>
          <w:p w14:paraId="59389DB6">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表4-10  工业企业噪声源强调查清单（室内声源）</w:t>
            </w:r>
          </w:p>
          <w:tbl>
            <w:tblPr>
              <w:tblStyle w:val="25"/>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43"/>
              <w:gridCol w:w="849"/>
              <w:gridCol w:w="2168"/>
              <w:gridCol w:w="1242"/>
              <w:gridCol w:w="1174"/>
              <w:gridCol w:w="668"/>
              <w:gridCol w:w="828"/>
              <w:gridCol w:w="874"/>
              <w:gridCol w:w="502"/>
              <w:gridCol w:w="984"/>
              <w:gridCol w:w="896"/>
              <w:gridCol w:w="629"/>
              <w:gridCol w:w="924"/>
              <w:gridCol w:w="904"/>
              <w:gridCol w:w="649"/>
            </w:tblGrid>
            <w:tr w14:paraId="6C9B9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61" w:type="pct"/>
                  <w:vMerge w:val="restart"/>
                  <w:noWrap w:val="0"/>
                  <w:vAlign w:val="center"/>
                </w:tcPr>
                <w:p w14:paraId="50B06F1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09" w:type="pct"/>
                  <w:vMerge w:val="restart"/>
                  <w:noWrap w:val="0"/>
                  <w:vAlign w:val="center"/>
                </w:tcPr>
                <w:p w14:paraId="15DB74C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建筑物名称</w:t>
                  </w:r>
                </w:p>
              </w:tc>
              <w:tc>
                <w:tcPr>
                  <w:tcW w:w="789" w:type="pct"/>
                  <w:vMerge w:val="restart"/>
                  <w:noWrap w:val="0"/>
                  <w:vAlign w:val="center"/>
                </w:tcPr>
                <w:p w14:paraId="461D78A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声源名称</w:t>
                  </w:r>
                </w:p>
              </w:tc>
              <w:tc>
                <w:tcPr>
                  <w:tcW w:w="452" w:type="pct"/>
                  <w:vMerge w:val="restart"/>
                  <w:noWrap w:val="0"/>
                  <w:vAlign w:val="center"/>
                </w:tcPr>
                <w:p w14:paraId="178AD61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427" w:type="pct"/>
                  <w:noWrap w:val="0"/>
                  <w:vAlign w:val="center"/>
                </w:tcPr>
                <w:p w14:paraId="2C604F0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声源源强</w:t>
                  </w:r>
                </w:p>
              </w:tc>
              <w:tc>
                <w:tcPr>
                  <w:tcW w:w="243" w:type="pct"/>
                  <w:vMerge w:val="restart"/>
                  <w:noWrap w:val="0"/>
                  <w:vAlign w:val="center"/>
                </w:tcPr>
                <w:p w14:paraId="565174E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声源控制措施</w:t>
                  </w:r>
                </w:p>
              </w:tc>
              <w:tc>
                <w:tcPr>
                  <w:tcW w:w="802" w:type="pct"/>
                  <w:gridSpan w:val="3"/>
                  <w:noWrap w:val="0"/>
                  <w:vAlign w:val="center"/>
                </w:tcPr>
                <w:p w14:paraId="6957ACC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空间相对位置/m</w:t>
                  </w:r>
                </w:p>
              </w:tc>
              <w:tc>
                <w:tcPr>
                  <w:tcW w:w="358" w:type="pct"/>
                  <w:vMerge w:val="restart"/>
                  <w:noWrap w:val="0"/>
                  <w:vAlign w:val="center"/>
                </w:tcPr>
                <w:p w14:paraId="73E11A0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eastAsia="en-US"/>
                    </w:rPr>
                    <w:t>距室内边界距离/m</w:t>
                  </w:r>
                </w:p>
              </w:tc>
              <w:tc>
                <w:tcPr>
                  <w:tcW w:w="326" w:type="pct"/>
                  <w:vMerge w:val="restart"/>
                  <w:noWrap w:val="0"/>
                  <w:vAlign w:val="center"/>
                </w:tcPr>
                <w:p w14:paraId="5C751CA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eastAsia="en-US"/>
                    </w:rPr>
                    <w:t>室内边界声级/dB(A)</w:t>
                  </w:r>
                </w:p>
              </w:tc>
              <w:tc>
                <w:tcPr>
                  <w:tcW w:w="228" w:type="pct"/>
                  <w:vMerge w:val="restart"/>
                  <w:noWrap w:val="0"/>
                  <w:vAlign w:val="center"/>
                </w:tcPr>
                <w:p w14:paraId="0D1E4FF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运行时段h/a</w:t>
                  </w:r>
                </w:p>
              </w:tc>
              <w:tc>
                <w:tcPr>
                  <w:tcW w:w="336" w:type="pct"/>
                  <w:vMerge w:val="restart"/>
                  <w:noWrap w:val="0"/>
                  <w:vAlign w:val="center"/>
                </w:tcPr>
                <w:p w14:paraId="16BC0A4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eastAsia="en-US"/>
                    </w:rPr>
                    <w:t>建筑物插入损失/dB(A)</w:t>
                  </w:r>
                </w:p>
              </w:tc>
              <w:tc>
                <w:tcPr>
                  <w:tcW w:w="565" w:type="pct"/>
                  <w:gridSpan w:val="2"/>
                  <w:noWrap w:val="0"/>
                  <w:vAlign w:val="center"/>
                </w:tcPr>
                <w:p w14:paraId="41CD148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bCs/>
                      <w:color w:val="auto"/>
                      <w:kern w:val="0"/>
                      <w:sz w:val="21"/>
                      <w:szCs w:val="21"/>
                      <w:lang w:eastAsia="en-US"/>
                    </w:rPr>
                  </w:pPr>
                  <w:r>
                    <w:rPr>
                      <w:rFonts w:hint="default" w:ascii="Times New Roman" w:hAnsi="Times New Roman" w:eastAsia="宋体" w:cs="Times New Roman"/>
                      <w:bCs/>
                      <w:color w:val="auto"/>
                      <w:kern w:val="0"/>
                      <w:sz w:val="21"/>
                      <w:szCs w:val="21"/>
                      <w:lang w:eastAsia="en-US"/>
                    </w:rPr>
                    <w:t>建筑物外噪声</w:t>
                  </w:r>
                </w:p>
              </w:tc>
            </w:tr>
            <w:tr w14:paraId="43626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vMerge w:val="continue"/>
                  <w:noWrap w:val="0"/>
                  <w:vAlign w:val="center"/>
                </w:tcPr>
                <w:p w14:paraId="3D8894D3">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09" w:type="pct"/>
                  <w:vMerge w:val="continue"/>
                  <w:noWrap w:val="0"/>
                  <w:vAlign w:val="center"/>
                </w:tcPr>
                <w:p w14:paraId="6E346BA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vMerge w:val="continue"/>
                  <w:noWrap w:val="0"/>
                  <w:vAlign w:val="center"/>
                </w:tcPr>
                <w:p w14:paraId="0C152A7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452" w:type="pct"/>
                  <w:vMerge w:val="continue"/>
                  <w:noWrap w:val="0"/>
                  <w:vAlign w:val="center"/>
                </w:tcPr>
                <w:p w14:paraId="3DC3C57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427" w:type="pct"/>
                  <w:noWrap w:val="0"/>
                  <w:vAlign w:val="center"/>
                </w:tcPr>
                <w:p w14:paraId="3512BFCD">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en-US"/>
                    </w:rPr>
                    <w:t>声功率级/dB(A)</w:t>
                  </w:r>
                </w:p>
              </w:tc>
              <w:tc>
                <w:tcPr>
                  <w:tcW w:w="243" w:type="pct"/>
                  <w:vMerge w:val="continue"/>
                  <w:noWrap w:val="0"/>
                  <w:vAlign w:val="center"/>
                </w:tcPr>
                <w:p w14:paraId="617F8BC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en-US"/>
                    </w:rPr>
                  </w:pPr>
                </w:p>
              </w:tc>
              <w:tc>
                <w:tcPr>
                  <w:tcW w:w="301" w:type="pct"/>
                  <w:noWrap w:val="0"/>
                  <w:vAlign w:val="center"/>
                </w:tcPr>
                <w:p w14:paraId="211002E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318" w:type="pct"/>
                  <w:noWrap w:val="0"/>
                  <w:vAlign w:val="center"/>
                </w:tcPr>
                <w:p w14:paraId="7C57462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182" w:type="pct"/>
                  <w:noWrap w:val="0"/>
                  <w:vAlign w:val="center"/>
                </w:tcPr>
                <w:p w14:paraId="22790CB6">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358" w:type="pct"/>
                  <w:vMerge w:val="continue"/>
                  <w:noWrap w:val="0"/>
                  <w:vAlign w:val="center"/>
                </w:tcPr>
                <w:p w14:paraId="6058C89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26" w:type="pct"/>
                  <w:vMerge w:val="continue"/>
                  <w:noWrap w:val="0"/>
                  <w:vAlign w:val="center"/>
                </w:tcPr>
                <w:p w14:paraId="65CBAFE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228" w:type="pct"/>
                  <w:vMerge w:val="continue"/>
                  <w:noWrap w:val="0"/>
                  <w:vAlign w:val="center"/>
                </w:tcPr>
                <w:p w14:paraId="6DDA7E8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vMerge w:val="continue"/>
                  <w:noWrap w:val="0"/>
                  <w:vAlign w:val="center"/>
                </w:tcPr>
                <w:p w14:paraId="494F35B3">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29" w:type="pct"/>
                  <w:noWrap w:val="0"/>
                  <w:vAlign w:val="center"/>
                </w:tcPr>
                <w:p w14:paraId="12B8CCE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en-US"/>
                    </w:rPr>
                    <w:t>声压级/dB(A)</w:t>
                  </w:r>
                </w:p>
              </w:tc>
              <w:tc>
                <w:tcPr>
                  <w:tcW w:w="236" w:type="pct"/>
                  <w:noWrap w:val="0"/>
                  <w:vAlign w:val="center"/>
                </w:tcPr>
                <w:p w14:paraId="0B5297B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lang w:eastAsia="en-US"/>
                    </w:rPr>
                    <w:t>建筑物外</w:t>
                  </w:r>
                  <w:r>
                    <w:rPr>
                      <w:rFonts w:hint="default" w:ascii="Times New Roman" w:hAnsi="Times New Roman" w:eastAsia="宋体" w:cs="Times New Roman"/>
                      <w:bCs/>
                      <w:color w:val="auto"/>
                      <w:kern w:val="0"/>
                      <w:sz w:val="21"/>
                      <w:szCs w:val="21"/>
                    </w:rPr>
                    <w:t>距离</w:t>
                  </w:r>
                </w:p>
              </w:tc>
            </w:tr>
            <w:tr w14:paraId="7AD5F9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3BC0A62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09" w:type="pct"/>
                  <w:vMerge w:val="restart"/>
                  <w:noWrap w:val="0"/>
                  <w:vAlign w:val="center"/>
                </w:tcPr>
                <w:p w14:paraId="693859E3">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4A</w:t>
                  </w:r>
                  <w:r>
                    <w:rPr>
                      <w:rFonts w:hint="default" w:ascii="Times New Roman" w:hAnsi="Times New Roman" w:eastAsia="宋体" w:cs="Times New Roman"/>
                      <w:color w:val="auto"/>
                      <w:sz w:val="21"/>
                      <w:szCs w:val="21"/>
                    </w:rPr>
                    <w:t>生产车间（1F）</w:t>
                  </w:r>
                </w:p>
              </w:tc>
              <w:tc>
                <w:tcPr>
                  <w:tcW w:w="789" w:type="pct"/>
                  <w:noWrap w:val="0"/>
                  <w:vAlign w:val="center"/>
                </w:tcPr>
                <w:p w14:paraId="0E6A7720">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2"/>
                      <w:sz w:val="21"/>
                      <w:szCs w:val="21"/>
                      <w:vertAlign w:val="baseline"/>
                      <w:lang w:val="en-US" w:eastAsia="zh-CN" w:bidi="ar-SA"/>
                    </w:rPr>
                    <w:t>瓦楞辊机组（单面机）</w:t>
                  </w:r>
                </w:p>
              </w:tc>
              <w:tc>
                <w:tcPr>
                  <w:tcW w:w="452" w:type="pct"/>
                  <w:noWrap w:val="0"/>
                  <w:vAlign w:val="center"/>
                </w:tcPr>
                <w:p w14:paraId="32FEB6E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01AB44F1">
                  <w:pPr>
                    <w:pStyle w:val="32"/>
                    <w:keepNext w:val="0"/>
                    <w:keepLines w:val="0"/>
                    <w:pageBreakBefore w:val="0"/>
                    <w:kinsoku/>
                    <w:wordWrap/>
                    <w:overflowPunct/>
                    <w:topLinePunct w:val="0"/>
                    <w:bidi w:val="0"/>
                    <w:snapToGrid w:val="0"/>
                    <w:spacing w:before="95" w:beforeLines="30" w:after="95" w:afterLines="3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243" w:type="pct"/>
                  <w:vMerge w:val="restart"/>
                  <w:noWrap w:val="0"/>
                  <w:vAlign w:val="center"/>
                </w:tcPr>
                <w:p w14:paraId="1FFF57BD">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zh-CN"/>
                    </w:rPr>
                    <w:t>厂房隔声、</w:t>
                  </w:r>
                  <w:r>
                    <w:rPr>
                      <w:rFonts w:hint="default" w:ascii="Times New Roman" w:hAnsi="Times New Roman" w:eastAsia="宋体" w:cs="Times New Roman"/>
                      <w:color w:val="auto"/>
                      <w:sz w:val="21"/>
                      <w:szCs w:val="21"/>
                      <w:lang w:val="en-US" w:eastAsia="zh-CN"/>
                    </w:rPr>
                    <w:t>基础</w:t>
                  </w:r>
                  <w:r>
                    <w:rPr>
                      <w:rFonts w:hint="default" w:ascii="Times New Roman" w:hAnsi="Times New Roman" w:eastAsia="宋体" w:cs="Times New Roman"/>
                      <w:color w:val="auto"/>
                      <w:sz w:val="21"/>
                      <w:szCs w:val="21"/>
                      <w:lang w:val="zh-CN"/>
                    </w:rPr>
                    <w:t>减震</w:t>
                  </w:r>
                </w:p>
              </w:tc>
              <w:tc>
                <w:tcPr>
                  <w:tcW w:w="802" w:type="pct"/>
                  <w:gridSpan w:val="3"/>
                  <w:noWrap w:val="0"/>
                  <w:vAlign w:val="center"/>
                </w:tcPr>
                <w:p w14:paraId="74D20EE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{58.81,9.22,1}</w:t>
                  </w:r>
                </w:p>
              </w:tc>
              <w:tc>
                <w:tcPr>
                  <w:tcW w:w="358" w:type="pct"/>
                  <w:noWrap w:val="0"/>
                  <w:vAlign w:val="center"/>
                </w:tcPr>
                <w:p w14:paraId="4C21862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6EF5D8EF">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63.45 </w:t>
                  </w:r>
                </w:p>
              </w:tc>
              <w:tc>
                <w:tcPr>
                  <w:tcW w:w="228" w:type="pct"/>
                  <w:vMerge w:val="restart"/>
                  <w:noWrap w:val="0"/>
                  <w:vAlign w:val="center"/>
                </w:tcPr>
                <w:p w14:paraId="253B134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2400</w:t>
                  </w:r>
                </w:p>
              </w:tc>
              <w:tc>
                <w:tcPr>
                  <w:tcW w:w="336" w:type="pct"/>
                  <w:noWrap w:val="0"/>
                  <w:vAlign w:val="center"/>
                </w:tcPr>
                <w:p w14:paraId="2EF6569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6650237E">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48.45 </w:t>
                  </w:r>
                </w:p>
              </w:tc>
              <w:tc>
                <w:tcPr>
                  <w:tcW w:w="236" w:type="pct"/>
                  <w:noWrap w:val="0"/>
                  <w:vAlign w:val="center"/>
                </w:tcPr>
                <w:p w14:paraId="65EED62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1F5CF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7D5D6134">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09" w:type="pct"/>
                  <w:vMerge w:val="continue"/>
                  <w:noWrap w:val="0"/>
                  <w:vAlign w:val="center"/>
                </w:tcPr>
                <w:p w14:paraId="6E62C28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789" w:type="pct"/>
                  <w:noWrap w:val="0"/>
                  <w:vAlign w:val="center"/>
                </w:tcPr>
                <w:p w14:paraId="47648F2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糊胶机（过胶机）</w:t>
                  </w:r>
                </w:p>
              </w:tc>
              <w:tc>
                <w:tcPr>
                  <w:tcW w:w="452" w:type="pct"/>
                  <w:noWrap w:val="0"/>
                  <w:vAlign w:val="center"/>
                </w:tcPr>
                <w:p w14:paraId="3B8C477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189F8BA9">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243" w:type="pct"/>
                  <w:vMerge w:val="continue"/>
                  <w:noWrap w:val="0"/>
                  <w:vAlign w:val="center"/>
                </w:tcPr>
                <w:p w14:paraId="26809C1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zh-CN"/>
                    </w:rPr>
                  </w:pPr>
                </w:p>
              </w:tc>
              <w:tc>
                <w:tcPr>
                  <w:tcW w:w="802" w:type="pct"/>
                  <w:gridSpan w:val="3"/>
                  <w:noWrap w:val="0"/>
                  <w:vAlign w:val="center"/>
                </w:tcPr>
                <w:p w14:paraId="1A6A390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{59.55,2.39,1}</w:t>
                  </w:r>
                </w:p>
              </w:tc>
              <w:tc>
                <w:tcPr>
                  <w:tcW w:w="358" w:type="pct"/>
                  <w:noWrap w:val="0"/>
                  <w:vAlign w:val="center"/>
                </w:tcPr>
                <w:p w14:paraId="0581847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2F3DA5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63.45 </w:t>
                  </w:r>
                </w:p>
              </w:tc>
              <w:tc>
                <w:tcPr>
                  <w:tcW w:w="228" w:type="pct"/>
                  <w:vMerge w:val="continue"/>
                  <w:noWrap w:val="0"/>
                  <w:vAlign w:val="center"/>
                </w:tcPr>
                <w:p w14:paraId="2E9F180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36" w:type="pct"/>
                  <w:noWrap w:val="0"/>
                  <w:vAlign w:val="center"/>
                </w:tcPr>
                <w:p w14:paraId="69D773EB">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5F75DC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48.45 </w:t>
                  </w:r>
                </w:p>
              </w:tc>
              <w:tc>
                <w:tcPr>
                  <w:tcW w:w="236" w:type="pct"/>
                  <w:noWrap w:val="0"/>
                  <w:vAlign w:val="center"/>
                </w:tcPr>
                <w:p w14:paraId="6203FF8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0F32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28DEFFE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09" w:type="pct"/>
                  <w:vMerge w:val="continue"/>
                  <w:noWrap w:val="0"/>
                  <w:vAlign w:val="center"/>
                </w:tcPr>
                <w:p w14:paraId="542E846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789" w:type="pct"/>
                  <w:noWrap w:val="0"/>
                  <w:vAlign w:val="center"/>
                </w:tcPr>
                <w:p w14:paraId="098B88C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接纸机（粘合机）</w:t>
                  </w:r>
                </w:p>
              </w:tc>
              <w:tc>
                <w:tcPr>
                  <w:tcW w:w="452" w:type="pct"/>
                  <w:noWrap w:val="0"/>
                  <w:vAlign w:val="center"/>
                </w:tcPr>
                <w:p w14:paraId="7A41F3B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0CD21BBE">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243" w:type="pct"/>
                  <w:vMerge w:val="continue"/>
                  <w:noWrap w:val="0"/>
                  <w:vAlign w:val="center"/>
                </w:tcPr>
                <w:p w14:paraId="54FE4DA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zh-CN"/>
                    </w:rPr>
                  </w:pPr>
                </w:p>
              </w:tc>
              <w:tc>
                <w:tcPr>
                  <w:tcW w:w="802" w:type="pct"/>
                  <w:gridSpan w:val="3"/>
                  <w:noWrap w:val="0"/>
                  <w:vAlign w:val="center"/>
                </w:tcPr>
                <w:p w14:paraId="2890C1A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{58.81,-4.07,1}</w:t>
                  </w:r>
                </w:p>
              </w:tc>
              <w:tc>
                <w:tcPr>
                  <w:tcW w:w="358" w:type="pct"/>
                  <w:noWrap w:val="0"/>
                  <w:vAlign w:val="center"/>
                </w:tcPr>
                <w:p w14:paraId="181028D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201E8F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63.45 </w:t>
                  </w:r>
                </w:p>
              </w:tc>
              <w:tc>
                <w:tcPr>
                  <w:tcW w:w="228" w:type="pct"/>
                  <w:vMerge w:val="continue"/>
                  <w:noWrap w:val="0"/>
                  <w:vAlign w:val="center"/>
                </w:tcPr>
                <w:p w14:paraId="38247816">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36" w:type="pct"/>
                  <w:noWrap w:val="0"/>
                  <w:vAlign w:val="center"/>
                </w:tcPr>
                <w:p w14:paraId="39CF745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549B4A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48.45 </w:t>
                  </w:r>
                </w:p>
              </w:tc>
              <w:tc>
                <w:tcPr>
                  <w:tcW w:w="236" w:type="pct"/>
                  <w:noWrap w:val="0"/>
                  <w:vAlign w:val="center"/>
                </w:tcPr>
                <w:p w14:paraId="4F3627B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C58C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3F0478F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09" w:type="pct"/>
                  <w:vMerge w:val="continue"/>
                  <w:noWrap w:val="0"/>
                  <w:vAlign w:val="center"/>
                </w:tcPr>
                <w:p w14:paraId="762F0C5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789" w:type="pct"/>
                  <w:noWrap w:val="0"/>
                  <w:vAlign w:val="center"/>
                </w:tcPr>
                <w:p w14:paraId="6554F237">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纠偏机</w:t>
                  </w:r>
                </w:p>
              </w:tc>
              <w:tc>
                <w:tcPr>
                  <w:tcW w:w="452" w:type="pct"/>
                  <w:noWrap w:val="0"/>
                  <w:vAlign w:val="center"/>
                </w:tcPr>
                <w:p w14:paraId="300D082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21B32902">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243" w:type="pct"/>
                  <w:vMerge w:val="continue"/>
                  <w:noWrap w:val="0"/>
                  <w:vAlign w:val="center"/>
                </w:tcPr>
                <w:p w14:paraId="22BF7AB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zh-CN"/>
                    </w:rPr>
                  </w:pPr>
                </w:p>
              </w:tc>
              <w:tc>
                <w:tcPr>
                  <w:tcW w:w="802" w:type="pct"/>
                  <w:gridSpan w:val="3"/>
                  <w:noWrap w:val="0"/>
                  <w:vAlign w:val="center"/>
                </w:tcPr>
                <w:p w14:paraId="5CAAA3A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{53.27,13.83,1}</w:t>
                  </w:r>
                </w:p>
              </w:tc>
              <w:tc>
                <w:tcPr>
                  <w:tcW w:w="358" w:type="pct"/>
                  <w:noWrap w:val="0"/>
                  <w:vAlign w:val="center"/>
                </w:tcPr>
                <w:p w14:paraId="6918FDD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3D6C41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73.45 </w:t>
                  </w:r>
                </w:p>
              </w:tc>
              <w:tc>
                <w:tcPr>
                  <w:tcW w:w="228" w:type="pct"/>
                  <w:vMerge w:val="continue"/>
                  <w:noWrap w:val="0"/>
                  <w:vAlign w:val="center"/>
                </w:tcPr>
                <w:p w14:paraId="2262A11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36" w:type="pct"/>
                  <w:noWrap w:val="0"/>
                  <w:vAlign w:val="center"/>
                </w:tcPr>
                <w:p w14:paraId="2A8F6EAB">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358ACC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58.45 </w:t>
                  </w:r>
                </w:p>
              </w:tc>
              <w:tc>
                <w:tcPr>
                  <w:tcW w:w="236" w:type="pct"/>
                  <w:noWrap w:val="0"/>
                  <w:vAlign w:val="center"/>
                </w:tcPr>
                <w:p w14:paraId="49122893">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1093B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5E17237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09" w:type="pct"/>
                  <w:vMerge w:val="continue"/>
                  <w:noWrap w:val="0"/>
                  <w:vAlign w:val="center"/>
                </w:tcPr>
                <w:p w14:paraId="525F53A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4CFB7C6B">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全自动薄刀纵切压线机（伺服型薄刀机）</w:t>
                  </w:r>
                </w:p>
              </w:tc>
              <w:tc>
                <w:tcPr>
                  <w:tcW w:w="452" w:type="pct"/>
                  <w:noWrap w:val="0"/>
                  <w:vAlign w:val="center"/>
                </w:tcPr>
                <w:p w14:paraId="6106675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775198A2">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w:t>
                  </w:r>
                </w:p>
              </w:tc>
              <w:tc>
                <w:tcPr>
                  <w:tcW w:w="243" w:type="pct"/>
                  <w:vMerge w:val="continue"/>
                  <w:noWrap w:val="0"/>
                  <w:vAlign w:val="center"/>
                </w:tcPr>
                <w:p w14:paraId="74236CC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65051F1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{49.21,13.09,1}</w:t>
                  </w:r>
                </w:p>
              </w:tc>
              <w:tc>
                <w:tcPr>
                  <w:tcW w:w="358" w:type="pct"/>
                  <w:noWrap w:val="0"/>
                  <w:vAlign w:val="center"/>
                </w:tcPr>
                <w:p w14:paraId="22428C8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7AE509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73.45 </w:t>
                  </w:r>
                </w:p>
              </w:tc>
              <w:tc>
                <w:tcPr>
                  <w:tcW w:w="228" w:type="pct"/>
                  <w:vMerge w:val="continue"/>
                  <w:noWrap w:val="0"/>
                  <w:vAlign w:val="center"/>
                </w:tcPr>
                <w:p w14:paraId="6014B24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2949446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5B4D7C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58.45 </w:t>
                  </w:r>
                </w:p>
              </w:tc>
              <w:tc>
                <w:tcPr>
                  <w:tcW w:w="236" w:type="pct"/>
                  <w:noWrap w:val="0"/>
                  <w:vAlign w:val="center"/>
                </w:tcPr>
                <w:p w14:paraId="48EA511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1F19C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2E9B9A1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309" w:type="pct"/>
                  <w:vMerge w:val="continue"/>
                  <w:noWrap w:val="0"/>
                  <w:vAlign w:val="center"/>
                </w:tcPr>
                <w:p w14:paraId="74B32C5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355E4349">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横切机</w:t>
                  </w:r>
                </w:p>
              </w:tc>
              <w:tc>
                <w:tcPr>
                  <w:tcW w:w="452" w:type="pct"/>
                  <w:noWrap w:val="0"/>
                  <w:vAlign w:val="center"/>
                </w:tcPr>
                <w:p w14:paraId="5BD0865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38E404FD">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243" w:type="pct"/>
                  <w:vMerge w:val="continue"/>
                  <w:noWrap w:val="0"/>
                  <w:vAlign w:val="center"/>
                </w:tcPr>
                <w:p w14:paraId="5553843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65D6205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{46.51,13.3,1}</w:t>
                  </w:r>
                </w:p>
              </w:tc>
              <w:tc>
                <w:tcPr>
                  <w:tcW w:w="358" w:type="pct"/>
                  <w:noWrap w:val="0"/>
                  <w:vAlign w:val="center"/>
                </w:tcPr>
                <w:p w14:paraId="0456D62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753E2656">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73.45 </w:t>
                  </w:r>
                </w:p>
              </w:tc>
              <w:tc>
                <w:tcPr>
                  <w:tcW w:w="228" w:type="pct"/>
                  <w:vMerge w:val="continue"/>
                  <w:noWrap w:val="0"/>
                  <w:vAlign w:val="center"/>
                </w:tcPr>
                <w:p w14:paraId="27BCD04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5C2FB30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529D23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58.45 </w:t>
                  </w:r>
                </w:p>
              </w:tc>
              <w:tc>
                <w:tcPr>
                  <w:tcW w:w="236" w:type="pct"/>
                  <w:noWrap w:val="0"/>
                  <w:vAlign w:val="center"/>
                </w:tcPr>
                <w:p w14:paraId="329F762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w:t>
                  </w:r>
                </w:p>
              </w:tc>
            </w:tr>
            <w:tr w14:paraId="53147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46C62F5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309" w:type="pct"/>
                  <w:vMerge w:val="continue"/>
                  <w:noWrap w:val="0"/>
                  <w:vAlign w:val="center"/>
                </w:tcPr>
                <w:p w14:paraId="46B66F1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4E5C85AC">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堆码机</w:t>
                  </w:r>
                </w:p>
              </w:tc>
              <w:tc>
                <w:tcPr>
                  <w:tcW w:w="452" w:type="pct"/>
                  <w:noWrap w:val="0"/>
                  <w:vAlign w:val="center"/>
                </w:tcPr>
                <w:p w14:paraId="301F022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06391A66">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243" w:type="pct"/>
                  <w:vMerge w:val="continue"/>
                  <w:noWrap w:val="0"/>
                  <w:vAlign w:val="center"/>
                </w:tcPr>
                <w:p w14:paraId="218B791D">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5C246E8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{43.98,13.15,1}</w:t>
                  </w:r>
                </w:p>
              </w:tc>
              <w:tc>
                <w:tcPr>
                  <w:tcW w:w="358" w:type="pct"/>
                  <w:noWrap w:val="0"/>
                  <w:vAlign w:val="center"/>
                </w:tcPr>
                <w:p w14:paraId="3138CC8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6.72</w:t>
                  </w:r>
                </w:p>
              </w:tc>
              <w:tc>
                <w:tcPr>
                  <w:tcW w:w="896" w:type="dxa"/>
                  <w:noWrap w:val="0"/>
                  <w:vAlign w:val="center"/>
                </w:tcPr>
                <w:p w14:paraId="1BFC15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73.45 </w:t>
                  </w:r>
                </w:p>
              </w:tc>
              <w:tc>
                <w:tcPr>
                  <w:tcW w:w="228" w:type="pct"/>
                  <w:vMerge w:val="continue"/>
                  <w:noWrap w:val="0"/>
                  <w:vAlign w:val="center"/>
                </w:tcPr>
                <w:p w14:paraId="21D0962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3267982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6530D4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58.45 </w:t>
                  </w:r>
                </w:p>
              </w:tc>
              <w:tc>
                <w:tcPr>
                  <w:tcW w:w="236" w:type="pct"/>
                  <w:noWrap w:val="0"/>
                  <w:vAlign w:val="center"/>
                </w:tcPr>
                <w:p w14:paraId="0D63B9A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59DD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6159CE4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309" w:type="pct"/>
                  <w:vMerge w:val="continue"/>
                  <w:noWrap w:val="0"/>
                  <w:vAlign w:val="center"/>
                </w:tcPr>
                <w:p w14:paraId="27CF438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2283D70D">
                  <w:pPr>
                    <w:keepNext w:val="0"/>
                    <w:keepLines w:val="0"/>
                    <w:pageBreakBefore w:val="0"/>
                    <w:widowControl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全自动制胶机</w:t>
                  </w:r>
                </w:p>
              </w:tc>
              <w:tc>
                <w:tcPr>
                  <w:tcW w:w="452" w:type="pct"/>
                  <w:noWrap w:val="0"/>
                  <w:vAlign w:val="center"/>
                </w:tcPr>
                <w:p w14:paraId="46543D76">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66C404B9">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243" w:type="pct"/>
                  <w:vMerge w:val="continue"/>
                  <w:noWrap w:val="0"/>
                  <w:vAlign w:val="center"/>
                </w:tcPr>
                <w:p w14:paraId="1CC4E3B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14ED28E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{41.68,13.08,1}</w:t>
                  </w:r>
                </w:p>
              </w:tc>
              <w:tc>
                <w:tcPr>
                  <w:tcW w:w="358" w:type="pct"/>
                  <w:noWrap w:val="0"/>
                  <w:vAlign w:val="center"/>
                </w:tcPr>
                <w:p w14:paraId="6B2FE3F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w:t>
                  </w:r>
                </w:p>
              </w:tc>
              <w:tc>
                <w:tcPr>
                  <w:tcW w:w="896" w:type="dxa"/>
                  <w:noWrap w:val="0"/>
                  <w:vAlign w:val="center"/>
                </w:tcPr>
                <w:p w14:paraId="5FDCE8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67.86 </w:t>
                  </w:r>
                </w:p>
              </w:tc>
              <w:tc>
                <w:tcPr>
                  <w:tcW w:w="228" w:type="pct"/>
                  <w:vMerge w:val="continue"/>
                  <w:noWrap w:val="0"/>
                  <w:vAlign w:val="center"/>
                </w:tcPr>
                <w:p w14:paraId="15DA201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5DD47B8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7622D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52.86 </w:t>
                  </w:r>
                </w:p>
              </w:tc>
              <w:tc>
                <w:tcPr>
                  <w:tcW w:w="236" w:type="pct"/>
                  <w:noWrap w:val="0"/>
                  <w:vAlign w:val="center"/>
                </w:tcPr>
                <w:p w14:paraId="6923401F">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F6AD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16FD529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09" w:type="pct"/>
                  <w:vMerge w:val="continue"/>
                  <w:noWrap w:val="0"/>
                  <w:vAlign w:val="center"/>
                </w:tcPr>
                <w:p w14:paraId="0E94704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5D08499A">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4t/h锅炉（鼓风机）</w:t>
                  </w:r>
                </w:p>
              </w:tc>
              <w:tc>
                <w:tcPr>
                  <w:tcW w:w="452" w:type="pct"/>
                  <w:noWrap w:val="0"/>
                  <w:vAlign w:val="center"/>
                </w:tcPr>
                <w:p w14:paraId="19DAB61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720B3B34">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243" w:type="pct"/>
                  <w:vMerge w:val="continue"/>
                  <w:noWrap w:val="0"/>
                  <w:vAlign w:val="center"/>
                </w:tcPr>
                <w:p w14:paraId="67F4429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420E6F1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{52.45,-7.28,1}</w:t>
                  </w:r>
                </w:p>
              </w:tc>
              <w:tc>
                <w:tcPr>
                  <w:tcW w:w="358" w:type="pct"/>
                  <w:noWrap w:val="0"/>
                  <w:vAlign w:val="center"/>
                </w:tcPr>
                <w:p w14:paraId="4B1497E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896" w:type="dxa"/>
                  <w:noWrap w:val="0"/>
                  <w:vAlign w:val="center"/>
                </w:tcPr>
                <w:p w14:paraId="2A5276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81.38 </w:t>
                  </w:r>
                </w:p>
              </w:tc>
              <w:tc>
                <w:tcPr>
                  <w:tcW w:w="228" w:type="pct"/>
                  <w:vMerge w:val="continue"/>
                  <w:noWrap w:val="0"/>
                  <w:vAlign w:val="center"/>
                </w:tcPr>
                <w:p w14:paraId="797601C6">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72140BA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01384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66.38 </w:t>
                  </w:r>
                </w:p>
              </w:tc>
              <w:tc>
                <w:tcPr>
                  <w:tcW w:w="236" w:type="pct"/>
                  <w:noWrap w:val="0"/>
                  <w:vAlign w:val="center"/>
                </w:tcPr>
                <w:p w14:paraId="6223B61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6C1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6FB8CA6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309" w:type="pct"/>
                  <w:vMerge w:val="continue"/>
                  <w:noWrap w:val="0"/>
                  <w:vAlign w:val="center"/>
                </w:tcPr>
                <w:p w14:paraId="3671692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5A6AC606">
                  <w:pPr>
                    <w:pStyle w:val="32"/>
                    <w:snapToGrid w:val="0"/>
                    <w:spacing w:before="48" w:beforeLines="20" w:after="48" w:afterLines="2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vertAlign w:val="baseline"/>
                      <w:lang w:val="en-US" w:eastAsia="zh-CN" w:bidi="ar-SA"/>
                    </w:rPr>
                    <w:t>4t/h</w:t>
                  </w:r>
                  <w:r>
                    <w:rPr>
                      <w:rFonts w:hint="default" w:ascii="Times New Roman" w:hAnsi="Times New Roman" w:eastAsia="宋体" w:cs="Times New Roman"/>
                      <w:color w:val="auto"/>
                      <w:sz w:val="21"/>
                      <w:szCs w:val="21"/>
                      <w:lang w:val="en-US" w:eastAsia="zh-CN"/>
                    </w:rPr>
                    <w:t>软水制备机</w:t>
                  </w:r>
                </w:p>
              </w:tc>
              <w:tc>
                <w:tcPr>
                  <w:tcW w:w="452" w:type="pct"/>
                  <w:noWrap w:val="0"/>
                  <w:vAlign w:val="center"/>
                </w:tcPr>
                <w:p w14:paraId="2037918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77FC2BBA">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w:t>
                  </w:r>
                </w:p>
              </w:tc>
              <w:tc>
                <w:tcPr>
                  <w:tcW w:w="243" w:type="pct"/>
                  <w:vMerge w:val="continue"/>
                  <w:tcBorders>
                    <w:bottom w:val="single" w:color="auto" w:sz="4" w:space="0"/>
                  </w:tcBorders>
                  <w:noWrap w:val="0"/>
                  <w:vAlign w:val="center"/>
                </w:tcPr>
                <w:p w14:paraId="79D42B0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305442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{47.08,-7.56,1}</w:t>
                  </w:r>
                </w:p>
              </w:tc>
              <w:tc>
                <w:tcPr>
                  <w:tcW w:w="358" w:type="pct"/>
                  <w:noWrap w:val="0"/>
                  <w:vAlign w:val="center"/>
                </w:tcPr>
                <w:p w14:paraId="5009E2C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896" w:type="dxa"/>
                  <w:noWrap w:val="0"/>
                  <w:vAlign w:val="center"/>
                </w:tcPr>
                <w:p w14:paraId="2B6056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8" w:type="pct"/>
                  <w:vMerge w:val="continue"/>
                  <w:noWrap w:val="0"/>
                  <w:vAlign w:val="center"/>
                </w:tcPr>
                <w:p w14:paraId="16ACE4F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058B55E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04" w:type="dxa"/>
                  <w:noWrap w:val="0"/>
                  <w:vAlign w:val="center"/>
                </w:tcPr>
                <w:p w14:paraId="46C7E4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6" w:type="pct"/>
                  <w:noWrap w:val="0"/>
                  <w:vAlign w:val="center"/>
                </w:tcPr>
                <w:p w14:paraId="195E9F1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B452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6AB8E4A6">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309" w:type="pct"/>
                  <w:vMerge w:val="continue"/>
                  <w:noWrap w:val="0"/>
                  <w:vAlign w:val="center"/>
                </w:tcPr>
                <w:p w14:paraId="565D30D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1EAFC153">
                  <w:pPr>
                    <w:pStyle w:val="32"/>
                    <w:snapToGrid w:val="0"/>
                    <w:spacing w:before="48" w:beforeLines="20" w:after="48" w:afterLines="2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螺杆空压机</w:t>
                  </w:r>
                </w:p>
              </w:tc>
              <w:tc>
                <w:tcPr>
                  <w:tcW w:w="452" w:type="pct"/>
                  <w:noWrap w:val="0"/>
                  <w:vAlign w:val="center"/>
                </w:tcPr>
                <w:p w14:paraId="1E9E2964">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75171D39">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243" w:type="pct"/>
                  <w:vMerge w:val="restart"/>
                  <w:tcBorders>
                    <w:top w:val="single" w:color="auto" w:sz="4" w:space="0"/>
                  </w:tcBorders>
                  <w:noWrap w:val="0"/>
                  <w:vAlign w:val="center"/>
                </w:tcPr>
                <w:p w14:paraId="3D021A7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隔音房+基础减震+消音器</w:t>
                  </w:r>
                </w:p>
              </w:tc>
              <w:tc>
                <w:tcPr>
                  <w:tcW w:w="802" w:type="pct"/>
                  <w:gridSpan w:val="3"/>
                  <w:noWrap w:val="0"/>
                  <w:vAlign w:val="center"/>
                </w:tcPr>
                <w:p w14:paraId="5018AE9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{48.55,-7.5,1}</w:t>
                  </w:r>
                </w:p>
              </w:tc>
              <w:tc>
                <w:tcPr>
                  <w:tcW w:w="358" w:type="pct"/>
                  <w:noWrap w:val="0"/>
                  <w:vAlign w:val="center"/>
                </w:tcPr>
                <w:p w14:paraId="5CD15364">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w:t>
                  </w:r>
                </w:p>
              </w:tc>
              <w:tc>
                <w:tcPr>
                  <w:tcW w:w="896" w:type="dxa"/>
                  <w:noWrap w:val="0"/>
                  <w:vAlign w:val="center"/>
                </w:tcPr>
                <w:p w14:paraId="2570B0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72.86 </w:t>
                  </w:r>
                </w:p>
              </w:tc>
              <w:tc>
                <w:tcPr>
                  <w:tcW w:w="228" w:type="pct"/>
                  <w:vMerge w:val="continue"/>
                  <w:noWrap w:val="0"/>
                  <w:vAlign w:val="center"/>
                </w:tcPr>
                <w:p w14:paraId="19280C1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49DC9F2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904" w:type="dxa"/>
                  <w:noWrap w:val="0"/>
                  <w:vAlign w:val="center"/>
                </w:tcPr>
                <w:p w14:paraId="016F48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52.86 </w:t>
                  </w:r>
                </w:p>
              </w:tc>
              <w:tc>
                <w:tcPr>
                  <w:tcW w:w="236" w:type="pct"/>
                  <w:noWrap w:val="0"/>
                  <w:vAlign w:val="center"/>
                </w:tcPr>
                <w:p w14:paraId="5E621C4B">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0D26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1" w:type="pct"/>
                  <w:noWrap w:val="0"/>
                  <w:vAlign w:val="center"/>
                </w:tcPr>
                <w:p w14:paraId="455DFCD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309" w:type="pct"/>
                  <w:vMerge w:val="continue"/>
                  <w:noWrap w:val="0"/>
                  <w:vAlign w:val="center"/>
                </w:tcPr>
                <w:p w14:paraId="42DA912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89" w:type="pct"/>
                  <w:noWrap w:val="0"/>
                  <w:vAlign w:val="center"/>
                </w:tcPr>
                <w:p w14:paraId="35A67557">
                  <w:pPr>
                    <w:pStyle w:val="32"/>
                    <w:snapToGrid w:val="0"/>
                    <w:spacing w:before="48" w:beforeLines="20" w:after="48" w:afterLines="2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螺杆空压机</w:t>
                  </w:r>
                </w:p>
              </w:tc>
              <w:tc>
                <w:tcPr>
                  <w:tcW w:w="452" w:type="pct"/>
                  <w:noWrap w:val="0"/>
                  <w:vAlign w:val="center"/>
                </w:tcPr>
                <w:p w14:paraId="5CA2C01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27" w:type="pct"/>
                  <w:noWrap w:val="0"/>
                  <w:vAlign w:val="center"/>
                </w:tcPr>
                <w:p w14:paraId="7F3C1EDD">
                  <w:pPr>
                    <w:pStyle w:val="32"/>
                    <w:keepNext w:val="0"/>
                    <w:keepLines w:val="0"/>
                    <w:pageBreakBefore w:val="0"/>
                    <w:kinsoku/>
                    <w:wordWrap/>
                    <w:overflowPunct/>
                    <w:topLinePunct w:val="0"/>
                    <w:bidi w:val="0"/>
                    <w:snapToGrid w:val="0"/>
                    <w:spacing w:before="95" w:beforeLines="30" w:after="95" w:afterLines="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243" w:type="pct"/>
                  <w:vMerge w:val="continue"/>
                  <w:noWrap w:val="0"/>
                  <w:vAlign w:val="center"/>
                </w:tcPr>
                <w:p w14:paraId="4C2FD8E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560AD6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{48.55,-7.5,1}</w:t>
                  </w:r>
                </w:p>
              </w:tc>
              <w:tc>
                <w:tcPr>
                  <w:tcW w:w="358" w:type="pct"/>
                  <w:noWrap w:val="0"/>
                  <w:vAlign w:val="center"/>
                </w:tcPr>
                <w:p w14:paraId="7E0A00F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w:t>
                  </w:r>
                </w:p>
              </w:tc>
              <w:tc>
                <w:tcPr>
                  <w:tcW w:w="896" w:type="dxa"/>
                  <w:noWrap w:val="0"/>
                  <w:vAlign w:val="center"/>
                </w:tcPr>
                <w:p w14:paraId="100C86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72.86 </w:t>
                  </w:r>
                </w:p>
              </w:tc>
              <w:tc>
                <w:tcPr>
                  <w:tcW w:w="228" w:type="pct"/>
                  <w:vMerge w:val="continue"/>
                  <w:noWrap w:val="0"/>
                  <w:vAlign w:val="center"/>
                </w:tcPr>
                <w:p w14:paraId="23E182C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3BBA226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904" w:type="dxa"/>
                  <w:noWrap w:val="0"/>
                  <w:vAlign w:val="center"/>
                </w:tcPr>
                <w:p w14:paraId="0D29A4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52.86 </w:t>
                  </w:r>
                </w:p>
              </w:tc>
              <w:tc>
                <w:tcPr>
                  <w:tcW w:w="236" w:type="pct"/>
                  <w:noWrap w:val="0"/>
                  <w:vAlign w:val="center"/>
                </w:tcPr>
                <w:p w14:paraId="3C47BCE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bl>
          <w:p w14:paraId="69CBF95D">
            <w:pPr>
              <w:adjustRightInd w:val="0"/>
              <w:snapToGrid w:val="0"/>
              <w:spacing w:line="360" w:lineRule="auto"/>
              <w:rPr>
                <w:rFonts w:hint="default" w:ascii="Times New Roman" w:hAnsi="Times New Roman" w:eastAsia="宋体" w:cs="Times New Roman"/>
                <w:b/>
                <w:color w:val="auto"/>
                <w:kern w:val="0"/>
                <w:sz w:val="28"/>
                <w:szCs w:val="28"/>
              </w:rPr>
            </w:pPr>
          </w:p>
        </w:tc>
      </w:tr>
    </w:tbl>
    <w:p w14:paraId="0049C190">
      <w:pPr>
        <w:adjustRightInd w:val="0"/>
        <w:snapToGrid w:val="0"/>
        <w:spacing w:line="360" w:lineRule="auto"/>
        <w:rPr>
          <w:rFonts w:hint="default" w:ascii="Times New Roman" w:hAnsi="Times New Roman" w:eastAsia="宋体" w:cs="Times New Roman"/>
          <w:b/>
          <w:color w:val="auto"/>
          <w:kern w:val="0"/>
          <w:sz w:val="28"/>
          <w:szCs w:val="28"/>
        </w:rPr>
        <w:sectPr>
          <w:pgSz w:w="16840" w:h="11907" w:orient="landscape"/>
          <w:pgMar w:top="1440" w:right="1080" w:bottom="1440" w:left="1080" w:header="851" w:footer="851" w:gutter="0"/>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7"/>
      </w:tblGrid>
      <w:tr w14:paraId="6A98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Pr>
          <w:p w14:paraId="2C7AEB3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14:paraId="029D779E">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14:paraId="6E02A071">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14:paraId="75D20A2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14:paraId="15DCA216">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14:paraId="4C42DBB7">
            <w:pPr>
              <w:adjustRightInd w:val="0"/>
              <w:snapToGrid w:val="0"/>
              <w:spacing w:line="360" w:lineRule="auto"/>
              <w:rPr>
                <w:rFonts w:hint="default" w:ascii="Times New Roman" w:hAnsi="Times New Roman" w:eastAsia="宋体" w:cs="Times New Roman"/>
                <w:b/>
                <w:color w:val="auto"/>
                <w:kern w:val="0"/>
                <w:sz w:val="28"/>
                <w:szCs w:val="28"/>
              </w:rPr>
            </w:pPr>
            <w:r>
              <w:rPr>
                <w:rFonts w:hint="default" w:ascii="Times New Roman" w:hAnsi="Times New Roman" w:eastAsia="宋体" w:cs="Times New Roman"/>
                <w:bCs/>
                <w:color w:val="auto"/>
                <w:szCs w:val="21"/>
              </w:rPr>
              <w:t>措施</w:t>
            </w:r>
          </w:p>
        </w:tc>
        <w:tc>
          <w:tcPr>
            <w:tcW w:w="8199" w:type="dxa"/>
          </w:tcPr>
          <w:p w14:paraId="3BF3DE63">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zh-CN"/>
              </w:rPr>
              <w:t>（</w:t>
            </w: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val="zh-CN"/>
              </w:rPr>
              <w:t>）</w:t>
            </w:r>
            <w:r>
              <w:rPr>
                <w:rFonts w:hint="default" w:ascii="Times New Roman" w:hAnsi="Times New Roman" w:eastAsia="宋体" w:cs="Times New Roman"/>
                <w:b/>
                <w:bCs/>
                <w:color w:val="auto"/>
              </w:rPr>
              <w:t>预测模式</w:t>
            </w:r>
          </w:p>
          <w:p w14:paraId="15A74CD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本次环评的噪声预测根据项目特点，按《环境影响评价技术导则声环境》(HJ2.4-2021)中的工业噪声预测计算模式。</w:t>
            </w:r>
          </w:p>
          <w:p w14:paraId="4E3AA107">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①首先计算出某个声源室内靠近围护结构处的等效声压级</w:t>
            </w:r>
          </w:p>
          <w:p w14:paraId="3A405EBD">
            <w:pPr>
              <w:spacing w:line="360" w:lineRule="auto"/>
              <w:ind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114300" distR="114300">
                  <wp:extent cx="2458720" cy="412115"/>
                  <wp:effectExtent l="0" t="0" r="17780" b="698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2458720" cy="412115"/>
                          </a:xfrm>
                          <a:prstGeom prst="rect">
                            <a:avLst/>
                          </a:prstGeom>
                          <a:noFill/>
                          <a:ln>
                            <a:noFill/>
                          </a:ln>
                        </pic:spPr>
                      </pic:pic>
                    </a:graphicData>
                  </a:graphic>
                </wp:inline>
              </w:drawing>
            </w:r>
          </w:p>
          <w:p w14:paraId="527F404A">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w:t>
            </w:r>
          </w:p>
          <w:p w14:paraId="76D2499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p1</w:t>
            </w:r>
            <w:r>
              <w:rPr>
                <w:rFonts w:hint="default" w:ascii="Times New Roman" w:hAnsi="Times New Roman" w:eastAsia="宋体" w:cs="Times New Roman"/>
                <w:color w:val="auto"/>
                <w:szCs w:val="21"/>
              </w:rPr>
              <w:t>—靠近开口处（或窗户）室内某倍频带的声压级或A声级，dB；</w:t>
            </w:r>
          </w:p>
          <w:p w14:paraId="7C5E4FF0">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w</w:t>
            </w:r>
            <w:r>
              <w:rPr>
                <w:rFonts w:hint="default" w:ascii="Times New Roman" w:hAnsi="Times New Roman" w:eastAsia="宋体" w:cs="Times New Roman"/>
                <w:color w:val="auto"/>
                <w:szCs w:val="21"/>
              </w:rPr>
              <w:t>—点声源声功率级（A计权或倍频带），dB；</w:t>
            </w:r>
          </w:p>
          <w:p w14:paraId="492DB6FA">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Q—指向性因数；通常对无指向性声源，当声源放在房间中心时，Q=1；当放在一面墙的中心时，Q=2；当放在两面墙夹角处时，Q=4；当放在三面墙夹角处时，Q=8；本次Q取2。</w:t>
            </w:r>
          </w:p>
          <w:p w14:paraId="79D17A5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R—房间常数；R</w:t>
            </w:r>
            <w:r>
              <w:rPr>
                <w:rFonts w:hint="default" w:ascii="Times New Roman" w:hAnsi="Times New Roman" w:eastAsia="宋体" w:cs="Times New Roman"/>
                <w:color w:val="auto"/>
                <w:szCs w:val="21"/>
              </w:rPr>
              <w:sym w:font="Symbol" w:char="F03D"/>
            </w:r>
            <w:r>
              <w:rPr>
                <w:rFonts w:hint="default" w:ascii="Times New Roman" w:hAnsi="Times New Roman" w:eastAsia="宋体" w:cs="Times New Roman"/>
                <w:color w:val="auto"/>
                <w:szCs w:val="21"/>
              </w:rPr>
              <w:t>S</w:t>
            </w:r>
            <w:r>
              <w:rPr>
                <w:rFonts w:hint="default" w:ascii="Times New Roman" w:hAnsi="Times New Roman" w:eastAsia="宋体" w:cs="Times New Roman"/>
                <w:color w:val="auto"/>
                <w:szCs w:val="21"/>
              </w:rPr>
              <w:sym w:font="Symbol" w:char="F061"/>
            </w: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rPr>
              <w:sym w:font="Symbol" w:char="F061"/>
            </w:r>
            <w:r>
              <w:rPr>
                <w:rFonts w:hint="default" w:ascii="Times New Roman" w:hAnsi="Times New Roman" w:eastAsia="宋体" w:cs="Times New Roman"/>
                <w:color w:val="auto"/>
                <w:szCs w:val="21"/>
              </w:rPr>
              <w:t>），S为房间内表面面积，m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；α为平均吸声系数取0.06；</w:t>
            </w:r>
          </w:p>
          <w:p w14:paraId="744F86E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r—声源到靠近围护结构某点处的距离，m。</w:t>
            </w:r>
          </w:p>
          <w:p w14:paraId="29F6BBA9">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②计算出所有室内声源在靠近围护结构处产生的总声压级</w:t>
            </w:r>
          </w:p>
          <w:p w14:paraId="798A0C58">
            <w:pPr>
              <w:spacing w:line="360" w:lineRule="auto"/>
              <w:ind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114300" distR="114300">
                  <wp:extent cx="2400935" cy="433070"/>
                  <wp:effectExtent l="0" t="0" r="18415" b="50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8"/>
                          <a:stretch>
                            <a:fillRect/>
                          </a:stretch>
                        </pic:blipFill>
                        <pic:spPr>
                          <a:xfrm>
                            <a:off x="0" y="0"/>
                            <a:ext cx="2400935" cy="433070"/>
                          </a:xfrm>
                          <a:prstGeom prst="rect">
                            <a:avLst/>
                          </a:prstGeom>
                          <a:noFill/>
                          <a:ln>
                            <a:noFill/>
                          </a:ln>
                        </pic:spPr>
                      </pic:pic>
                    </a:graphicData>
                  </a:graphic>
                </wp:inline>
              </w:drawing>
            </w:r>
          </w:p>
          <w:p w14:paraId="400896E3">
            <w:pPr>
              <w:pStyle w:val="11"/>
              <w:spacing w:before="0" w:after="0" w:line="360" w:lineRule="auto"/>
              <w:ind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p1i</w:t>
            </w:r>
            <w:r>
              <w:rPr>
                <w:rFonts w:hint="default" w:ascii="Times New Roman" w:hAnsi="Times New Roman" w:eastAsia="宋体" w:cs="Times New Roman"/>
                <w:color w:val="auto"/>
                <w:sz w:val="21"/>
                <w:szCs w:val="21"/>
              </w:rPr>
              <w:t>（T）——靠近围护结构处室内N个声源i倍频带的叠加声压级，dB；</w:t>
            </w:r>
          </w:p>
          <w:p w14:paraId="24915351">
            <w:pPr>
              <w:pStyle w:val="11"/>
              <w:spacing w:before="0" w:after="0" w:line="360" w:lineRule="auto"/>
              <w:ind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p1ij</w:t>
            </w:r>
            <w:r>
              <w:rPr>
                <w:rFonts w:hint="default" w:ascii="Times New Roman" w:hAnsi="Times New Roman" w:eastAsia="宋体" w:cs="Times New Roman"/>
                <w:color w:val="auto"/>
                <w:sz w:val="21"/>
                <w:szCs w:val="21"/>
              </w:rPr>
              <w:t>——室内j声源i倍频带的声压级，dB；</w:t>
            </w:r>
          </w:p>
          <w:p w14:paraId="7635FD86">
            <w:pPr>
              <w:pStyle w:val="11"/>
              <w:spacing w:before="0" w:after="0" w:line="360" w:lineRule="auto"/>
              <w:ind w:right="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N——室内声源总数。</w:t>
            </w:r>
          </w:p>
          <w:p w14:paraId="104BF93D">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③计算出室外靠近围护结构处的声压级</w:t>
            </w:r>
          </w:p>
          <w:p w14:paraId="4DA560DE">
            <w:pPr>
              <w:pStyle w:val="11"/>
              <w:spacing w:before="0" w:after="0" w:line="360" w:lineRule="auto"/>
              <w:ind w:right="0"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p2i</w:t>
            </w:r>
            <w:r>
              <w:rPr>
                <w:rFonts w:hint="default" w:ascii="Times New Roman" w:hAnsi="Times New Roman" w:eastAsia="宋体" w:cs="Times New Roman"/>
                <w:color w:val="auto"/>
                <w:sz w:val="21"/>
                <w:szCs w:val="21"/>
              </w:rPr>
              <w:t>（T）=L</w:t>
            </w:r>
            <w:r>
              <w:rPr>
                <w:rFonts w:hint="default" w:ascii="Times New Roman" w:hAnsi="Times New Roman" w:eastAsia="宋体" w:cs="Times New Roman"/>
                <w:color w:val="auto"/>
                <w:sz w:val="21"/>
                <w:szCs w:val="21"/>
                <w:vertAlign w:val="subscript"/>
              </w:rPr>
              <w:t>p1i</w:t>
            </w:r>
            <w:r>
              <w:rPr>
                <w:rFonts w:hint="default" w:ascii="Times New Roman" w:hAnsi="Times New Roman" w:eastAsia="宋体" w:cs="Times New Roman"/>
                <w:color w:val="auto"/>
                <w:sz w:val="21"/>
                <w:szCs w:val="21"/>
              </w:rPr>
              <w:t>（T）-（TL</w:t>
            </w:r>
            <w:r>
              <w:rPr>
                <w:rFonts w:hint="default" w:ascii="Times New Roman" w:hAnsi="Times New Roman" w:eastAsia="宋体" w:cs="Times New Roman"/>
                <w:color w:val="auto"/>
                <w:sz w:val="21"/>
                <w:szCs w:val="21"/>
                <w:vertAlign w:val="subscript"/>
              </w:rPr>
              <w:t>i</w:t>
            </w:r>
            <w:r>
              <w:rPr>
                <w:rFonts w:hint="default" w:ascii="Times New Roman" w:hAnsi="Times New Roman" w:eastAsia="宋体" w:cs="Times New Roman"/>
                <w:color w:val="auto"/>
                <w:sz w:val="21"/>
                <w:szCs w:val="21"/>
              </w:rPr>
              <w:t>+6）</w:t>
            </w:r>
          </w:p>
          <w:p w14:paraId="5C81F7F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w:t>
            </w:r>
          </w:p>
          <w:p w14:paraId="0112BE5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p2i</w:t>
            </w:r>
            <w:r>
              <w:rPr>
                <w:rFonts w:hint="default" w:ascii="Times New Roman" w:hAnsi="Times New Roman" w:eastAsia="宋体" w:cs="Times New Roman"/>
                <w:color w:val="auto"/>
                <w:szCs w:val="21"/>
              </w:rPr>
              <w:t>（T）—靠近围护结构处室外N个声源i倍频带的叠加声压级，dB；</w:t>
            </w:r>
          </w:p>
          <w:p w14:paraId="471CA98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p1i</w:t>
            </w:r>
            <w:r>
              <w:rPr>
                <w:rFonts w:hint="default" w:ascii="Times New Roman" w:hAnsi="Times New Roman" w:eastAsia="宋体" w:cs="Times New Roman"/>
                <w:color w:val="auto"/>
                <w:szCs w:val="21"/>
              </w:rPr>
              <w:t>（T）—靠近围护结构处室内N个声源i倍频带的叠加声压级，dB；</w:t>
            </w:r>
          </w:p>
          <w:p w14:paraId="31A09A67">
            <w:pPr>
              <w:pStyle w:val="11"/>
              <w:spacing w:before="0" w:after="0" w:line="360" w:lineRule="auto"/>
              <w:ind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TL</w:t>
            </w:r>
            <w:r>
              <w:rPr>
                <w:rFonts w:hint="default" w:ascii="Times New Roman" w:hAnsi="Times New Roman" w:eastAsia="宋体" w:cs="Times New Roman"/>
                <w:color w:val="auto"/>
                <w:sz w:val="21"/>
                <w:szCs w:val="21"/>
                <w:vertAlign w:val="subscript"/>
              </w:rPr>
              <w:t>i</w:t>
            </w:r>
            <w:r>
              <w:rPr>
                <w:rFonts w:hint="default" w:ascii="Times New Roman" w:hAnsi="Times New Roman" w:eastAsia="宋体" w:cs="Times New Roman"/>
                <w:color w:val="auto"/>
                <w:sz w:val="21"/>
                <w:szCs w:val="21"/>
              </w:rPr>
              <w:t>——围护结构i倍频带的隔声量，dB。</w:t>
            </w:r>
          </w:p>
          <w:p w14:paraId="7950381B">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根据《噪声污染控制工程》（高等教育出版社，洪宗辉）中资料，本项目隔声量（TL+6）为15dB（A）左右。</w:t>
            </w:r>
          </w:p>
          <w:p w14:paraId="15856A15">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④将室外声级和透声面积换算成等效室外声源</w:t>
            </w:r>
          </w:p>
          <w:p w14:paraId="3A436E49">
            <w:pPr>
              <w:spacing w:line="360" w:lineRule="auto"/>
              <w:ind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W</w:t>
            </w: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p2</w:t>
            </w:r>
            <w:r>
              <w:rPr>
                <w:rFonts w:hint="default" w:ascii="Times New Roman" w:hAnsi="Times New Roman" w:eastAsia="宋体" w:cs="Times New Roman"/>
                <w:color w:val="auto"/>
                <w:szCs w:val="21"/>
              </w:rPr>
              <w:t>(T)+10lgS</w:t>
            </w:r>
          </w:p>
          <w:p w14:paraId="47EACB5F">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w:t>
            </w:r>
          </w:p>
          <w:p w14:paraId="1588E81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S——透声面积，m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w:t>
            </w:r>
          </w:p>
          <w:p w14:paraId="403C4F09">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Lw——中心位置位于透声面积（S）处的等效声源的倍频带声功率级，dB；</w:t>
            </w:r>
          </w:p>
          <w:p w14:paraId="64B0EB34">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p2</w:t>
            </w:r>
            <w:r>
              <w:rPr>
                <w:rFonts w:hint="default" w:ascii="Times New Roman" w:hAnsi="Times New Roman" w:eastAsia="宋体" w:cs="Times New Roman"/>
                <w:color w:val="auto"/>
                <w:szCs w:val="21"/>
              </w:rPr>
              <w:t>(T)——靠近围护结构处室外声源的声压级，dB；</w:t>
            </w:r>
          </w:p>
          <w:p w14:paraId="723C090C">
            <w:pPr>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⑤预测点的声压级</w:t>
            </w:r>
          </w:p>
          <w:p w14:paraId="0434056D">
            <w:pPr>
              <w:pStyle w:val="11"/>
              <w:spacing w:before="0" w:after="0" w:line="360" w:lineRule="auto"/>
              <w:ind w:right="0"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656205" cy="207645"/>
                  <wp:effectExtent l="0" t="0" r="10795"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9"/>
                          <a:stretch>
                            <a:fillRect/>
                          </a:stretch>
                        </pic:blipFill>
                        <pic:spPr>
                          <a:xfrm>
                            <a:off x="0" y="0"/>
                            <a:ext cx="2656205" cy="207645"/>
                          </a:xfrm>
                          <a:prstGeom prst="rect">
                            <a:avLst/>
                          </a:prstGeom>
                          <a:noFill/>
                          <a:ln>
                            <a:noFill/>
                          </a:ln>
                        </pic:spPr>
                      </pic:pic>
                    </a:graphicData>
                  </a:graphic>
                </wp:inline>
              </w:drawing>
            </w:r>
          </w:p>
          <w:p w14:paraId="5AC0E802">
            <w:pPr>
              <w:pStyle w:val="11"/>
              <w:spacing w:before="0" w:after="0" w:line="360" w:lineRule="auto"/>
              <w:ind w:right="0" w:firstLine="42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式中：</w:t>
            </w:r>
          </w:p>
          <w:p w14:paraId="35918485">
            <w:pPr>
              <w:pStyle w:val="11"/>
              <w:spacing w:before="0" w:after="0" w:line="360" w:lineRule="auto"/>
              <w:ind w:right="0" w:firstLine="420" w:firstLineChars="20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L</w:t>
            </w:r>
            <w:r>
              <w:rPr>
                <w:rFonts w:hint="default" w:ascii="Times New Roman" w:hAnsi="Times New Roman" w:eastAsia="宋体" w:cs="Times New Roman"/>
                <w:color w:val="auto"/>
                <w:kern w:val="2"/>
                <w:sz w:val="21"/>
                <w:szCs w:val="21"/>
                <w:vertAlign w:val="subscript"/>
              </w:rPr>
              <w:t>p</w:t>
            </w:r>
            <w:r>
              <w:rPr>
                <w:rFonts w:hint="default" w:ascii="Times New Roman" w:hAnsi="Times New Roman" w:eastAsia="宋体" w:cs="Times New Roman"/>
                <w:color w:val="auto"/>
                <w:kern w:val="2"/>
                <w:sz w:val="21"/>
                <w:szCs w:val="21"/>
              </w:rPr>
              <w:t>(r)——预测点处声压级，dB；</w:t>
            </w:r>
          </w:p>
          <w:p w14:paraId="2A95BC75">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w</w:t>
            </w:r>
            <w:r>
              <w:rPr>
                <w:rFonts w:hint="default" w:ascii="Times New Roman" w:hAnsi="Times New Roman" w:eastAsia="宋体" w:cs="Times New Roman"/>
                <w:color w:val="auto"/>
                <w:szCs w:val="21"/>
              </w:rPr>
              <w:t>——由点声源产生的声功率级（A计权或倍频带），dB；</w:t>
            </w:r>
          </w:p>
          <w:p w14:paraId="4D6B9BAF">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t>
            </w:r>
            <w:r>
              <w:rPr>
                <w:rFonts w:hint="default" w:ascii="Times New Roman" w:hAnsi="Times New Roman" w:eastAsia="宋体" w:cs="Times New Roman"/>
                <w:color w:val="auto"/>
                <w:szCs w:val="21"/>
                <w:vertAlign w:val="subscript"/>
              </w:rPr>
              <w:t>C</w:t>
            </w:r>
            <w:r>
              <w:rPr>
                <w:rFonts w:hint="default" w:ascii="Times New Roman" w:hAnsi="Times New Roman" w:eastAsia="宋体" w:cs="Times New Roman"/>
                <w:color w:val="auto"/>
                <w:szCs w:val="21"/>
              </w:rPr>
              <w:t>——指向性校正，它描述点声源的等效连续声压级与产生声功率级Lw的全向点声源在规定方向的声级的偏差程度，dB；</w:t>
            </w:r>
          </w:p>
          <w:p w14:paraId="344077D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vertAlign w:val="subscript"/>
              </w:rPr>
              <w:t>div</w:t>
            </w:r>
            <w:r>
              <w:rPr>
                <w:rFonts w:hint="default" w:ascii="Times New Roman" w:hAnsi="Times New Roman" w:eastAsia="宋体" w:cs="Times New Roman"/>
                <w:color w:val="auto"/>
                <w:szCs w:val="21"/>
              </w:rPr>
              <w:t>——几何发散引起的衰减，dB；</w:t>
            </w:r>
          </w:p>
          <w:p w14:paraId="28426932">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vertAlign w:val="subscript"/>
              </w:rPr>
              <w:t>atm</w:t>
            </w:r>
            <w:r>
              <w:rPr>
                <w:rFonts w:hint="default" w:ascii="Times New Roman" w:hAnsi="Times New Roman" w:eastAsia="宋体" w:cs="Times New Roman"/>
                <w:color w:val="auto"/>
                <w:szCs w:val="21"/>
              </w:rPr>
              <w:t>——大气吸收引起的衰减，dB；</w:t>
            </w:r>
          </w:p>
          <w:p w14:paraId="16CA60D5">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vertAlign w:val="subscript"/>
              </w:rPr>
              <w:t>gr</w:t>
            </w:r>
            <w:r>
              <w:rPr>
                <w:rFonts w:hint="default" w:ascii="Times New Roman" w:hAnsi="Times New Roman" w:eastAsia="宋体" w:cs="Times New Roman"/>
                <w:color w:val="auto"/>
                <w:szCs w:val="21"/>
              </w:rPr>
              <w:t>——地面效应引起的衰减，dB；本次不考虑。</w:t>
            </w:r>
          </w:p>
          <w:p w14:paraId="6CF191A9">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vertAlign w:val="subscript"/>
              </w:rPr>
              <w:t>bar</w:t>
            </w:r>
            <w:r>
              <w:rPr>
                <w:rFonts w:hint="default" w:ascii="Times New Roman" w:hAnsi="Times New Roman" w:eastAsia="宋体" w:cs="Times New Roman"/>
                <w:color w:val="auto"/>
                <w:szCs w:val="21"/>
              </w:rPr>
              <w:t>——障碍物屏蔽引起的衰减，dB；本次不考虑。</w:t>
            </w:r>
          </w:p>
          <w:p w14:paraId="0A6DE8C6">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vertAlign w:val="subscript"/>
              </w:rPr>
              <w:t>misc</w:t>
            </w:r>
            <w:r>
              <w:rPr>
                <w:rFonts w:hint="default" w:ascii="Times New Roman" w:hAnsi="Times New Roman" w:eastAsia="宋体" w:cs="Times New Roman"/>
                <w:color w:val="auto"/>
                <w:szCs w:val="21"/>
              </w:rPr>
              <w:t>——其他多方面效应引起的衰减，dB；本次不考虑。</w:t>
            </w:r>
          </w:p>
          <w:p w14:paraId="3587A875">
            <w:pPr>
              <w:pStyle w:val="11"/>
              <w:spacing w:before="0" w:after="0" w:line="360" w:lineRule="auto"/>
              <w:ind w:right="0" w:firstLine="36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drawing>
                <wp:inline distT="0" distB="0" distL="114300" distR="114300">
                  <wp:extent cx="845185" cy="199390"/>
                  <wp:effectExtent l="0" t="0" r="12065"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0"/>
                          <a:stretch>
                            <a:fillRect/>
                          </a:stretch>
                        </pic:blipFill>
                        <pic:spPr>
                          <a:xfrm>
                            <a:off x="0" y="0"/>
                            <a:ext cx="845185" cy="199390"/>
                          </a:xfrm>
                          <a:prstGeom prst="rect">
                            <a:avLst/>
                          </a:prstGeom>
                          <a:noFill/>
                          <a:ln>
                            <a:noFill/>
                          </a:ln>
                        </pic:spPr>
                      </pic:pic>
                    </a:graphicData>
                  </a:graphic>
                </wp:inline>
              </w:drawing>
            </w:r>
          </w:p>
          <w:p w14:paraId="305650A5">
            <w:pPr>
              <w:pStyle w:val="11"/>
              <w:spacing w:before="0" w:after="0" w:line="360" w:lineRule="auto"/>
              <w:ind w:right="0"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atm</w:t>
            </w:r>
            <w:r>
              <w:rPr>
                <w:rFonts w:hint="default" w:ascii="Times New Roman" w:hAnsi="Times New Roman" w:eastAsia="宋体" w:cs="Times New Roman"/>
                <w:color w:val="auto"/>
                <w:sz w:val="21"/>
                <w:szCs w:val="21"/>
              </w:rPr>
              <w:t>=α×（r-</w:t>
            </w:r>
            <w:r>
              <w:rPr>
                <w:rFonts w:hint="default" w:ascii="Times New Roman" w:hAnsi="Times New Roman" w:eastAsia="宋体" w:cs="Times New Roman"/>
                <w:color w:val="auto"/>
                <w:sz w:val="21"/>
                <w:szCs w:val="21"/>
                <w:lang w:val="en-US" w:eastAsia="zh-CN"/>
              </w:rPr>
              <w:t>ro</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-3</w:t>
            </w:r>
          </w:p>
          <w:p w14:paraId="7A608FFF">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w:t>
            </w:r>
          </w:p>
          <w:p w14:paraId="6581237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vertAlign w:val="subscript"/>
              </w:rPr>
              <w:t>atm</w:t>
            </w:r>
            <w:r>
              <w:rPr>
                <w:rFonts w:hint="default" w:ascii="Times New Roman" w:hAnsi="Times New Roman" w:eastAsia="宋体" w:cs="Times New Roman"/>
                <w:color w:val="auto"/>
                <w:szCs w:val="21"/>
              </w:rPr>
              <w:t>—大气吸收引起的衰减，dB；</w:t>
            </w:r>
          </w:p>
          <w:p w14:paraId="263A99EC">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α—与温度、湿度和声波频率有关的大气吸收衰减系数，预测计算中一般根据建设项目所处区域常年平均气温和湿度选择相应的大气吸收衰减系数，本次取2.8；</w:t>
            </w:r>
          </w:p>
          <w:p w14:paraId="312FB8B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r——预测点距声源的距离；</w:t>
            </w:r>
          </w:p>
          <w:p w14:paraId="0ECE3759">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r</w:t>
            </w:r>
            <w:r>
              <w:rPr>
                <w:rFonts w:hint="default" w:ascii="Times New Roman" w:hAnsi="Times New Roman" w:eastAsia="宋体" w:cs="Times New Roman"/>
                <w:color w:val="auto"/>
                <w:szCs w:val="21"/>
                <w:vertAlign w:val="subscript"/>
              </w:rPr>
              <w:t>0</w:t>
            </w:r>
            <w:r>
              <w:rPr>
                <w:rFonts w:hint="default" w:ascii="Times New Roman" w:hAnsi="Times New Roman" w:eastAsia="宋体" w:cs="Times New Roman"/>
                <w:color w:val="auto"/>
                <w:szCs w:val="21"/>
              </w:rPr>
              <w:t>——参考位置距声源的距离。</w:t>
            </w:r>
          </w:p>
          <w:p w14:paraId="182E1645">
            <w:pPr>
              <w:spacing w:line="360" w:lineRule="auto"/>
              <w:ind w:firstLine="420" w:firstLineChars="2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114300" distR="114300">
                  <wp:extent cx="1969135" cy="264795"/>
                  <wp:effectExtent l="0" t="0" r="12065" b="19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1"/>
                          <a:stretch>
                            <a:fillRect/>
                          </a:stretch>
                        </pic:blipFill>
                        <pic:spPr>
                          <a:xfrm>
                            <a:off x="0" y="0"/>
                            <a:ext cx="1969135" cy="264795"/>
                          </a:xfrm>
                          <a:prstGeom prst="rect">
                            <a:avLst/>
                          </a:prstGeom>
                          <a:noFill/>
                          <a:ln>
                            <a:noFill/>
                          </a:ln>
                        </pic:spPr>
                      </pic:pic>
                    </a:graphicData>
                  </a:graphic>
                </wp:inline>
              </w:drawing>
            </w:r>
          </w:p>
          <w:p w14:paraId="3B190CB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w:t>
            </w:r>
          </w:p>
          <w:p w14:paraId="4B0A86E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Lp(r)——预测点处声压级，dB；</w:t>
            </w:r>
          </w:p>
          <w:p w14:paraId="6DE70AE3">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Lp(r</w:t>
            </w:r>
            <w:r>
              <w:rPr>
                <w:rFonts w:hint="default" w:ascii="Times New Roman" w:hAnsi="Times New Roman" w:eastAsia="宋体" w:cs="Times New Roman"/>
                <w:color w:val="auto"/>
                <w:szCs w:val="21"/>
                <w:vertAlign w:val="subscript"/>
              </w:rPr>
              <w:t>0</w:t>
            </w:r>
            <w:r>
              <w:rPr>
                <w:rFonts w:hint="default" w:ascii="Times New Roman" w:hAnsi="Times New Roman" w:eastAsia="宋体" w:cs="Times New Roman"/>
                <w:color w:val="auto"/>
                <w:szCs w:val="21"/>
              </w:rPr>
              <w:t>)——参考位置r</w:t>
            </w:r>
            <w:r>
              <w:rPr>
                <w:rFonts w:hint="default" w:ascii="Times New Roman" w:hAnsi="Times New Roman" w:eastAsia="宋体" w:cs="Times New Roman"/>
                <w:color w:val="auto"/>
                <w:szCs w:val="21"/>
                <w:vertAlign w:val="subscript"/>
              </w:rPr>
              <w:t>0</w:t>
            </w:r>
            <w:r>
              <w:rPr>
                <w:rFonts w:hint="default" w:ascii="Times New Roman" w:hAnsi="Times New Roman" w:eastAsia="宋体" w:cs="Times New Roman"/>
                <w:color w:val="auto"/>
                <w:szCs w:val="21"/>
              </w:rPr>
              <w:t>处的声压级，dB；</w:t>
            </w:r>
          </w:p>
          <w:p w14:paraId="539989AB">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r——预测点距声源的距离；</w:t>
            </w:r>
          </w:p>
          <w:p w14:paraId="444351D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r</w:t>
            </w:r>
            <w:r>
              <w:rPr>
                <w:rFonts w:hint="default" w:ascii="Times New Roman" w:hAnsi="Times New Roman" w:eastAsia="宋体" w:cs="Times New Roman"/>
                <w:color w:val="auto"/>
                <w:szCs w:val="21"/>
                <w:vertAlign w:val="subscript"/>
              </w:rPr>
              <w:t>0</w:t>
            </w:r>
            <w:r>
              <w:rPr>
                <w:rFonts w:hint="default" w:ascii="Times New Roman" w:hAnsi="Times New Roman" w:eastAsia="宋体" w:cs="Times New Roman"/>
                <w:color w:val="auto"/>
                <w:szCs w:val="21"/>
              </w:rPr>
              <w:t>——参考位置距声源的距离。</w:t>
            </w:r>
          </w:p>
          <w:p w14:paraId="65A79472">
            <w:pPr>
              <w:pStyle w:val="11"/>
              <w:spacing w:before="0" w:after="0" w:line="360" w:lineRule="auto"/>
              <w:ind w:right="0" w:firstLine="422" w:firstLineChars="20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rPr>
              <w:t>⑥预测点的等效声级贡献值</w:t>
            </w:r>
          </w:p>
          <w:p w14:paraId="68F6D67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anchor distT="0" distB="0" distL="114300" distR="114300" simplePos="0" relativeHeight="251659264" behindDoc="0" locked="0" layoutInCell="1" allowOverlap="1">
                  <wp:simplePos x="0" y="0"/>
                  <wp:positionH relativeFrom="column">
                    <wp:posOffset>797560</wp:posOffset>
                  </wp:positionH>
                  <wp:positionV relativeFrom="paragraph">
                    <wp:posOffset>635</wp:posOffset>
                  </wp:positionV>
                  <wp:extent cx="3475990" cy="838200"/>
                  <wp:effectExtent l="0" t="0" r="10160" b="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2"/>
                          <a:stretch>
                            <a:fillRect/>
                          </a:stretch>
                        </pic:blipFill>
                        <pic:spPr>
                          <a:xfrm>
                            <a:off x="0" y="0"/>
                            <a:ext cx="3475990" cy="838200"/>
                          </a:xfrm>
                          <a:prstGeom prst="rect">
                            <a:avLst/>
                          </a:prstGeom>
                          <a:noFill/>
                          <a:ln>
                            <a:noFill/>
                          </a:ln>
                        </pic:spPr>
                      </pic:pic>
                    </a:graphicData>
                  </a:graphic>
                </wp:anchor>
              </w:drawing>
            </w:r>
            <w:r>
              <w:rPr>
                <w:rFonts w:hint="default" w:ascii="Times New Roman" w:hAnsi="Times New Roman" w:eastAsia="宋体" w:cs="Times New Roman"/>
                <w:color w:val="auto"/>
                <w:szCs w:val="21"/>
              </w:rPr>
              <w:t>式中：</w:t>
            </w:r>
          </w:p>
          <w:p w14:paraId="608E9980">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Leqg—建设项目声源在预测点的等效声级贡献值，dB(A)；</w:t>
            </w:r>
          </w:p>
          <w:p w14:paraId="59A3B085">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Ai</w:t>
            </w:r>
            <w:r>
              <w:rPr>
                <w:rFonts w:hint="default" w:ascii="Times New Roman" w:hAnsi="Times New Roman" w:eastAsia="宋体" w:cs="Times New Roman"/>
                <w:color w:val="auto"/>
                <w:szCs w:val="21"/>
              </w:rPr>
              <w:t>—i声源在预测点产生的A声级，dB(A)；</w:t>
            </w:r>
          </w:p>
          <w:p w14:paraId="77B7C32B">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w:t>
            </w:r>
            <w:r>
              <w:rPr>
                <w:rFonts w:hint="default" w:ascii="Times New Roman" w:hAnsi="Times New Roman" w:eastAsia="宋体" w:cs="Times New Roman"/>
                <w:color w:val="auto"/>
                <w:szCs w:val="21"/>
                <w:vertAlign w:val="subscript"/>
              </w:rPr>
              <w:t>Aj</w:t>
            </w:r>
            <w:r>
              <w:rPr>
                <w:rFonts w:hint="default" w:ascii="Times New Roman" w:hAnsi="Times New Roman" w:eastAsia="宋体" w:cs="Times New Roman"/>
                <w:color w:val="auto"/>
                <w:szCs w:val="21"/>
              </w:rPr>
              <w:t>—j声源在预测点产生的A声级，dB(A)；</w:t>
            </w:r>
          </w:p>
          <w:p w14:paraId="5FC73531">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w:t>
            </w:r>
            <w:r>
              <w:rPr>
                <w:rFonts w:hint="default" w:ascii="Times New Roman" w:hAnsi="Times New Roman" w:eastAsia="宋体" w:cs="Times New Roman"/>
                <w:color w:val="auto"/>
                <w:szCs w:val="21"/>
                <w:vertAlign w:val="subscript"/>
              </w:rPr>
              <w:t>j</w:t>
            </w:r>
            <w:r>
              <w:rPr>
                <w:rFonts w:hint="default" w:ascii="Times New Roman" w:hAnsi="Times New Roman" w:eastAsia="宋体" w:cs="Times New Roman"/>
                <w:color w:val="auto"/>
                <w:szCs w:val="21"/>
              </w:rPr>
              <w:t>—在T时间内j声源工作时间，s；</w:t>
            </w:r>
          </w:p>
          <w:p w14:paraId="78507A48">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w:t>
            </w:r>
            <w:r>
              <w:rPr>
                <w:rFonts w:hint="default" w:ascii="Times New Roman" w:hAnsi="Times New Roman" w:eastAsia="宋体" w:cs="Times New Roman"/>
                <w:color w:val="auto"/>
                <w:szCs w:val="21"/>
                <w:vertAlign w:val="subscript"/>
              </w:rPr>
              <w:t>i</w:t>
            </w:r>
            <w:r>
              <w:rPr>
                <w:rFonts w:hint="default" w:ascii="Times New Roman" w:hAnsi="Times New Roman" w:eastAsia="宋体" w:cs="Times New Roman"/>
                <w:color w:val="auto"/>
                <w:szCs w:val="21"/>
              </w:rPr>
              <w:t>—在T时间内i声源工作时间，s；</w:t>
            </w:r>
          </w:p>
          <w:p w14:paraId="4270020F">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T—用于计算等效声级的时间，s；</w:t>
            </w:r>
          </w:p>
          <w:p w14:paraId="5E0BD47C">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N—室外声源个数；</w:t>
            </w:r>
          </w:p>
          <w:p w14:paraId="06E38D7D">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M—等效室外声源个</w:t>
            </w:r>
          </w:p>
          <w:p w14:paraId="62B7B239">
            <w:pPr>
              <w:pStyle w:val="11"/>
              <w:spacing w:before="0" w:after="0" w:line="360" w:lineRule="auto"/>
              <w:ind w:right="0"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⑦噪声预测值</w:t>
            </w:r>
          </w:p>
          <w:p w14:paraId="3C3D2F4A">
            <w:pPr>
              <w:pStyle w:val="11"/>
              <w:spacing w:before="0" w:after="0" w:line="360" w:lineRule="auto"/>
              <w:ind w:right="0" w:firstLine="420" w:firstLineChars="2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044700" cy="340360"/>
                  <wp:effectExtent l="0" t="0" r="12700" b="25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3"/>
                          <a:stretch>
                            <a:fillRect/>
                          </a:stretch>
                        </pic:blipFill>
                        <pic:spPr>
                          <a:xfrm>
                            <a:off x="0" y="0"/>
                            <a:ext cx="2044700" cy="340360"/>
                          </a:xfrm>
                          <a:prstGeom prst="rect">
                            <a:avLst/>
                          </a:prstGeom>
                          <a:noFill/>
                          <a:ln>
                            <a:noFill/>
                          </a:ln>
                        </pic:spPr>
                      </pic:pic>
                    </a:graphicData>
                  </a:graphic>
                </wp:inline>
              </w:drawing>
            </w:r>
          </w:p>
          <w:p w14:paraId="124C0A05">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w:t>
            </w:r>
          </w:p>
          <w:p w14:paraId="0A291705">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Leq—预测点的噪声预测值，dB；</w:t>
            </w:r>
          </w:p>
          <w:p w14:paraId="6564CCF1">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Leqg—建设项目声源在预测点产生的噪声贡献值，dB；</w:t>
            </w:r>
          </w:p>
          <w:p w14:paraId="6717273E">
            <w:pPr>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Leqb—预测点的背景噪声值，dB。</w:t>
            </w:r>
          </w:p>
          <w:p w14:paraId="7E4972BA">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（3）预测结果分析</w:t>
            </w:r>
          </w:p>
          <w:p w14:paraId="62C3376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①噪声源强</w:t>
            </w:r>
          </w:p>
          <w:p w14:paraId="7631C26F">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见表4-10。</w:t>
            </w:r>
          </w:p>
          <w:p w14:paraId="6DFD0FDC">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②厂界噪声预测</w:t>
            </w:r>
          </w:p>
          <w:p w14:paraId="20566EB9">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为了解项目噪声源对周边声环境的影响情况，本次环评选择噪声环评专业辅助系统（EIAP</w:t>
            </w:r>
            <w:r>
              <w:rPr>
                <w:rFonts w:hint="default" w:ascii="Times New Roman" w:hAnsi="Times New Roman" w:eastAsia="宋体" w:cs="Times New Roman"/>
                <w:color w:val="auto"/>
                <w:lang w:val="en-US" w:eastAsia="zh-CN"/>
              </w:rPr>
              <w:t>ro</w:t>
            </w:r>
            <w:r>
              <w:rPr>
                <w:rFonts w:hint="default" w:ascii="Times New Roman" w:hAnsi="Times New Roman" w:eastAsia="宋体" w:cs="Times New Roman"/>
                <w:color w:val="auto"/>
              </w:rPr>
              <w:t>fessionalAssistantSystemSpecialforNoise）EIAP</w:t>
            </w:r>
            <w:r>
              <w:rPr>
                <w:rFonts w:hint="default" w:ascii="Times New Roman" w:hAnsi="Times New Roman" w:eastAsia="宋体" w:cs="Times New Roman"/>
                <w:color w:val="auto"/>
                <w:lang w:val="en-US" w:eastAsia="zh-CN"/>
              </w:rPr>
              <w:t>ro</w:t>
            </w:r>
            <w:r>
              <w:rPr>
                <w:rFonts w:hint="default" w:ascii="Times New Roman" w:hAnsi="Times New Roman" w:eastAsia="宋体" w:cs="Times New Roman"/>
                <w:color w:val="auto"/>
              </w:rPr>
              <w:t>N2021噪声预测软件对声环境影响情况进行预测，预测结果见下表所示。</w:t>
            </w:r>
          </w:p>
          <w:p w14:paraId="2EE2762A">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rPr>
              <w:t xml:space="preserve">4-11  </w:t>
            </w:r>
            <w:r>
              <w:rPr>
                <w:rFonts w:hint="default" w:ascii="Times New Roman" w:hAnsi="Times New Roman" w:eastAsia="宋体" w:cs="Times New Roman"/>
                <w:color w:val="auto"/>
                <w:lang w:val="zh-CN"/>
              </w:rPr>
              <w:t>项目厂界噪声影响预测结果一览表</w:t>
            </w:r>
            <w:r>
              <w:rPr>
                <w:rFonts w:hint="default" w:ascii="Times New Roman" w:hAnsi="Times New Roman" w:eastAsia="宋体" w:cs="Times New Roman"/>
                <w:color w:val="auto"/>
              </w:rPr>
              <w:t xml:space="preserve">  单位：dB（A）</w:t>
            </w:r>
          </w:p>
          <w:tbl>
            <w:tblPr>
              <w:tblStyle w:val="25"/>
              <w:tblW w:w="794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681"/>
              <w:gridCol w:w="1455"/>
              <w:gridCol w:w="1684"/>
              <w:gridCol w:w="2125"/>
            </w:tblGrid>
            <w:tr w14:paraId="0F37C8B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681" w:type="dxa"/>
                  <w:vAlign w:val="center"/>
                </w:tcPr>
                <w:p w14:paraId="40DC039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预测点</w:t>
                  </w:r>
                </w:p>
              </w:tc>
              <w:tc>
                <w:tcPr>
                  <w:tcW w:w="1455" w:type="dxa"/>
                  <w:vAlign w:val="center"/>
                </w:tcPr>
                <w:p w14:paraId="5383C6D9">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贡献值</w:t>
                  </w:r>
                </w:p>
              </w:tc>
              <w:tc>
                <w:tcPr>
                  <w:tcW w:w="1684" w:type="dxa"/>
                  <w:vAlign w:val="center"/>
                </w:tcPr>
                <w:p w14:paraId="017055B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标准值</w:t>
                  </w:r>
                </w:p>
              </w:tc>
              <w:tc>
                <w:tcPr>
                  <w:tcW w:w="2125" w:type="dxa"/>
                  <w:vAlign w:val="center"/>
                </w:tcPr>
                <w:p w14:paraId="4D96048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达标情况</w:t>
                  </w:r>
                </w:p>
              </w:tc>
            </w:tr>
            <w:tr w14:paraId="7258FEA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681" w:type="dxa"/>
                  <w:vAlign w:val="center"/>
                </w:tcPr>
                <w:p w14:paraId="6A1B0EF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厂界北</w:t>
                  </w:r>
                </w:p>
              </w:tc>
              <w:tc>
                <w:tcPr>
                  <w:tcW w:w="1455" w:type="dxa"/>
                  <w:vAlign w:val="center"/>
                </w:tcPr>
                <w:p w14:paraId="2B19B2FC">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34.39</w:t>
                  </w:r>
                </w:p>
              </w:tc>
              <w:tc>
                <w:tcPr>
                  <w:tcW w:w="1684" w:type="dxa"/>
                  <w:vMerge w:val="restart"/>
                  <w:vAlign w:val="center"/>
                </w:tcPr>
                <w:p w14:paraId="13F4293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昼间60</w:t>
                  </w:r>
                </w:p>
              </w:tc>
              <w:tc>
                <w:tcPr>
                  <w:tcW w:w="2125" w:type="dxa"/>
                  <w:vAlign w:val="center"/>
                </w:tcPr>
                <w:p w14:paraId="18DD06C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520ADB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681" w:type="dxa"/>
                  <w:vAlign w:val="center"/>
                </w:tcPr>
                <w:p w14:paraId="5B2EB6D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厂界东</w:t>
                  </w:r>
                </w:p>
              </w:tc>
              <w:tc>
                <w:tcPr>
                  <w:tcW w:w="1455" w:type="dxa"/>
                  <w:vAlign w:val="center"/>
                </w:tcPr>
                <w:p w14:paraId="2A2861E5">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27.95</w:t>
                  </w:r>
                </w:p>
              </w:tc>
              <w:tc>
                <w:tcPr>
                  <w:tcW w:w="1684" w:type="dxa"/>
                  <w:vMerge w:val="continue"/>
                  <w:vAlign w:val="center"/>
                </w:tcPr>
                <w:p w14:paraId="6A404C3B">
                  <w:pPr>
                    <w:pStyle w:val="32"/>
                    <w:snapToGrid w:val="0"/>
                    <w:spacing w:before="72" w:beforeLines="30" w:after="72" w:afterLines="30"/>
                    <w:rPr>
                      <w:rFonts w:hint="default" w:ascii="Times New Roman" w:hAnsi="Times New Roman" w:eastAsia="宋体" w:cs="Times New Roman"/>
                      <w:color w:val="auto"/>
                    </w:rPr>
                  </w:pPr>
                </w:p>
              </w:tc>
              <w:tc>
                <w:tcPr>
                  <w:tcW w:w="2125" w:type="dxa"/>
                  <w:vAlign w:val="center"/>
                </w:tcPr>
                <w:p w14:paraId="3FB95C8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759E737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681" w:type="dxa"/>
                  <w:vAlign w:val="center"/>
                </w:tcPr>
                <w:p w14:paraId="11B54888">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厂界南</w:t>
                  </w:r>
                </w:p>
              </w:tc>
              <w:tc>
                <w:tcPr>
                  <w:tcW w:w="1455" w:type="dxa"/>
                  <w:vAlign w:val="center"/>
                </w:tcPr>
                <w:p w14:paraId="72AC5754">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47.76</w:t>
                  </w:r>
                </w:p>
              </w:tc>
              <w:tc>
                <w:tcPr>
                  <w:tcW w:w="1684" w:type="dxa"/>
                  <w:vMerge w:val="continue"/>
                  <w:vAlign w:val="center"/>
                </w:tcPr>
                <w:p w14:paraId="589F2E1F">
                  <w:pPr>
                    <w:pStyle w:val="32"/>
                    <w:snapToGrid w:val="0"/>
                    <w:spacing w:before="72" w:beforeLines="30" w:after="72" w:afterLines="30"/>
                    <w:rPr>
                      <w:rFonts w:hint="default" w:ascii="Times New Roman" w:hAnsi="Times New Roman" w:eastAsia="宋体" w:cs="Times New Roman"/>
                      <w:color w:val="auto"/>
                    </w:rPr>
                  </w:pPr>
                </w:p>
              </w:tc>
              <w:tc>
                <w:tcPr>
                  <w:tcW w:w="2125" w:type="dxa"/>
                  <w:vAlign w:val="center"/>
                </w:tcPr>
                <w:p w14:paraId="6DB937CC">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达标</w:t>
                  </w:r>
                </w:p>
              </w:tc>
            </w:tr>
            <w:tr w14:paraId="0C095C4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681" w:type="dxa"/>
                  <w:vAlign w:val="center"/>
                </w:tcPr>
                <w:p w14:paraId="5AC05480">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厂界西</w:t>
                  </w:r>
                </w:p>
              </w:tc>
              <w:tc>
                <w:tcPr>
                  <w:tcW w:w="1455" w:type="dxa"/>
                  <w:vAlign w:val="center"/>
                </w:tcPr>
                <w:p w14:paraId="1F769C3A">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54.32</w:t>
                  </w:r>
                </w:p>
              </w:tc>
              <w:tc>
                <w:tcPr>
                  <w:tcW w:w="1684" w:type="dxa"/>
                  <w:vMerge w:val="continue"/>
                  <w:vAlign w:val="center"/>
                </w:tcPr>
                <w:p w14:paraId="24541BDD">
                  <w:pPr>
                    <w:pStyle w:val="32"/>
                    <w:snapToGrid w:val="0"/>
                    <w:spacing w:before="72" w:beforeLines="30" w:after="72" w:afterLines="30"/>
                    <w:rPr>
                      <w:rFonts w:hint="default" w:ascii="Times New Roman" w:hAnsi="Times New Roman" w:eastAsia="宋体" w:cs="Times New Roman"/>
                      <w:color w:val="auto"/>
                    </w:rPr>
                  </w:pPr>
                </w:p>
              </w:tc>
              <w:tc>
                <w:tcPr>
                  <w:tcW w:w="2125" w:type="dxa"/>
                  <w:vAlign w:val="center"/>
                </w:tcPr>
                <w:p w14:paraId="49BDA901">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bl>
          <w:p w14:paraId="5E263CF3">
            <w:pPr>
              <w:adjustRightInd w:val="0"/>
              <w:snapToGrid w:val="0"/>
              <w:jc w:val="center"/>
              <w:rPr>
                <w:rFonts w:hint="default" w:ascii="Times New Roman" w:hAnsi="Times New Roman" w:eastAsia="宋体" w:cs="Times New Roman"/>
                <w:color w:val="auto"/>
              </w:rPr>
            </w:pPr>
          </w:p>
          <w:p w14:paraId="3CA48997">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等值声线图见下图。</w:t>
            </w:r>
          </w:p>
          <w:p w14:paraId="0F3F300A">
            <w:pPr>
              <w:pStyle w:val="31"/>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19700" cy="4391025"/>
                  <wp:effectExtent l="0" t="0" r="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4"/>
                          <a:stretch>
                            <a:fillRect/>
                          </a:stretch>
                        </pic:blipFill>
                        <pic:spPr>
                          <a:xfrm>
                            <a:off x="0" y="0"/>
                            <a:ext cx="5219700" cy="4391025"/>
                          </a:xfrm>
                          <a:prstGeom prst="rect">
                            <a:avLst/>
                          </a:prstGeom>
                          <a:noFill/>
                          <a:ln>
                            <a:noFill/>
                          </a:ln>
                        </pic:spPr>
                      </pic:pic>
                    </a:graphicData>
                  </a:graphic>
                </wp:inline>
              </w:drawing>
            </w:r>
          </w:p>
          <w:p w14:paraId="06229C5E">
            <w:pPr>
              <w:pStyle w:val="34"/>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图4-12 厂界噪声预测等值声线图</w:t>
            </w:r>
          </w:p>
          <w:p w14:paraId="78D5867B">
            <w:pPr>
              <w:pStyle w:val="49"/>
              <w:adjustRightInd w:val="0"/>
              <w:snapToGrid w:val="0"/>
              <w:spacing w:line="360" w:lineRule="auto"/>
              <w:ind w:firstLine="420" w:firstLineChars="200"/>
              <w:jc w:val="left"/>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根据上表预测可知，本项目厂界东、南、西、北侧噪声能满足《工业企业厂界环境噪声排放标准》（GB12348-2008）2类标准要求；</w:t>
            </w:r>
            <w:r>
              <w:rPr>
                <w:rFonts w:hint="default" w:ascii="Times New Roman" w:hAnsi="Times New Roman" w:eastAsia="宋体" w:cs="Times New Roman"/>
                <w:color w:val="auto"/>
              </w:rPr>
              <w:t>本项目建设后对周边声环境影响较小。</w:t>
            </w:r>
          </w:p>
          <w:p w14:paraId="32950FB3">
            <w:pPr>
              <w:snapToGrid w:val="0"/>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为减小运营期噪声对周边环境的影响，本环评提出如下措施：</w:t>
            </w:r>
          </w:p>
          <w:p w14:paraId="1B8818FA">
            <w:pPr>
              <w:snapToGrid w:val="0"/>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①在设备选型上尽量选用低噪音设备。</w:t>
            </w:r>
          </w:p>
          <w:p w14:paraId="4F32E538">
            <w:pPr>
              <w:snapToGrid w:val="0"/>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②加强维护、定期检修，保持设备运行正常，避免因设备的非正常运转造成设备噪声增大。</w:t>
            </w:r>
          </w:p>
          <w:p w14:paraId="6E906A3C">
            <w:pPr>
              <w:snapToGrid w:val="0"/>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③对</w:t>
            </w:r>
            <w:r>
              <w:rPr>
                <w:rFonts w:hint="default" w:ascii="Times New Roman" w:hAnsi="Times New Roman" w:eastAsia="宋体" w:cs="Times New Roman"/>
                <w:color w:val="auto"/>
                <w:szCs w:val="21"/>
              </w:rPr>
              <w:t>主要产噪设备</w:t>
            </w:r>
            <w:r>
              <w:rPr>
                <w:rFonts w:hint="default" w:ascii="Times New Roman" w:hAnsi="Times New Roman" w:eastAsia="宋体" w:cs="Times New Roman"/>
                <w:color w:val="auto"/>
                <w:szCs w:val="21"/>
                <w:lang w:val="zh-CN"/>
              </w:rPr>
              <w:t>采用减震基础，</w:t>
            </w:r>
            <w:r>
              <w:rPr>
                <w:rFonts w:hint="default" w:ascii="Times New Roman" w:hAnsi="Times New Roman" w:eastAsia="宋体" w:cs="Times New Roman"/>
                <w:color w:val="auto"/>
                <w:szCs w:val="21"/>
              </w:rPr>
              <w:t>产噪设备尽可能安排于厂房中央</w:t>
            </w:r>
            <w:r>
              <w:rPr>
                <w:rFonts w:hint="default" w:ascii="Times New Roman" w:hAnsi="Times New Roman" w:eastAsia="宋体" w:cs="Times New Roman"/>
                <w:color w:val="auto"/>
                <w:szCs w:val="21"/>
                <w:lang w:val="zh-CN"/>
              </w:rPr>
              <w:t>。</w:t>
            </w:r>
          </w:p>
          <w:p w14:paraId="35487848">
            <w:pPr>
              <w:snapToGrid w:val="0"/>
              <w:spacing w:line="360" w:lineRule="auto"/>
              <w:ind w:firstLine="420" w:firstLineChars="200"/>
              <w:rPr>
                <w:rFonts w:hint="default" w:ascii="Times New Roman" w:hAnsi="Times New Roman" w:eastAsia="宋体" w:cs="Times New Roman"/>
                <w:color w:val="auto"/>
                <w:szCs w:val="21"/>
                <w:lang w:val="zh-CN"/>
              </w:rPr>
            </w:pPr>
            <w:r>
              <w:rPr>
                <w:rFonts w:hint="default" w:ascii="Times New Roman" w:hAnsi="Times New Roman" w:eastAsia="宋体" w:cs="Times New Roman"/>
                <w:color w:val="auto"/>
                <w:szCs w:val="21"/>
                <w:lang w:val="zh-CN"/>
              </w:rPr>
              <w:t>以上处理措施在各行业噪声防治中广泛应用，处理效果好，对于本工程其防治措施是可行的。</w:t>
            </w:r>
          </w:p>
          <w:p w14:paraId="383B3EFE">
            <w:pPr>
              <w:pStyle w:val="49"/>
              <w:adjustRightInd w:val="0"/>
              <w:snapToGrid w:val="0"/>
              <w:spacing w:line="360" w:lineRule="auto"/>
              <w:ind w:firstLine="420" w:firstLineChars="200"/>
              <w:jc w:val="left"/>
              <w:rPr>
                <w:rFonts w:hint="default" w:ascii="Times New Roman" w:hAnsi="Times New Roman" w:eastAsia="宋体" w:cs="Times New Roman"/>
                <w:b/>
                <w:color w:val="auto"/>
                <w:szCs w:val="21"/>
                <w:lang w:bidi="ar"/>
              </w:rPr>
            </w:pPr>
            <w:r>
              <w:rPr>
                <w:rFonts w:hint="default" w:ascii="Times New Roman" w:hAnsi="Times New Roman" w:eastAsia="宋体" w:cs="Times New Roman"/>
                <w:color w:val="auto"/>
                <w:szCs w:val="21"/>
                <w:lang w:val="zh-CN"/>
              </w:rPr>
              <w:t>综上，评价认为项目噪声对声环境的贡献值不大，在实施本次环评提出的相关措施后，不会改变项目所在区域声环境功能，对</w:t>
            </w:r>
            <w:r>
              <w:rPr>
                <w:rFonts w:hint="default" w:ascii="Times New Roman" w:hAnsi="Times New Roman" w:eastAsia="宋体" w:cs="Times New Roman"/>
                <w:color w:val="auto"/>
                <w:szCs w:val="21"/>
              </w:rPr>
              <w:t>外环境影响极小。</w:t>
            </w:r>
          </w:p>
          <w:p w14:paraId="53EC7222">
            <w:pPr>
              <w:pStyle w:val="49"/>
              <w:adjustRightInd w:val="0"/>
              <w:snapToGrid w:val="0"/>
              <w:spacing w:line="360" w:lineRule="auto"/>
              <w:ind w:firstLine="422" w:firstLineChars="200"/>
              <w:jc w:val="left"/>
              <w:rPr>
                <w:rFonts w:hint="default" w:ascii="Times New Roman" w:hAnsi="Times New Roman" w:eastAsia="宋体" w:cs="Times New Roman"/>
                <w:b/>
                <w:color w:val="auto"/>
                <w:szCs w:val="21"/>
                <w:lang w:bidi="ar"/>
              </w:rPr>
            </w:pPr>
            <w:r>
              <w:rPr>
                <w:rFonts w:hint="default" w:ascii="Times New Roman" w:hAnsi="Times New Roman" w:eastAsia="宋体" w:cs="Times New Roman"/>
                <w:b/>
                <w:color w:val="auto"/>
                <w:szCs w:val="21"/>
                <w:lang w:bidi="ar"/>
              </w:rPr>
              <w:t>（4）监测要求</w:t>
            </w:r>
          </w:p>
          <w:p w14:paraId="30E376B7">
            <w:pPr>
              <w:pStyle w:val="49"/>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根据《排污单位自行监测技术指南 总则》(HJ 819-2017)、《排污许可证申请与核发技术规范 工业噪声》(HJ 1301-2023)的要求。</w:t>
            </w:r>
            <w:r>
              <w:rPr>
                <w:rFonts w:hint="default" w:ascii="Times New Roman" w:hAnsi="Times New Roman" w:eastAsia="宋体" w:cs="Times New Roman"/>
                <w:color w:val="auto"/>
                <w:szCs w:val="21"/>
                <w:lang w:bidi="ar"/>
              </w:rPr>
              <w:t>因项目生产过程中存在印刷工序，故结合参考《排污许可证申请与核发技术规范 印刷工业》（HJ1066—2019）、《排污单位自行监测技术指南 印刷工业》（HJ1246-2022），提出监测计划如下。</w:t>
            </w:r>
          </w:p>
          <w:p w14:paraId="214E27B2">
            <w:pPr>
              <w:pStyle w:val="58"/>
              <w:adjustRightInd w:val="0"/>
              <w:snapToGrid w:val="0"/>
              <w:spacing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表4-13  噪声监测要求一览表</w:t>
            </w:r>
          </w:p>
          <w:tbl>
            <w:tblPr>
              <w:tblStyle w:val="25"/>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2463"/>
              <w:gridCol w:w="2465"/>
            </w:tblGrid>
            <w:tr w14:paraId="4F42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3030" w:type="dxa"/>
                  <w:vAlign w:val="center"/>
                </w:tcPr>
                <w:p w14:paraId="4E5589A4">
                  <w:pPr>
                    <w:pStyle w:val="58"/>
                    <w:adjustRightInd w:val="0"/>
                    <w:snapToGrid w:val="0"/>
                    <w:spacing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463" w:type="dxa"/>
                  <w:vAlign w:val="center"/>
                </w:tcPr>
                <w:p w14:paraId="428E3856">
                  <w:pPr>
                    <w:pStyle w:val="58"/>
                    <w:adjustRightInd w:val="0"/>
                    <w:snapToGrid w:val="0"/>
                    <w:spacing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2465" w:type="dxa"/>
                  <w:vAlign w:val="center"/>
                </w:tcPr>
                <w:p w14:paraId="65141A53">
                  <w:pPr>
                    <w:pStyle w:val="58"/>
                    <w:adjustRightInd w:val="0"/>
                    <w:snapToGrid w:val="0"/>
                    <w:spacing w:line="240" w:lineRule="auto"/>
                    <w:ind w:firstLine="0" w:firstLineChars="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14:paraId="25AB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3030" w:type="dxa"/>
                  <w:vAlign w:val="center"/>
                </w:tcPr>
                <w:p w14:paraId="51158FB5">
                  <w:pPr>
                    <w:pStyle w:val="58"/>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厂界东、南、西、北侧</w:t>
                  </w:r>
                </w:p>
              </w:tc>
              <w:tc>
                <w:tcPr>
                  <w:tcW w:w="2463" w:type="dxa"/>
                  <w:vAlign w:val="center"/>
                </w:tcPr>
                <w:p w14:paraId="4336FB34">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厂界噪声</w:t>
                  </w:r>
                </w:p>
              </w:tc>
              <w:tc>
                <w:tcPr>
                  <w:tcW w:w="2465" w:type="dxa"/>
                  <w:vAlign w:val="center"/>
                </w:tcPr>
                <w:p w14:paraId="2F4FDBAC">
                  <w:pPr>
                    <w:pStyle w:val="58"/>
                    <w:adjustRightInd w:val="0"/>
                    <w:snapToGrid w:val="0"/>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w:t>
                  </w:r>
                </w:p>
              </w:tc>
            </w:tr>
          </w:tbl>
          <w:p w14:paraId="337FB21C">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4.5 固废环境影响和治理措施</w:t>
            </w:r>
          </w:p>
          <w:p w14:paraId="44E0ABBF">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4.5.1 运营期固废产生情况</w:t>
            </w:r>
          </w:p>
          <w:p w14:paraId="7A29947A">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本项目运营期主要固废源为一般工业固废和危险废物。一般工业固废包括废包装材料、边角废料和不合格产品、</w:t>
            </w:r>
            <w:r>
              <w:rPr>
                <w:rFonts w:hint="default" w:ascii="Times New Roman" w:hAnsi="Times New Roman" w:eastAsia="宋体" w:cs="Times New Roman"/>
                <w:b w:val="0"/>
                <w:bCs/>
                <w:color w:val="auto"/>
                <w:sz w:val="21"/>
                <w:szCs w:val="21"/>
                <w:lang w:val="en-US" w:eastAsia="zh-CN"/>
              </w:rPr>
              <w:t>多管除尘渣、布袋除尘渣</w:t>
            </w:r>
            <w:r>
              <w:rPr>
                <w:rFonts w:hint="default" w:ascii="Times New Roman" w:hAnsi="Times New Roman" w:eastAsia="宋体" w:cs="Times New Roman"/>
                <w:color w:val="auto"/>
                <w:lang w:val="en-US" w:eastAsia="zh-CN"/>
              </w:rPr>
              <w:t>、炉渣</w:t>
            </w:r>
            <w:r>
              <w:rPr>
                <w:rFonts w:hint="default" w:ascii="Times New Roman" w:hAnsi="Times New Roman" w:eastAsia="宋体" w:cs="Times New Roman"/>
                <w:color w:val="auto"/>
                <w:lang w:eastAsia="zh-CN"/>
              </w:rPr>
              <w:t>、</w:t>
            </w:r>
            <w:r>
              <w:rPr>
                <w:rFonts w:hint="default" w:ascii="Times New Roman" w:hAnsi="Times New Roman" w:eastAsia="宋体" w:cs="Times New Roman"/>
                <w:b w:val="0"/>
                <w:bCs w:val="0"/>
                <w:color w:val="auto"/>
                <w:lang w:val="en-US" w:eastAsia="zh-CN"/>
              </w:rPr>
              <w:t>废胶渣</w:t>
            </w:r>
            <w:r>
              <w:rPr>
                <w:rFonts w:hint="default" w:ascii="Times New Roman" w:hAnsi="Times New Roman" w:eastAsia="宋体" w:cs="Times New Roman"/>
                <w:color w:val="auto"/>
                <w:lang w:val="en-US" w:eastAsia="zh-CN"/>
              </w:rPr>
              <w:t>等</w:t>
            </w:r>
            <w:r>
              <w:rPr>
                <w:rFonts w:hint="default" w:ascii="Times New Roman" w:hAnsi="Times New Roman" w:eastAsia="宋体" w:cs="Times New Roman"/>
                <w:color w:val="auto"/>
              </w:rPr>
              <w:t>；危险废物包括废润滑油、废润滑油桶。项目建成后全厂固废类别及产生、处置情况详见表。</w:t>
            </w:r>
          </w:p>
          <w:p w14:paraId="28320136">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4.5.2 运营期固废核算</w:t>
            </w:r>
          </w:p>
          <w:p w14:paraId="615EDB99">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）一般工业固体废物</w:t>
            </w:r>
          </w:p>
          <w:p w14:paraId="0F1B696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①废包装材料</w:t>
            </w:r>
          </w:p>
          <w:p w14:paraId="29A67E30">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本项目外购原料等会用到包装纸箱、塑料，预计废包装材料产生量约</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t/a，分类收集后暂存于一般固废暂存间，定期卖给当地废品收购站。</w:t>
            </w:r>
          </w:p>
          <w:p w14:paraId="7343CA0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②边角料和不合格产品</w:t>
            </w:r>
          </w:p>
          <w:p w14:paraId="1CD90741">
            <w:pPr>
              <w:pStyle w:val="31"/>
              <w:ind w:firstLine="420"/>
              <w:rPr>
                <w:rFonts w:hint="default" w:ascii="Times New Roman" w:hAnsi="Times New Roman" w:eastAsia="宋体" w:cs="Times New Roman"/>
                <w:b/>
                <w:bCs/>
                <w:color w:val="auto"/>
              </w:rPr>
            </w:pPr>
            <w:r>
              <w:rPr>
                <w:rFonts w:hint="default" w:ascii="Times New Roman" w:hAnsi="Times New Roman" w:eastAsia="宋体" w:cs="Times New Roman"/>
                <w:color w:val="auto"/>
              </w:rPr>
              <w:t>项目运营过程中</w:t>
            </w:r>
            <w:r>
              <w:rPr>
                <w:rFonts w:hint="default" w:ascii="Times New Roman" w:hAnsi="Times New Roman" w:eastAsia="宋体" w:cs="Times New Roman"/>
                <w:color w:val="auto"/>
                <w:lang w:val="en-US" w:eastAsia="zh-CN"/>
              </w:rPr>
              <w:t>分切</w:t>
            </w:r>
            <w:r>
              <w:rPr>
                <w:rFonts w:hint="default" w:ascii="Times New Roman" w:hAnsi="Times New Roman" w:eastAsia="宋体" w:cs="Times New Roman"/>
                <w:color w:val="auto"/>
              </w:rPr>
              <w:t>工段会产生的废边角料和不合格产品，根据业主提供的资料，边角料产品总量的占2%，不合格品占产品总量的1%，产生量约</w:t>
            </w:r>
            <w:r>
              <w:rPr>
                <w:rFonts w:hint="default" w:ascii="Times New Roman" w:hAnsi="Times New Roman" w:eastAsia="宋体" w:cs="Times New Roman"/>
                <w:color w:val="auto"/>
                <w:lang w:val="en-US" w:eastAsia="zh-CN"/>
              </w:rPr>
              <w:t>240</w:t>
            </w:r>
            <w:r>
              <w:rPr>
                <w:rFonts w:hint="default" w:ascii="Times New Roman" w:hAnsi="Times New Roman" w:eastAsia="宋体" w:cs="Times New Roman"/>
                <w:color w:val="auto"/>
              </w:rPr>
              <w:t>t/a，统一收集后暂存于一般固废暂存区，定期外售给废品收购站。</w:t>
            </w:r>
          </w:p>
          <w:p w14:paraId="5C44F50D">
            <w:pPr>
              <w:pStyle w:val="31"/>
              <w:ind w:firstLine="42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③炉渣、</w:t>
            </w:r>
            <w:r>
              <w:rPr>
                <w:rFonts w:hint="default" w:ascii="Times New Roman" w:hAnsi="Times New Roman" w:eastAsia="宋体" w:cs="Times New Roman"/>
                <w:b w:val="0"/>
                <w:bCs/>
                <w:color w:val="auto"/>
                <w:sz w:val="21"/>
                <w:szCs w:val="21"/>
                <w:lang w:val="en-US" w:eastAsia="zh-CN"/>
              </w:rPr>
              <w:t>多管除尘渣、布袋除尘渣</w:t>
            </w:r>
          </w:p>
          <w:p w14:paraId="19C0BD47">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项目使用生物质燃料</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auto"/>
                <w:sz w:val="21"/>
                <w:szCs w:val="21"/>
                <w:highlight w:val="none"/>
                <w:lang w:eastAsia="zh-CN"/>
              </w:rPr>
              <w:t>燃料燃烧产生的灰渣量按下式计算：</w:t>
            </w:r>
          </w:p>
          <w:p w14:paraId="4A996485">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1596390" cy="334010"/>
                  <wp:effectExtent l="0" t="0" r="3810" b="8890"/>
                  <wp:docPr id="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pic:cNvPicPr>
                            <a:picLocks noChangeAspect="1"/>
                          </pic:cNvPicPr>
                        </pic:nvPicPr>
                        <pic:blipFill>
                          <a:blip r:embed="rId35"/>
                          <a:stretch>
                            <a:fillRect/>
                          </a:stretch>
                        </pic:blipFill>
                        <pic:spPr>
                          <a:xfrm>
                            <a:off x="0" y="0"/>
                            <a:ext cx="1596390" cy="334010"/>
                          </a:xfrm>
                          <a:prstGeom prst="rect">
                            <a:avLst/>
                          </a:prstGeom>
                          <a:noFill/>
                          <a:ln>
                            <a:noFill/>
                          </a:ln>
                        </pic:spPr>
                      </pic:pic>
                    </a:graphicData>
                  </a:graphic>
                </wp:inline>
              </w:drawing>
            </w:r>
          </w:p>
          <w:p w14:paraId="0AF060F0">
            <w:pPr>
              <w:pStyle w:val="7"/>
              <w:keepNext w:val="0"/>
              <w:keepLines w:val="0"/>
              <w:pageBreakBefore w:val="0"/>
              <w:widowControl w:val="0"/>
              <w:kinsoku/>
              <w:wordWrap/>
              <w:overflowPunct/>
              <w:topLinePunct w:val="0"/>
              <w:autoSpaceDE/>
              <w:autoSpaceDN/>
              <w:bidi w:val="0"/>
              <w:adjustRightInd/>
              <w:snapToGrid/>
              <w:spacing w:line="360" w:lineRule="auto"/>
              <w:ind w:firstLine="1050" w:firstLineChars="500"/>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式中：</w:t>
            </w:r>
            <w:r>
              <w:rPr>
                <w:rFonts w:hint="default" w:ascii="Times New Roman" w:hAnsi="Times New Roman" w:eastAsia="宋体" w:cs="Times New Roman"/>
                <w:color w:val="auto"/>
                <w:sz w:val="21"/>
                <w:szCs w:val="21"/>
                <w:highlight w:val="none"/>
                <w:lang w:val="en-US" w:eastAsia="zh-CN"/>
              </w:rPr>
              <w:t>G—灰渣产生量，t/a；</w:t>
            </w:r>
          </w:p>
          <w:p w14:paraId="1BCB5615">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A—灰分含量，%，为2.48%；</w:t>
            </w:r>
          </w:p>
          <w:p w14:paraId="535CB018">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 xml:space="preserve">            W—燃料耗量，</w:t>
            </w:r>
            <w:r>
              <w:rPr>
                <w:rFonts w:hint="default" w:ascii="Times New Roman" w:hAnsi="Times New Roman" w:eastAsia="宋体" w:cs="Times New Roman"/>
                <w:color w:val="auto"/>
                <w:sz w:val="21"/>
                <w:szCs w:val="21"/>
                <w:lang w:val="en-US" w:eastAsia="zh-CN"/>
              </w:rPr>
              <w:t>1776</w:t>
            </w:r>
            <w:r>
              <w:rPr>
                <w:rFonts w:hint="default" w:ascii="Times New Roman" w:hAnsi="Times New Roman" w:eastAsia="宋体" w:cs="Times New Roman"/>
                <w:b w:val="0"/>
                <w:bCs w:val="0"/>
                <w:color w:val="auto"/>
                <w:sz w:val="21"/>
                <w:szCs w:val="21"/>
                <w:highlight w:val="none"/>
                <w:lang w:val="en-US" w:eastAsia="zh-CN"/>
              </w:rPr>
              <w:t>t/a</w:t>
            </w:r>
            <w:r>
              <w:rPr>
                <w:rFonts w:hint="default" w:ascii="Times New Roman" w:hAnsi="Times New Roman" w:eastAsia="宋体" w:cs="Times New Roman"/>
                <w:b w:val="0"/>
                <w:bCs w:val="0"/>
                <w:color w:val="auto"/>
                <w:sz w:val="21"/>
                <w:szCs w:val="21"/>
                <w:highlight w:val="none"/>
                <w:lang w:eastAsia="zh-CN"/>
              </w:rPr>
              <w:t>；</w:t>
            </w:r>
          </w:p>
          <w:p w14:paraId="487AA5CB">
            <w:pPr>
              <w:pStyle w:val="7"/>
              <w:keepNext w:val="0"/>
              <w:keepLines w:val="0"/>
              <w:pageBreakBefore w:val="0"/>
              <w:widowControl w:val="0"/>
              <w:kinsoku/>
              <w:wordWrap/>
              <w:overflowPunct/>
              <w:topLinePunct w:val="0"/>
              <w:autoSpaceDE/>
              <w:autoSpaceDN/>
              <w:bidi w:val="0"/>
              <w:adjustRightInd/>
              <w:snapToGrid/>
              <w:spacing w:line="360" w:lineRule="auto"/>
              <w:ind w:firstLine="1680" w:firstLineChars="800"/>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B—飞灰占生物质燃料中总灰分的百分比，%，取50%</w:t>
            </w:r>
          </w:p>
          <w:p w14:paraId="24450DAA">
            <w:pPr>
              <w:adjustRightInd w:val="0"/>
              <w:snapToGrid w:val="0"/>
              <w:spacing w:line="360" w:lineRule="auto"/>
              <w:ind w:firstLine="420" w:firstLineChars="20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根据上式计算得热风炉产生的炉</w:t>
            </w:r>
            <w:r>
              <w:rPr>
                <w:rFonts w:hint="default" w:ascii="Times New Roman" w:hAnsi="Times New Roman" w:eastAsia="宋体" w:cs="Times New Roman"/>
                <w:color w:val="auto"/>
                <w:kern w:val="2"/>
                <w:sz w:val="21"/>
                <w:szCs w:val="21"/>
                <w:highlight w:val="none"/>
                <w:lang w:val="en-US" w:eastAsia="zh-CN" w:bidi="ar-SA"/>
              </w:rPr>
              <w:t>渣量为22.02t/a，本项目大约收集除尘渣22.02t/a，经收集后暂存于项目燃料棚西侧设置的渣场堆放</w:t>
            </w:r>
            <w:r>
              <w:rPr>
                <w:rFonts w:hint="default" w:ascii="Times New Roman" w:hAnsi="Times New Roman" w:eastAsia="宋体" w:cs="Times New Roman"/>
                <w:bCs/>
                <w:color w:val="auto"/>
                <w:sz w:val="21"/>
                <w:szCs w:val="21"/>
                <w:u w:val="none"/>
                <w:lang w:val="en-US" w:eastAsia="zh-CN"/>
              </w:rPr>
              <w:t>（1个，10m</w:t>
            </w:r>
            <w:r>
              <w:rPr>
                <w:rFonts w:hint="default" w:ascii="Times New Roman" w:hAnsi="Times New Roman" w:eastAsia="宋体" w:cs="Times New Roman"/>
                <w:bCs/>
                <w:color w:val="auto"/>
                <w:sz w:val="21"/>
                <w:szCs w:val="21"/>
                <w:u w:val="none"/>
                <w:vertAlign w:val="superscript"/>
                <w:lang w:val="en-US" w:eastAsia="zh-CN"/>
              </w:rPr>
              <w:t>2</w:t>
            </w:r>
            <w:r>
              <w:rPr>
                <w:rFonts w:hint="default" w:ascii="Times New Roman" w:hAnsi="Times New Roman" w:eastAsia="宋体" w:cs="Times New Roman"/>
                <w:bCs/>
                <w:color w:val="auto"/>
                <w:sz w:val="21"/>
                <w:szCs w:val="21"/>
                <w:u w:val="none"/>
                <w:lang w:val="en-US" w:eastAsia="zh-CN"/>
              </w:rPr>
              <w:t>）</w:t>
            </w:r>
            <w:r>
              <w:rPr>
                <w:rFonts w:hint="default" w:ascii="Times New Roman" w:hAnsi="Times New Roman" w:eastAsia="宋体" w:cs="Times New Roman"/>
                <w:color w:val="auto"/>
                <w:kern w:val="2"/>
                <w:sz w:val="21"/>
                <w:szCs w:val="21"/>
                <w:highlight w:val="none"/>
                <w:lang w:val="en-US" w:eastAsia="zh-CN" w:bidi="ar-SA"/>
              </w:rPr>
              <w:t>，合计收集44.04t/a，</w:t>
            </w:r>
            <w:r>
              <w:rPr>
                <w:rFonts w:hint="default" w:ascii="Times New Roman" w:hAnsi="Times New Roman" w:eastAsia="宋体" w:cs="Times New Roman"/>
                <w:color w:val="auto"/>
                <w:sz w:val="21"/>
                <w:szCs w:val="21"/>
                <w:lang w:val="en-US" w:eastAsia="zh-CN"/>
              </w:rPr>
              <w:t>生物质燃烧产生的灰渣含有K、Ca等元素，可用作为农肥，委托周边农户进行清运。</w:t>
            </w:r>
          </w:p>
          <w:p w14:paraId="217714EA">
            <w:pPr>
              <w:pStyle w:val="3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④废淀粉胶渣</w:t>
            </w:r>
          </w:p>
          <w:p w14:paraId="1FF02CCC">
            <w:pPr>
              <w:pStyle w:val="31"/>
              <w:ind w:firstLine="420"/>
              <w:rPr>
                <w:rFonts w:hint="default" w:ascii="Times New Roman" w:hAnsi="Times New Roman" w:eastAsia="宋体" w:cs="Times New Roman"/>
                <w:b/>
                <w:bCs/>
                <w:color w:val="auto"/>
              </w:rPr>
            </w:pPr>
            <w:r>
              <w:rPr>
                <w:rFonts w:hint="default" w:ascii="Times New Roman" w:hAnsi="Times New Roman" w:eastAsia="宋体" w:cs="Times New Roman"/>
                <w:b w:val="0"/>
                <w:bCs w:val="0"/>
                <w:color w:val="auto"/>
                <w:lang w:val="en-US" w:eastAsia="zh-CN"/>
              </w:rPr>
              <w:t>在使用淀粉胶时或设备维修时，会产生少量的胶渣，根据业主提供的资料胶渣产生量约为使用量的1%，本项目淀粉胶使用量800t，大约产生8t，回收于搅拌机，作为搅拌原料掺杂使用。</w:t>
            </w:r>
          </w:p>
          <w:p w14:paraId="712A7C31">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⑤软水制备产生的废石英砂和活性炭</w:t>
            </w:r>
          </w:p>
          <w:p w14:paraId="3EE8AF85">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lang w:val="en-US" w:eastAsia="zh-CN"/>
              </w:rPr>
              <w:t>根据设备厂家提供的数据，废活性炭和废石英砂分别采用罐装，其中石英砂与活性炭合计重量为0.5t，</w:t>
            </w:r>
            <w:r>
              <w:rPr>
                <w:rFonts w:hint="default" w:ascii="Times New Roman" w:hAnsi="Times New Roman" w:eastAsia="宋体" w:cs="Times New Roman"/>
                <w:b w:val="0"/>
                <w:bCs w:val="0"/>
                <w:color w:val="auto"/>
                <w:sz w:val="21"/>
                <w:szCs w:val="21"/>
                <w:u w:val="none"/>
              </w:rPr>
              <w:t>更换时联系设备厂家更换回收处置，并签订清运处置协议</w:t>
            </w:r>
            <w:r>
              <w:rPr>
                <w:rFonts w:hint="default" w:ascii="Times New Roman" w:hAnsi="Times New Roman" w:eastAsia="宋体" w:cs="Times New Roman"/>
                <w:color w:val="auto"/>
                <w:sz w:val="21"/>
                <w:szCs w:val="21"/>
                <w:lang w:eastAsia="zh-CN"/>
              </w:rPr>
              <w:t>。</w:t>
            </w:r>
          </w:p>
          <w:p w14:paraId="3B12B19A">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⑥软水制备产生的废离子交换树脂</w:t>
            </w:r>
          </w:p>
          <w:p w14:paraId="78DBDC8D">
            <w:pPr>
              <w:pStyle w:val="31"/>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hint="default" w:ascii="Times New Roman" w:hAnsi="Times New Roman" w:eastAsia="宋体" w:cs="Times New Roman"/>
                <w:b/>
                <w:bCs/>
                <w:color w:val="auto"/>
              </w:rPr>
            </w:pPr>
            <w:r>
              <w:rPr>
                <w:rFonts w:hint="default" w:ascii="Times New Roman" w:hAnsi="Times New Roman" w:eastAsia="宋体" w:cs="Times New Roman"/>
                <w:color w:val="auto"/>
                <w:spacing w:val="10"/>
                <w:sz w:val="21"/>
                <w:szCs w:val="21"/>
                <w:lang w:val="en-US" w:eastAsia="zh-CN"/>
              </w:rPr>
              <w:t>根据</w:t>
            </w:r>
            <w:r>
              <w:rPr>
                <w:rFonts w:hint="default" w:ascii="Times New Roman" w:hAnsi="Times New Roman" w:eastAsia="宋体" w:cs="Times New Roman"/>
                <w:color w:val="auto"/>
                <w:sz w:val="21"/>
                <w:szCs w:val="21"/>
                <w:lang w:val="en-US" w:eastAsia="zh-CN"/>
              </w:rPr>
              <w:t>企业提供的资料离子交换树脂组5-10年更换一次，离子交换树脂组重量为0.5t，</w:t>
            </w:r>
            <w:r>
              <w:rPr>
                <w:rFonts w:hint="default" w:ascii="Times New Roman" w:hAnsi="Times New Roman" w:eastAsia="宋体" w:cs="Times New Roman"/>
                <w:b w:val="0"/>
                <w:bCs w:val="0"/>
                <w:color w:val="auto"/>
                <w:sz w:val="21"/>
                <w:szCs w:val="21"/>
                <w:u w:val="none"/>
              </w:rPr>
              <w:t>更换时联系设备厂家更换回收处置，并签订清运处置协议</w:t>
            </w:r>
            <w:r>
              <w:rPr>
                <w:rFonts w:hint="default" w:ascii="Times New Roman" w:hAnsi="Times New Roman" w:eastAsia="宋体" w:cs="Times New Roman"/>
                <w:color w:val="auto"/>
                <w:sz w:val="21"/>
                <w:szCs w:val="21"/>
                <w:lang w:eastAsia="zh-CN"/>
              </w:rPr>
              <w:t>。</w:t>
            </w:r>
          </w:p>
          <w:p w14:paraId="639A89C2">
            <w:pPr>
              <w:pStyle w:val="31"/>
              <w:ind w:firstLine="42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）危险废物</w:t>
            </w:r>
          </w:p>
          <w:p w14:paraId="3AA3CE04">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项目运营过程中产生的危险废物主要为危险废物包括废润滑油、废润滑油桶。</w:t>
            </w:r>
          </w:p>
          <w:p w14:paraId="3923309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①废润滑油、废润滑油桶</w:t>
            </w:r>
          </w:p>
          <w:p w14:paraId="015CCCC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项目卷管机设备润滑过程中产生的废润滑油产生量约为 0.1t/a，根据《国家危险废物名录（2021 版）》，废润滑油属于危险废物，其类别和代码为 HW08（900-217-08）。分类收集后暂存于危废暂存间，定期委托有资质的单位清运处置。项目卷管机设备润滑过程中产生的废润滑油桶量较小，产生量约 4只/a（约 0.05t/a），根据《国家危险废物名录》规定，含有或沾染毒性危险废物的废弃包装物、容器属于危险废物，废物代码900-041-49。暂存于危废暂存间，定期委托有资质的单位清运处置。</w:t>
            </w:r>
          </w:p>
          <w:p w14:paraId="3CB38CA1">
            <w:pPr>
              <w:pStyle w:val="38"/>
              <w:ind w:firstLine="420" w:firstLineChars="20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本项目固体废弃物产生量见下表：</w:t>
            </w:r>
          </w:p>
          <w:p w14:paraId="4F26C7CA">
            <w:pPr>
              <w:pStyle w:val="34"/>
              <w:snapToGrid w:val="0"/>
              <w:spacing w:line="240" w:lineRule="auto"/>
              <w:ind w:firstLine="422"/>
              <w:rPr>
                <w:rFonts w:hint="default" w:ascii="Times New Roman" w:hAnsi="Times New Roman" w:eastAsia="宋体" w:cs="Times New Roman"/>
                <w:color w:val="auto"/>
              </w:rPr>
            </w:pPr>
            <w:r>
              <w:rPr>
                <w:rFonts w:hint="default" w:ascii="Times New Roman" w:hAnsi="Times New Roman" w:eastAsia="宋体" w:cs="Times New Roman"/>
                <w:color w:val="auto"/>
              </w:rPr>
              <w:t>表4-14  项目主要固废产生及处置情况</w:t>
            </w:r>
          </w:p>
          <w:tbl>
            <w:tblPr>
              <w:tblStyle w:val="25"/>
              <w:tblW w:w="8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573"/>
              <w:gridCol w:w="2286"/>
              <w:gridCol w:w="2947"/>
            </w:tblGrid>
            <w:tr w14:paraId="5F59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19" w:type="dxa"/>
                  <w:vAlign w:val="center"/>
                </w:tcPr>
                <w:p w14:paraId="6BEFCFE6">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固废名称</w:t>
                  </w:r>
                </w:p>
              </w:tc>
              <w:tc>
                <w:tcPr>
                  <w:tcW w:w="1573" w:type="dxa"/>
                  <w:vAlign w:val="center"/>
                </w:tcPr>
                <w:p w14:paraId="2679E239">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产生量（t/a）</w:t>
                  </w:r>
                </w:p>
              </w:tc>
              <w:tc>
                <w:tcPr>
                  <w:tcW w:w="2286" w:type="dxa"/>
                  <w:vAlign w:val="center"/>
                </w:tcPr>
                <w:p w14:paraId="7942F340">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属性</w:t>
                  </w:r>
                </w:p>
              </w:tc>
              <w:tc>
                <w:tcPr>
                  <w:tcW w:w="2947" w:type="dxa"/>
                  <w:vMerge w:val="restart"/>
                  <w:vAlign w:val="center"/>
                </w:tcPr>
                <w:p w14:paraId="0FD871BE">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处置方式</w:t>
                  </w:r>
                </w:p>
              </w:tc>
            </w:tr>
            <w:tr w14:paraId="7F49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619" w:type="dxa"/>
                  <w:vAlign w:val="center"/>
                </w:tcPr>
                <w:p w14:paraId="00FF1D85">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废包装材料</w:t>
                  </w:r>
                </w:p>
              </w:tc>
              <w:tc>
                <w:tcPr>
                  <w:tcW w:w="1573" w:type="dxa"/>
                  <w:vAlign w:val="center"/>
                </w:tcPr>
                <w:p w14:paraId="6B559F97">
                  <w:pPr>
                    <w:pStyle w:val="32"/>
                    <w:spacing w:before="60" w:after="60"/>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8</w:t>
                  </w:r>
                </w:p>
              </w:tc>
              <w:tc>
                <w:tcPr>
                  <w:tcW w:w="2286" w:type="dxa"/>
                  <w:vAlign w:val="center"/>
                </w:tcPr>
                <w:p w14:paraId="1409CFF3">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Merge w:val="restart"/>
                  <w:vAlign w:val="center"/>
                </w:tcPr>
                <w:p w14:paraId="2EEA4545">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统一收集后出售给物资回收公司回收利用</w:t>
                  </w:r>
                </w:p>
              </w:tc>
            </w:tr>
            <w:tr w14:paraId="1E87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19" w:type="dxa"/>
                  <w:vAlign w:val="center"/>
                </w:tcPr>
                <w:p w14:paraId="359A7666">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边角料和不合格产品</w:t>
                  </w:r>
                </w:p>
              </w:tc>
              <w:tc>
                <w:tcPr>
                  <w:tcW w:w="1573" w:type="dxa"/>
                  <w:vAlign w:val="center"/>
                </w:tcPr>
                <w:p w14:paraId="5F8E5791">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240</w:t>
                  </w:r>
                </w:p>
              </w:tc>
              <w:tc>
                <w:tcPr>
                  <w:tcW w:w="2286" w:type="dxa"/>
                  <w:vAlign w:val="center"/>
                </w:tcPr>
                <w:p w14:paraId="0307F2C2">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Merge w:val="continue"/>
                  <w:vAlign w:val="center"/>
                </w:tcPr>
                <w:p w14:paraId="77B3E794">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p>
              </w:tc>
            </w:tr>
            <w:tr w14:paraId="75E7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19" w:type="dxa"/>
                  <w:vAlign w:val="center"/>
                </w:tcPr>
                <w:p w14:paraId="6E389588">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废淀粉胶渣</w:t>
                  </w:r>
                </w:p>
              </w:tc>
              <w:tc>
                <w:tcPr>
                  <w:tcW w:w="1573" w:type="dxa"/>
                  <w:vAlign w:val="center"/>
                </w:tcPr>
                <w:p w14:paraId="5F9FF6E8">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2286" w:type="dxa"/>
                  <w:vAlign w:val="center"/>
                </w:tcPr>
                <w:p w14:paraId="7927E076">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Align w:val="center"/>
                </w:tcPr>
                <w:p w14:paraId="21702EF1">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lang w:val="en-US" w:eastAsia="zh-CN"/>
                    </w:rPr>
                    <w:t>回收于搅拌机，作为搅拌原料掺杂使用</w:t>
                  </w:r>
                </w:p>
              </w:tc>
            </w:tr>
            <w:tr w14:paraId="5479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9" w:type="dxa"/>
                  <w:shd w:val="clear" w:color="auto" w:fill="auto"/>
                  <w:vAlign w:val="center"/>
                </w:tcPr>
                <w:p w14:paraId="6F358C2E">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多管除尘渣、布袋除尘渣</w:t>
                  </w:r>
                </w:p>
              </w:tc>
              <w:tc>
                <w:tcPr>
                  <w:tcW w:w="1573" w:type="dxa"/>
                  <w:shd w:val="clear" w:color="auto" w:fill="auto"/>
                  <w:vAlign w:val="center"/>
                </w:tcPr>
                <w:p w14:paraId="74C6743C">
                  <w:pPr>
                    <w:pStyle w:val="32"/>
                    <w:spacing w:before="60" w:after="6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22.02</w:t>
                  </w:r>
                </w:p>
              </w:tc>
              <w:tc>
                <w:tcPr>
                  <w:tcW w:w="2286" w:type="dxa"/>
                  <w:shd w:val="clear" w:color="auto" w:fill="auto"/>
                  <w:vAlign w:val="center"/>
                </w:tcPr>
                <w:p w14:paraId="62DDA149">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Merge w:val="restart"/>
                  <w:vAlign w:val="center"/>
                </w:tcPr>
                <w:p w14:paraId="1F73EF03">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生物质锅炉技改后，不产生煤渣和水膜除尘渣；生物质燃烧产生的灰渣含有K、Ca等元素，可用作为农肥，委托周边农户进行清运</w:t>
                  </w:r>
                </w:p>
              </w:tc>
            </w:tr>
            <w:tr w14:paraId="7E25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19" w:type="dxa"/>
                  <w:shd w:val="clear" w:color="auto" w:fill="auto"/>
                  <w:vAlign w:val="center"/>
                </w:tcPr>
                <w:p w14:paraId="0A59863C">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炉渣</w:t>
                  </w:r>
                </w:p>
              </w:tc>
              <w:tc>
                <w:tcPr>
                  <w:tcW w:w="1573" w:type="dxa"/>
                  <w:shd w:val="clear" w:color="auto" w:fill="auto"/>
                  <w:vAlign w:val="center"/>
                </w:tcPr>
                <w:p w14:paraId="125144CB">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22.02</w:t>
                  </w:r>
                </w:p>
              </w:tc>
              <w:tc>
                <w:tcPr>
                  <w:tcW w:w="2286" w:type="dxa"/>
                  <w:shd w:val="clear" w:color="auto" w:fill="auto"/>
                  <w:vAlign w:val="center"/>
                </w:tcPr>
                <w:p w14:paraId="0BC46414">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Merge w:val="continue"/>
                  <w:vAlign w:val="center"/>
                </w:tcPr>
                <w:p w14:paraId="2C397379">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sz w:val="21"/>
                      <w:szCs w:val="21"/>
                      <w:lang w:val="en-US" w:eastAsia="zh-CN"/>
                    </w:rPr>
                  </w:pPr>
                </w:p>
              </w:tc>
            </w:tr>
            <w:tr w14:paraId="40BA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19" w:type="dxa"/>
                  <w:shd w:val="clear" w:color="auto" w:fill="auto"/>
                  <w:vAlign w:val="center"/>
                </w:tcPr>
                <w:p w14:paraId="213A2C90">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软水制备产生的废石英砂和活性炭</w:t>
                  </w:r>
                </w:p>
              </w:tc>
              <w:tc>
                <w:tcPr>
                  <w:tcW w:w="1573" w:type="dxa"/>
                  <w:shd w:val="clear" w:color="auto" w:fill="auto"/>
                  <w:vAlign w:val="center"/>
                </w:tcPr>
                <w:p w14:paraId="648532E8">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2286" w:type="dxa"/>
                  <w:shd w:val="clear" w:color="auto" w:fill="auto"/>
                  <w:vAlign w:val="center"/>
                </w:tcPr>
                <w:p w14:paraId="45CEC50C">
                  <w:pPr>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Align w:val="center"/>
                </w:tcPr>
                <w:p w14:paraId="0F9748A8">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u w:val="none"/>
                    </w:rPr>
                    <w:t>更换时联系设备厂家更换回收处置，并签订清运处置协议</w:t>
                  </w:r>
                </w:p>
              </w:tc>
            </w:tr>
            <w:tr w14:paraId="6121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619" w:type="dxa"/>
                  <w:shd w:val="clear" w:color="auto" w:fill="auto"/>
                  <w:vAlign w:val="center"/>
                </w:tcPr>
                <w:p w14:paraId="6177047C">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软水制备产生的废离子交换树脂</w:t>
                  </w:r>
                </w:p>
              </w:tc>
              <w:tc>
                <w:tcPr>
                  <w:tcW w:w="1573" w:type="dxa"/>
                  <w:shd w:val="clear" w:color="auto" w:fill="auto"/>
                  <w:vAlign w:val="center"/>
                </w:tcPr>
                <w:p w14:paraId="44B3D710">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w:t>
                  </w:r>
                </w:p>
              </w:tc>
              <w:tc>
                <w:tcPr>
                  <w:tcW w:w="2286" w:type="dxa"/>
                  <w:shd w:val="clear" w:color="auto" w:fill="auto"/>
                  <w:vAlign w:val="center"/>
                </w:tcPr>
                <w:p w14:paraId="767E51CD">
                  <w:pPr>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2947" w:type="dxa"/>
                  <w:vAlign w:val="center"/>
                </w:tcPr>
                <w:p w14:paraId="3F9C40AB">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u w:val="none"/>
                    </w:rPr>
                    <w:t>更换时联系设备厂家更换回收处置，并签订清运处置协议</w:t>
                  </w:r>
                </w:p>
              </w:tc>
            </w:tr>
            <w:tr w14:paraId="1C23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619" w:type="dxa"/>
                  <w:vAlign w:val="center"/>
                </w:tcPr>
                <w:p w14:paraId="20704E9B">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废润滑油</w:t>
                  </w:r>
                </w:p>
              </w:tc>
              <w:tc>
                <w:tcPr>
                  <w:tcW w:w="1573" w:type="dxa"/>
                  <w:vAlign w:val="center"/>
                </w:tcPr>
                <w:p w14:paraId="2208017E">
                  <w:pPr>
                    <w:pStyle w:val="32"/>
                    <w:spacing w:before="60" w:after="6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w:t>
                  </w:r>
                </w:p>
              </w:tc>
              <w:tc>
                <w:tcPr>
                  <w:tcW w:w="2286" w:type="dxa"/>
                  <w:vAlign w:val="center"/>
                </w:tcPr>
                <w:p w14:paraId="7321451C">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危险废物HW</w:t>
                  </w:r>
                  <w:r>
                    <w:rPr>
                      <w:rFonts w:hint="default" w:ascii="Times New Roman" w:hAnsi="Times New Roman" w:eastAsia="宋体" w:cs="Times New Roman"/>
                      <w:color w:val="auto"/>
                      <w:lang w:val="en-US" w:eastAsia="zh-CN"/>
                    </w:rPr>
                    <w:t>08</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900-217-08</w:t>
                  </w:r>
                  <w:r>
                    <w:rPr>
                      <w:rFonts w:hint="default" w:ascii="Times New Roman" w:hAnsi="Times New Roman" w:eastAsia="宋体" w:cs="Times New Roman"/>
                      <w:color w:val="auto"/>
                    </w:rPr>
                    <w:t>）</w:t>
                  </w:r>
                </w:p>
              </w:tc>
              <w:tc>
                <w:tcPr>
                  <w:tcW w:w="2947" w:type="dxa"/>
                  <w:vMerge w:val="restart"/>
                  <w:vAlign w:val="center"/>
                </w:tcPr>
                <w:p w14:paraId="025258C1">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暂存于危废暂存间定期委托</w:t>
                  </w:r>
                  <w:r>
                    <w:rPr>
                      <w:rFonts w:hint="default" w:ascii="Times New Roman" w:hAnsi="Times New Roman" w:eastAsia="宋体" w:cs="Times New Roman"/>
                      <w:color w:val="auto"/>
                      <w:lang w:val="en-US" w:eastAsia="zh-CN"/>
                    </w:rPr>
                    <w:t>具有资质的单位清运</w:t>
                  </w:r>
                  <w:r>
                    <w:rPr>
                      <w:rFonts w:hint="default" w:ascii="Times New Roman" w:hAnsi="Times New Roman" w:eastAsia="宋体" w:cs="Times New Roman"/>
                      <w:color w:val="auto"/>
                    </w:rPr>
                    <w:t>处置</w:t>
                  </w:r>
                </w:p>
              </w:tc>
            </w:tr>
            <w:tr w14:paraId="3F22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619" w:type="dxa"/>
                  <w:vAlign w:val="center"/>
                </w:tcPr>
                <w:p w14:paraId="4C571F3E">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废润滑油桶</w:t>
                  </w:r>
                </w:p>
              </w:tc>
              <w:tc>
                <w:tcPr>
                  <w:tcW w:w="1573" w:type="dxa"/>
                  <w:vAlign w:val="center"/>
                </w:tcPr>
                <w:p w14:paraId="547D89B1">
                  <w:pPr>
                    <w:pStyle w:val="32"/>
                    <w:spacing w:before="60" w:after="6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0.05</w:t>
                  </w:r>
                </w:p>
              </w:tc>
              <w:tc>
                <w:tcPr>
                  <w:tcW w:w="2286" w:type="dxa"/>
                  <w:vAlign w:val="center"/>
                </w:tcPr>
                <w:p w14:paraId="4A45C9ED">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危险废物HW49（900-041-49）</w:t>
                  </w:r>
                </w:p>
              </w:tc>
              <w:tc>
                <w:tcPr>
                  <w:tcW w:w="2947" w:type="dxa"/>
                  <w:vMerge w:val="continue"/>
                  <w:vAlign w:val="center"/>
                </w:tcPr>
                <w:p w14:paraId="075BAF1D">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eastAsia="宋体" w:cs="Times New Roman"/>
                      <w:color w:val="auto"/>
                    </w:rPr>
                  </w:pPr>
                </w:p>
              </w:tc>
            </w:tr>
          </w:tbl>
          <w:p w14:paraId="4FA4C0D3">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4.5.3 固体废物环境管理要求</w:t>
            </w:r>
          </w:p>
          <w:p w14:paraId="7E86460D">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（1）一般固体废物环境管理要求</w:t>
            </w:r>
          </w:p>
          <w:p w14:paraId="003A540B">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本项目边角废料、不合格产品集中收集后暂存于厂区内的固废暂存间。固废暂存间所运行等满足《一般工业固体废物贮存和填埋污染控制标准》（GB18599-2020）及《一般固体废物分类与代码》（GBT39198-2020）中相关要求。不得露天堆放，防止雨水进入产生二次污染。</w:t>
            </w:r>
          </w:p>
          <w:p w14:paraId="58B6CC16">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（2）危废暂存间管理制度</w:t>
            </w:r>
          </w:p>
          <w:p w14:paraId="77C05AA1">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危险固废集中收集、临时储存执行《危险废物贮存污染控制标准》（GB18597-2023）相关规定。危险废物转移根据《危险废物转移管理办法》（部令第23号）执行。危废暂存间标识牌执行《危险废物识别标志设置技术规范》（HJ1276-2022）。</w:t>
            </w:r>
          </w:p>
          <w:p w14:paraId="2961DDA2">
            <w:pPr>
              <w:pStyle w:val="31"/>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（3）危废暂存间暂存储量可行性分析</w:t>
            </w:r>
          </w:p>
          <w:p w14:paraId="2A804F2B">
            <w:pPr>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val="en-US" w:eastAsia="zh-CN"/>
              </w:rPr>
              <w:t>现有</w:t>
            </w:r>
            <w:r>
              <w:rPr>
                <w:rFonts w:hint="default" w:ascii="Times New Roman" w:hAnsi="Times New Roman" w:eastAsia="宋体" w:cs="Times New Roman"/>
                <w:color w:val="auto"/>
              </w:rPr>
              <w:t>一间5㎡的危废暂存间，最大危险废物储存能力为</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t，</w:t>
            </w:r>
            <w:r>
              <w:rPr>
                <w:rFonts w:hint="default" w:ascii="Times New Roman" w:hAnsi="Times New Roman" w:eastAsia="宋体" w:cs="Times New Roman"/>
                <w:color w:val="auto"/>
                <w:lang w:val="en-US" w:eastAsia="zh-CN"/>
              </w:rPr>
              <w:t>现有项目最大危险废物产生量为2.23t/a，</w:t>
            </w:r>
            <w:r>
              <w:rPr>
                <w:rFonts w:hint="default" w:ascii="Times New Roman" w:hAnsi="Times New Roman" w:eastAsia="宋体" w:cs="Times New Roman"/>
                <w:color w:val="auto"/>
              </w:rPr>
              <w:t>本项目危险废物最大年产生量为</w:t>
            </w:r>
            <w:r>
              <w:rPr>
                <w:rFonts w:hint="default" w:ascii="Times New Roman" w:hAnsi="Times New Roman" w:eastAsia="宋体" w:cs="Times New Roman"/>
                <w:color w:val="auto"/>
                <w:lang w:val="en-US" w:eastAsia="zh-CN"/>
              </w:rPr>
              <w:t>0.15</w:t>
            </w:r>
            <w:r>
              <w:rPr>
                <w:rFonts w:hint="default" w:ascii="Times New Roman" w:hAnsi="Times New Roman" w:eastAsia="宋体" w:cs="Times New Roman"/>
                <w:color w:val="auto"/>
              </w:rPr>
              <w:t>t</w:t>
            </w: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rPr>
              <w:t>，每半</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年清运一次，危废暂存间可完全容纳本项目</w:t>
            </w:r>
            <w:r>
              <w:rPr>
                <w:rFonts w:hint="default" w:ascii="Times New Roman" w:hAnsi="Times New Roman" w:eastAsia="宋体" w:cs="Times New Roman"/>
                <w:color w:val="auto"/>
                <w:lang w:val="en-US" w:eastAsia="zh-CN"/>
              </w:rPr>
              <w:t>全</w:t>
            </w:r>
            <w:r>
              <w:rPr>
                <w:rFonts w:hint="default" w:ascii="Times New Roman" w:hAnsi="Times New Roman" w:eastAsia="宋体" w:cs="Times New Roman"/>
                <w:color w:val="auto"/>
              </w:rPr>
              <w:t>年产生的危险废物。项目产生的所有危险废物均分类收集，暂存于危废暂存间，定期委托</w:t>
            </w:r>
            <w:r>
              <w:rPr>
                <w:rFonts w:hint="default" w:ascii="Times New Roman" w:hAnsi="Times New Roman" w:eastAsia="宋体" w:cs="Times New Roman"/>
                <w:color w:val="auto"/>
                <w:kern w:val="0"/>
                <w:szCs w:val="21"/>
                <w:lang w:bidi="ar"/>
              </w:rPr>
              <w:t>有处理资质的公司</w:t>
            </w:r>
            <w:r>
              <w:rPr>
                <w:rFonts w:hint="default" w:ascii="Times New Roman" w:hAnsi="Times New Roman" w:eastAsia="宋体" w:cs="Times New Roman"/>
                <w:color w:val="auto"/>
              </w:rPr>
              <w:t>定期清运处置，周转频次为一年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次。</w:t>
            </w:r>
          </w:p>
          <w:p w14:paraId="1769EAC2">
            <w:pPr>
              <w:snapToGrid w:val="0"/>
              <w:spacing w:line="360" w:lineRule="auto"/>
              <w:ind w:firstLine="420" w:firstLineChars="200"/>
              <w:rPr>
                <w:rFonts w:hint="default" w:ascii="Times New Roman" w:hAnsi="Times New Roman" w:eastAsia="宋体" w:cs="Times New Roman"/>
                <w:b/>
                <w:bCs/>
                <w:color w:val="auto"/>
              </w:rPr>
            </w:pPr>
            <w:r>
              <w:rPr>
                <w:rFonts w:hint="default" w:ascii="Times New Roman" w:hAnsi="Times New Roman" w:eastAsia="宋体" w:cs="Times New Roman"/>
                <w:color w:val="auto"/>
              </w:rPr>
              <w:t>项目需制定危险废物管理制度和管理程序，本次环评根据《危险废物收集 贮存 运输技术规范》（HJ 2025-2012）、《危险废物转移管理办法》（</w:t>
            </w:r>
            <w:r>
              <w:rPr>
                <w:rFonts w:hint="default" w:ascii="Times New Roman" w:hAnsi="Times New Roman" w:eastAsia="宋体" w:cs="Times New Roman"/>
                <w:color w:val="auto"/>
                <w:szCs w:val="21"/>
              </w:rPr>
              <w:t>2021年，</w:t>
            </w:r>
            <w:r>
              <w:rPr>
                <w:rFonts w:hint="default" w:ascii="Times New Roman" w:hAnsi="Times New Roman" w:eastAsia="宋体" w:cs="Times New Roman"/>
                <w:color w:val="auto"/>
              </w:rPr>
              <w:t>部令第23号）及</w:t>
            </w:r>
            <w:r>
              <w:rPr>
                <w:rFonts w:hint="default" w:ascii="Times New Roman" w:hAnsi="Times New Roman" w:eastAsia="宋体" w:cs="Times New Roman"/>
                <w:color w:val="auto"/>
                <w:szCs w:val="21"/>
              </w:rPr>
              <w:t>《危险废物贮存污染控制标准》（GB18597-2023）</w:t>
            </w:r>
            <w:r>
              <w:rPr>
                <w:rFonts w:hint="default" w:ascii="Times New Roman" w:hAnsi="Times New Roman" w:eastAsia="宋体" w:cs="Times New Roman"/>
                <w:color w:val="auto"/>
              </w:rPr>
              <w:t>提出本项目危险废物的收集、贮存、运输、处置环节需要采取的各项污染防治措施。</w:t>
            </w:r>
          </w:p>
          <w:p w14:paraId="555FC88D">
            <w:pPr>
              <w:pStyle w:val="33"/>
              <w:snapToGrid w:val="0"/>
              <w:ind w:firstLine="42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（4）危险废物的收集控制措施</w:t>
            </w:r>
          </w:p>
          <w:p w14:paraId="569DAC47">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危险废物收集时根据危险废物的种类、数量、危险特性、物理形态、运输要求等因素确定包装形式，具体包装应符合如下要求：</w:t>
            </w:r>
          </w:p>
          <w:p w14:paraId="79E6FE93">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包装材质要与危险废物相容，盛装废矿物油的容器应是专用收集容器，不得使用敞口容器存放废液；容器上应有清晰的标签，桶口密封；容器不得渗漏，若出现密封不严或破损必须改用包装后送去处理。</w:t>
            </w:r>
          </w:p>
          <w:p w14:paraId="2DC144FD">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危废分为废润滑油、废润滑油桶、废活性炭、废擦拭棉纱、废水性油墨桶、废乙醇桶、印刷机油墨槽和印刷版清洁废液、印刷间隔清洁废水、破损的</w:t>
            </w:r>
            <w:r>
              <w:rPr>
                <w:rFonts w:hint="default" w:ascii="Times New Roman" w:hAnsi="Times New Roman" w:eastAsia="宋体" w:cs="Times New Roman"/>
                <w:color w:val="auto"/>
                <w:lang w:eastAsia="zh-CN"/>
              </w:rPr>
              <w:t>乳胶</w:t>
            </w:r>
            <w:r>
              <w:rPr>
                <w:rFonts w:hint="default" w:ascii="Times New Roman" w:hAnsi="Times New Roman" w:eastAsia="宋体" w:cs="Times New Roman"/>
                <w:color w:val="auto"/>
              </w:rPr>
              <w:t>桶、</w:t>
            </w:r>
            <w:r>
              <w:rPr>
                <w:rFonts w:hint="default" w:ascii="Times New Roman" w:hAnsi="Times New Roman" w:eastAsia="宋体" w:cs="Times New Roman"/>
                <w:color w:val="auto"/>
                <w:lang w:eastAsia="zh-CN"/>
              </w:rPr>
              <w:t>乳胶</w:t>
            </w:r>
            <w:r>
              <w:rPr>
                <w:rFonts w:hint="default" w:ascii="Times New Roman" w:hAnsi="Times New Roman" w:eastAsia="宋体" w:cs="Times New Roman"/>
                <w:color w:val="auto"/>
              </w:rPr>
              <w:t>渣，各生产车间应按危废的种类分别收集和存放，并张贴标签。</w:t>
            </w:r>
          </w:p>
          <w:p w14:paraId="6A8073DA">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收集后危废的主要有毒有害成分必须在《危险废物登记表》上登记，写明成分的中文全称，不可写简称或缩写，危废收集桶满后（不可过满，必须保留1/10的空间），将登记表粘贴在相应的桶上。</w:t>
            </w:r>
          </w:p>
          <w:p w14:paraId="5CE95925">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危险废物的收集应制定详细的操作规程，内容至少应包括适用范围、操作程序和方法、专用设备和工具、转移和交接、安全保障和应急防护等。</w:t>
            </w:r>
          </w:p>
          <w:p w14:paraId="7F0DD04E">
            <w:pPr>
              <w:pStyle w:val="33"/>
              <w:snapToGrid w:val="0"/>
              <w:ind w:firstLine="42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（5）危险废物的贮存控制措施</w:t>
            </w:r>
          </w:p>
          <w:p w14:paraId="4FFD47CE">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①应根据危险废物的形态、物理化学性质、包装形式和污染物迁移途径，采取必要的防风、防晒、防雨、防漏、防渗、防腐以及其他环境污染防治措施，不应露天堆放危险废物。</w:t>
            </w:r>
          </w:p>
          <w:p w14:paraId="42B89343">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②贮存库内不同贮存分区之间应采取隔离措施。隔离措施可根据危险废物特性采用过道、隔板或隔墙等方式。</w:t>
            </w:r>
          </w:p>
          <w:p w14:paraId="3DF63A9F">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14:paraId="2A33B1F7">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④贮存设施或贮存分区内地面、墙面裙脚、堵截泄漏的围堰、接触危险废物的隔板和墙体等应采用坚固的材料建造，表面无裂缝。</w:t>
            </w:r>
          </w:p>
          <w:p w14:paraId="1C3F2028">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⑤贮存设施地面与裙脚应采取表面防渗措施；表面防渗材料应与所接触的物料或污染物相容。贮存的危险废物直接接触地面的，还应进行基础防渗。</w:t>
            </w:r>
          </w:p>
          <w:p w14:paraId="3CC166B0">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⑥同一贮存设施宜采用相同的防渗、防腐工艺（包括防渗、防腐结构或材料），防渗、防腐材料应覆盖所有可能与废物及其渗滤液、渗漏液等接触的构筑物表面；采用不同防渗、防腐工艺应分别建设贮存分区。</w:t>
            </w:r>
          </w:p>
          <w:p w14:paraId="628D44B4">
            <w:pPr>
              <w:widowControl/>
              <w:adjustRightInd w:val="0"/>
              <w:snapToGrid w:val="0"/>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⑦贮存设施应采取技术和管理措施防止无关人员进入。</w:t>
            </w:r>
          </w:p>
          <w:p w14:paraId="60919444">
            <w:pPr>
              <w:pStyle w:val="33"/>
              <w:snapToGrid w:val="0"/>
              <w:ind w:firstLine="42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（6）危险废物的运输控制措施</w:t>
            </w:r>
          </w:p>
          <w:p w14:paraId="4BF1DD9A">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项目不负责产生的危险废物运输工作，危险废物委托有处理资质的公司清运处置，危险废物转移运输过程严格按照《危险废物转移管理办法》（部令第23号）执行。</w:t>
            </w:r>
          </w:p>
          <w:p w14:paraId="18CF422D">
            <w:pPr>
              <w:pStyle w:val="33"/>
              <w:snapToGrid w:val="0"/>
              <w:ind w:firstLine="420" w:firstLineChars="20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（7）危险废物的处置控制措施</w:t>
            </w:r>
          </w:p>
          <w:p w14:paraId="622A7B08">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项目产生的危险废物按规定包装，贮存在危险废物暂存间，然后委托有处理资质的公司清运处置。</w:t>
            </w:r>
          </w:p>
          <w:p w14:paraId="12BED513">
            <w:pPr>
              <w:pStyle w:val="33"/>
              <w:snapToGrid w:val="0"/>
              <w:ind w:firstLine="420" w:firstLineChars="200"/>
              <w:rPr>
                <w:rFonts w:hint="default" w:ascii="Times New Roman" w:hAnsi="Times New Roman" w:eastAsia="宋体" w:cs="Times New Roman"/>
                <w:color w:val="auto"/>
              </w:rPr>
            </w:pPr>
            <w:r>
              <w:rPr>
                <w:rFonts w:hint="default" w:ascii="Times New Roman" w:hAnsi="Times New Roman" w:eastAsia="宋体" w:cs="Times New Roman"/>
                <w:b w:val="0"/>
                <w:bCs/>
                <w:color w:val="auto"/>
              </w:rPr>
              <w:t>（8）危险废物的管理要求</w:t>
            </w:r>
          </w:p>
          <w:p w14:paraId="3E00F459">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w:t>
            </w:r>
            <w:r>
              <w:rPr>
                <w:rFonts w:hint="default" w:ascii="Times New Roman" w:hAnsi="Times New Roman" w:eastAsia="宋体" w:cs="Times New Roman"/>
                <w:color w:val="auto"/>
                <w:kern w:val="0"/>
                <w:lang w:bidi="ar"/>
              </w:rPr>
              <w:t>危废暂存间应张贴规范标志及管理制度，建立危废台账制度；</w:t>
            </w:r>
          </w:p>
          <w:p w14:paraId="45AAC7E2">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②危险废物需委托有处理资质的公司清运处置；</w:t>
            </w:r>
          </w:p>
          <w:p w14:paraId="43C302DE">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③在危险废物转移交接《危险废物转移管理办法》（部令第23号）执行，转移资料存档时间不得低于3年。</w:t>
            </w:r>
          </w:p>
          <w:p w14:paraId="2B51C95B">
            <w:pPr>
              <w:pStyle w:val="31"/>
              <w:snapToGrid w:val="0"/>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固体废物处理处置符合国家《固体废物污染环境防治法》规定的原则，符合《一般工业固体废物贮存和填埋污染控制标准》（GB18599-2020）和《危险废物贮存污染控制标准》（GB18597-2023）规定，采取上述措施后，本项目固体废物可得到妥善的处理，清运处置率为100%，不会对外环境产生明显的影响。</w:t>
            </w:r>
          </w:p>
          <w:p w14:paraId="7BA65F34">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4.6地下水环境影响分析</w:t>
            </w:r>
          </w:p>
          <w:p w14:paraId="389F421B">
            <w:pPr>
              <w:pStyle w:val="35"/>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按《环境影响评价技术导则 地下水环境》（HJ610-2016）规定，依据建设项目行业分类和地下水环境敏感分级进行等级划分。本项目为纸制品制造业，附录A中“113、纸制品-有化学处理工艺的-Ⅲ类。”本项目无化学处理工艺，不进行地下水环境影响评价。</w:t>
            </w:r>
          </w:p>
          <w:p w14:paraId="50B7D528">
            <w:pPr>
              <w:pStyle w:val="35"/>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本项目对地下水可能影响源主要是项目</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糊胶工段，淀粉胶</w:t>
            </w:r>
            <w:r>
              <w:rPr>
                <w:rFonts w:hint="default" w:ascii="Times New Roman" w:hAnsi="Times New Roman" w:eastAsia="宋体" w:cs="Times New Roman"/>
                <w:color w:val="auto"/>
                <w:sz w:val="21"/>
                <w:szCs w:val="21"/>
              </w:rPr>
              <w:t>液态危险废物经饱气带连续渗入地下水面污染地下水。</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糊胶工段需要</w:t>
            </w:r>
            <w:r>
              <w:rPr>
                <w:rFonts w:hint="default" w:ascii="Times New Roman" w:hAnsi="Times New Roman" w:eastAsia="宋体" w:cs="Times New Roman"/>
                <w:color w:val="auto"/>
                <w:sz w:val="21"/>
                <w:szCs w:val="21"/>
              </w:rPr>
              <w:t>进行防渗、防腐处理，采用混凝土+2mm 厚 HDPE 膜进行防渗处理，分区防渗图见附图 。具体防渗措施及要求如下表所示。</w:t>
            </w:r>
          </w:p>
          <w:p w14:paraId="3779471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表4-15  项目污染防渗分区及要求一览表</w:t>
            </w:r>
          </w:p>
          <w:tbl>
            <w:tblPr>
              <w:tblStyle w:val="25"/>
              <w:tblW w:w="4987"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37"/>
              <w:gridCol w:w="2554"/>
              <w:gridCol w:w="4493"/>
            </w:tblGrid>
            <w:tr w14:paraId="30BB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0" w:hRule="atLeast"/>
                <w:tblHeader/>
              </w:trPr>
              <w:tc>
                <w:tcPr>
                  <w:tcW w:w="797" w:type="pct"/>
                  <w:vAlign w:val="center"/>
                </w:tcPr>
                <w:p w14:paraId="42A8CB84">
                  <w:pPr>
                    <w:snapToGrid w:val="0"/>
                    <w:spacing w:before="72" w:beforeLines="30" w:after="72" w:afterLines="30"/>
                    <w:jc w:val="center"/>
                    <w:rPr>
                      <w:rFonts w:hint="default" w:ascii="Times New Roman" w:hAnsi="Times New Roman" w:eastAsia="宋体" w:cs="Times New Roman"/>
                      <w:b/>
                      <w:color w:val="auto"/>
                      <w:kern w:val="24"/>
                      <w:szCs w:val="21"/>
                    </w:rPr>
                  </w:pPr>
                  <w:r>
                    <w:rPr>
                      <w:rFonts w:hint="default" w:ascii="Times New Roman" w:hAnsi="Times New Roman" w:eastAsia="宋体" w:cs="Times New Roman"/>
                      <w:b/>
                      <w:color w:val="auto"/>
                      <w:kern w:val="24"/>
                      <w:szCs w:val="21"/>
                    </w:rPr>
                    <w:t>防渗分区</w:t>
                  </w:r>
                </w:p>
              </w:tc>
              <w:tc>
                <w:tcPr>
                  <w:tcW w:w="1523" w:type="pct"/>
                  <w:vAlign w:val="center"/>
                </w:tcPr>
                <w:p w14:paraId="60946D74">
                  <w:pPr>
                    <w:snapToGrid w:val="0"/>
                    <w:spacing w:before="72" w:beforeLines="30" w:after="72" w:afterLines="30"/>
                    <w:jc w:val="center"/>
                    <w:rPr>
                      <w:rFonts w:hint="default" w:ascii="Times New Roman" w:hAnsi="Times New Roman" w:eastAsia="宋体" w:cs="Times New Roman"/>
                      <w:b/>
                      <w:color w:val="auto"/>
                      <w:kern w:val="24"/>
                      <w:szCs w:val="21"/>
                    </w:rPr>
                  </w:pPr>
                  <w:r>
                    <w:rPr>
                      <w:rFonts w:hint="default" w:ascii="Times New Roman" w:hAnsi="Times New Roman" w:eastAsia="宋体" w:cs="Times New Roman"/>
                      <w:b/>
                      <w:color w:val="auto"/>
                      <w:kern w:val="0"/>
                      <w:szCs w:val="21"/>
                    </w:rPr>
                    <w:t>项目构筑物及设施名称</w:t>
                  </w:r>
                </w:p>
              </w:tc>
              <w:tc>
                <w:tcPr>
                  <w:tcW w:w="2679" w:type="pct"/>
                  <w:vAlign w:val="center"/>
                </w:tcPr>
                <w:p w14:paraId="3937E790">
                  <w:pPr>
                    <w:snapToGrid w:val="0"/>
                    <w:spacing w:before="72" w:beforeLines="30" w:after="72" w:afterLines="30"/>
                    <w:jc w:val="center"/>
                    <w:rPr>
                      <w:rFonts w:hint="default" w:ascii="Times New Roman" w:hAnsi="Times New Roman" w:eastAsia="宋体" w:cs="Times New Roman"/>
                      <w:b/>
                      <w:color w:val="auto"/>
                      <w:kern w:val="24"/>
                      <w:szCs w:val="21"/>
                    </w:rPr>
                  </w:pPr>
                  <w:r>
                    <w:rPr>
                      <w:rFonts w:hint="default" w:ascii="Times New Roman" w:hAnsi="Times New Roman" w:eastAsia="宋体" w:cs="Times New Roman"/>
                      <w:b/>
                      <w:color w:val="auto"/>
                      <w:kern w:val="0"/>
                      <w:szCs w:val="21"/>
                    </w:rPr>
                    <w:t>防渗技术要求</w:t>
                  </w:r>
                </w:p>
              </w:tc>
            </w:tr>
            <w:tr w14:paraId="771F4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5" w:hRule="atLeast"/>
                <w:tblHeader/>
              </w:trPr>
              <w:tc>
                <w:tcPr>
                  <w:tcW w:w="797" w:type="pct"/>
                  <w:vMerge w:val="restart"/>
                  <w:vAlign w:val="center"/>
                </w:tcPr>
                <w:p w14:paraId="1D63A9D6">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重点防渗区</w:t>
                  </w:r>
                </w:p>
              </w:tc>
              <w:tc>
                <w:tcPr>
                  <w:tcW w:w="1523" w:type="pct"/>
                  <w:tcBorders>
                    <w:bottom w:val="single" w:color="auto" w:sz="4" w:space="0"/>
                  </w:tcBorders>
                  <w:vAlign w:val="center"/>
                </w:tcPr>
                <w:p w14:paraId="13772ECB">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p>
              </w:tc>
              <w:tc>
                <w:tcPr>
                  <w:tcW w:w="2679" w:type="pct"/>
                  <w:tcBorders>
                    <w:bottom w:val="single" w:color="auto" w:sz="4" w:space="0"/>
                  </w:tcBorders>
                  <w:vAlign w:val="center"/>
                </w:tcPr>
                <w:p w14:paraId="5E4AD020">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等效黏土防渗层厚度Mb≥6.0m，渗透系数K≤1.0×10</w:t>
                  </w:r>
                  <w:r>
                    <w:rPr>
                      <w:rFonts w:hint="default" w:ascii="Times New Roman" w:hAnsi="Times New Roman" w:eastAsia="宋体" w:cs="Times New Roman"/>
                      <w:color w:val="auto"/>
                      <w:kern w:val="24"/>
                      <w:szCs w:val="21"/>
                      <w:vertAlign w:val="superscript"/>
                    </w:rPr>
                    <w:t>-</w:t>
                  </w:r>
                  <w:r>
                    <w:rPr>
                      <w:rFonts w:hint="default" w:ascii="Times New Roman" w:hAnsi="Times New Roman" w:eastAsia="宋体" w:cs="Times New Roman"/>
                      <w:color w:val="auto"/>
                      <w:kern w:val="24"/>
                      <w:szCs w:val="21"/>
                      <w:vertAlign w:val="superscript"/>
                      <w:lang w:val="en-US" w:eastAsia="zh-CN"/>
                    </w:rPr>
                    <w:t>7</w:t>
                  </w:r>
                  <w:r>
                    <w:rPr>
                      <w:rFonts w:hint="default" w:ascii="Times New Roman" w:hAnsi="Times New Roman" w:eastAsia="宋体" w:cs="Times New Roman"/>
                      <w:color w:val="auto"/>
                      <w:kern w:val="24"/>
                      <w:szCs w:val="21"/>
                    </w:rPr>
                    <w:t>cm/s，并设置导流渠、收集池等；</w:t>
                  </w:r>
                </w:p>
              </w:tc>
            </w:tr>
            <w:tr w14:paraId="040B2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 w:hRule="atLeast"/>
                <w:tblHeader/>
              </w:trPr>
              <w:tc>
                <w:tcPr>
                  <w:tcW w:w="797" w:type="pct"/>
                  <w:vMerge w:val="continue"/>
                  <w:vAlign w:val="center"/>
                </w:tcPr>
                <w:p w14:paraId="35A7DA9E">
                  <w:pPr>
                    <w:snapToGrid w:val="0"/>
                    <w:spacing w:before="72" w:beforeLines="30" w:after="72" w:afterLines="30"/>
                    <w:jc w:val="center"/>
                    <w:rPr>
                      <w:rFonts w:hint="default" w:ascii="Times New Roman" w:hAnsi="Times New Roman" w:eastAsia="宋体" w:cs="Times New Roman"/>
                      <w:color w:val="auto"/>
                      <w:kern w:val="24"/>
                      <w:szCs w:val="21"/>
                    </w:rPr>
                  </w:pPr>
                </w:p>
              </w:tc>
              <w:tc>
                <w:tcPr>
                  <w:tcW w:w="2554" w:type="dxa"/>
                  <w:tcBorders>
                    <w:top w:val="single" w:color="auto" w:sz="4" w:space="0"/>
                    <w:bottom w:val="single" w:color="auto" w:sz="4" w:space="0"/>
                  </w:tcBorders>
                  <w:vAlign w:val="center"/>
                </w:tcPr>
                <w:p w14:paraId="7B15DFA7">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油墨间</w:t>
                  </w:r>
                </w:p>
              </w:tc>
              <w:tc>
                <w:tcPr>
                  <w:tcW w:w="4493" w:type="dxa"/>
                  <w:tcBorders>
                    <w:top w:val="single" w:color="auto" w:sz="4" w:space="0"/>
                    <w:bottom w:val="single" w:color="auto" w:sz="4" w:space="0"/>
                  </w:tcBorders>
                  <w:vAlign w:val="center"/>
                </w:tcPr>
                <w:p w14:paraId="5B109A34">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sz w:val="21"/>
                      <w:szCs w:val="21"/>
                      <w:lang w:val="en-US" w:eastAsia="zh-CN"/>
                    </w:rPr>
                    <w:t>已完成自主验收具备依托条件</w:t>
                  </w:r>
                  <w:r>
                    <w:rPr>
                      <w:rFonts w:hint="default" w:ascii="Times New Roman" w:hAnsi="Times New Roman" w:eastAsia="宋体" w:cs="Times New Roman"/>
                      <w:color w:val="auto"/>
                      <w:szCs w:val="21"/>
                    </w:rPr>
                    <w:t>。</w:t>
                  </w:r>
                </w:p>
              </w:tc>
            </w:tr>
            <w:tr w14:paraId="3613D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97" w:hRule="atLeast"/>
                <w:tblHeader/>
              </w:trPr>
              <w:tc>
                <w:tcPr>
                  <w:tcW w:w="797" w:type="pct"/>
                  <w:vMerge w:val="continue"/>
                  <w:vAlign w:val="center"/>
                </w:tcPr>
                <w:p w14:paraId="16BA1F79">
                  <w:pPr>
                    <w:snapToGrid w:val="0"/>
                    <w:spacing w:before="72" w:beforeLines="30" w:after="72" w:afterLines="30"/>
                    <w:jc w:val="center"/>
                    <w:rPr>
                      <w:rFonts w:hint="default" w:ascii="Times New Roman" w:hAnsi="Times New Roman" w:eastAsia="宋体" w:cs="Times New Roman"/>
                      <w:color w:val="auto"/>
                      <w:kern w:val="24"/>
                      <w:szCs w:val="21"/>
                    </w:rPr>
                  </w:pPr>
                </w:p>
              </w:tc>
              <w:tc>
                <w:tcPr>
                  <w:tcW w:w="1523" w:type="pct"/>
                  <w:tcBorders>
                    <w:top w:val="single" w:color="auto" w:sz="4" w:space="0"/>
                  </w:tcBorders>
                  <w:vAlign w:val="center"/>
                </w:tcPr>
                <w:p w14:paraId="2DEDA000">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危废暂存间</w:t>
                  </w:r>
                </w:p>
              </w:tc>
              <w:tc>
                <w:tcPr>
                  <w:tcW w:w="2679" w:type="pct"/>
                  <w:tcBorders>
                    <w:top w:val="single" w:color="auto" w:sz="4" w:space="0"/>
                  </w:tcBorders>
                  <w:vAlign w:val="center"/>
                </w:tcPr>
                <w:p w14:paraId="101FFC04">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sz w:val="21"/>
                      <w:szCs w:val="21"/>
                      <w:lang w:val="en-US" w:eastAsia="zh-CN"/>
                    </w:rPr>
                    <w:t>已完成自主验收具备依托条件</w:t>
                  </w:r>
                  <w:r>
                    <w:rPr>
                      <w:rFonts w:hint="default" w:ascii="Times New Roman" w:hAnsi="Times New Roman" w:eastAsia="宋体" w:cs="Times New Roman"/>
                      <w:color w:val="auto"/>
                      <w:szCs w:val="21"/>
                    </w:rPr>
                    <w:t>。</w:t>
                  </w:r>
                </w:p>
              </w:tc>
            </w:tr>
            <w:tr w14:paraId="6127B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 w:hRule="atLeast"/>
                <w:tblHeader/>
              </w:trPr>
              <w:tc>
                <w:tcPr>
                  <w:tcW w:w="797" w:type="pct"/>
                  <w:vAlign w:val="center"/>
                </w:tcPr>
                <w:p w14:paraId="32C67083">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一般防渗区</w:t>
                  </w:r>
                </w:p>
              </w:tc>
              <w:tc>
                <w:tcPr>
                  <w:tcW w:w="1523" w:type="pct"/>
                  <w:vAlign w:val="center"/>
                </w:tcPr>
                <w:p w14:paraId="01D72AAF">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lang w:val="en-US" w:eastAsia="zh-CN"/>
                    </w:rPr>
                    <w:t>其余</w:t>
                  </w:r>
                  <w:r>
                    <w:rPr>
                      <w:rFonts w:hint="default" w:ascii="Times New Roman" w:hAnsi="Times New Roman" w:eastAsia="宋体" w:cs="Times New Roman"/>
                      <w:color w:val="auto"/>
                      <w:kern w:val="24"/>
                      <w:szCs w:val="21"/>
                    </w:rPr>
                    <w:t>生产车间</w:t>
                  </w:r>
                </w:p>
              </w:tc>
              <w:tc>
                <w:tcPr>
                  <w:tcW w:w="2679" w:type="pct"/>
                  <w:vAlign w:val="center"/>
                </w:tcPr>
                <w:p w14:paraId="368D2DED">
                  <w:pPr>
                    <w:snapToGrid w:val="0"/>
                    <w:spacing w:before="72" w:beforeLines="30" w:after="72" w:afterLines="30"/>
                    <w:ind w:right="25" w:rightChars="12"/>
                    <w:jc w:val="center"/>
                    <w:rPr>
                      <w:rFonts w:hint="default" w:ascii="Times New Roman" w:hAnsi="Times New Roman" w:eastAsia="宋体" w:cs="Times New Roman"/>
                      <w:color w:val="auto"/>
                      <w:kern w:val="24"/>
                      <w:szCs w:val="21"/>
                      <w:lang w:val="en-US" w:eastAsia="zh-CN"/>
                    </w:rPr>
                  </w:pPr>
                  <w:r>
                    <w:rPr>
                      <w:rFonts w:hint="default" w:ascii="Times New Roman" w:hAnsi="Times New Roman" w:eastAsia="宋体" w:cs="Times New Roman"/>
                      <w:color w:val="auto"/>
                      <w:kern w:val="24"/>
                      <w:szCs w:val="21"/>
                    </w:rPr>
                    <w:t>地面采用混凝土硬化</w:t>
                  </w:r>
                  <w:r>
                    <w:rPr>
                      <w:rFonts w:hint="default" w:ascii="Times New Roman" w:hAnsi="Times New Roman" w:eastAsia="宋体" w:cs="Times New Roman"/>
                      <w:color w:val="auto"/>
                      <w:kern w:val="24"/>
                      <w:szCs w:val="21"/>
                      <w:lang w:val="en-US" w:eastAsia="zh-CN"/>
                    </w:rPr>
                    <w:t>，已完成验收。</w:t>
                  </w:r>
                </w:p>
              </w:tc>
            </w:tr>
            <w:tr w14:paraId="0AFA5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 w:hRule="atLeast"/>
                <w:tblHeader/>
              </w:trPr>
              <w:tc>
                <w:tcPr>
                  <w:tcW w:w="797" w:type="pct"/>
                  <w:vAlign w:val="center"/>
                </w:tcPr>
                <w:p w14:paraId="4BFDF9B9">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简单防渗区</w:t>
                  </w:r>
                </w:p>
              </w:tc>
              <w:tc>
                <w:tcPr>
                  <w:tcW w:w="1523" w:type="pct"/>
                  <w:vAlign w:val="center"/>
                </w:tcPr>
                <w:p w14:paraId="6962141B">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办公区、厂区道路</w:t>
                  </w:r>
                </w:p>
              </w:tc>
              <w:tc>
                <w:tcPr>
                  <w:tcW w:w="2679" w:type="pct"/>
                  <w:vAlign w:val="center"/>
                </w:tcPr>
                <w:p w14:paraId="72AA5135">
                  <w:pPr>
                    <w:snapToGrid w:val="0"/>
                    <w:spacing w:before="72" w:beforeLines="30" w:after="72" w:afterLines="30"/>
                    <w:jc w:val="center"/>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地面采用混凝土硬化。</w:t>
                  </w:r>
                </w:p>
              </w:tc>
            </w:tr>
          </w:tbl>
          <w:p w14:paraId="404334A1">
            <w:pPr>
              <w:pStyle w:val="35"/>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综上所述，项目区防渗措施执行《环境影响评价技术导则地下水环境》（HJ610-2016）中技术要求，危废间、</w:t>
            </w:r>
            <w:r>
              <w:rPr>
                <w:rFonts w:hint="default" w:ascii="Times New Roman" w:hAnsi="Times New Roman" w:eastAsia="宋体" w:cs="Times New Roman"/>
                <w:color w:val="auto"/>
                <w:sz w:val="21"/>
                <w:szCs w:val="21"/>
                <w:lang w:eastAsia="zh-CN"/>
              </w:rPr>
              <w:t>油墨间、</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r>
              <w:rPr>
                <w:rFonts w:hint="default" w:ascii="Times New Roman" w:hAnsi="Times New Roman" w:eastAsia="宋体" w:cs="Times New Roman"/>
                <w:color w:val="auto"/>
                <w:sz w:val="21"/>
                <w:szCs w:val="21"/>
              </w:rPr>
              <w:t>均为重点防渗，油墨间、</w:t>
            </w:r>
            <w:r>
              <w:rPr>
                <w:rFonts w:hint="default" w:ascii="Times New Roman" w:hAnsi="Times New Roman" w:eastAsia="宋体" w:cs="Times New Roman"/>
                <w:color w:val="auto"/>
                <w:kern w:val="24"/>
                <w:sz w:val="21"/>
                <w:szCs w:val="21"/>
              </w:rPr>
              <w:t>危废暂存间</w:t>
            </w:r>
            <w:r>
              <w:rPr>
                <w:rFonts w:hint="default" w:ascii="Times New Roman" w:hAnsi="Times New Roman" w:eastAsia="宋体" w:cs="Times New Roman"/>
                <w:color w:val="auto"/>
                <w:kern w:val="24"/>
                <w:sz w:val="21"/>
                <w:szCs w:val="21"/>
                <w:lang w:val="en-US" w:eastAsia="zh-CN"/>
              </w:rPr>
              <w:t>已完成验收具备依托条件；</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糊胶工段采用混凝土+环氧树脂防渗，</w:t>
            </w:r>
            <w:r>
              <w:rPr>
                <w:rFonts w:hint="default" w:ascii="Times New Roman" w:hAnsi="Times New Roman" w:eastAsia="宋体" w:cs="Times New Roman"/>
                <w:color w:val="auto"/>
                <w:sz w:val="21"/>
                <w:szCs w:val="21"/>
              </w:rPr>
              <w:t>液态风险物质不会渗入地下水，不会对地下水产生不良影响。</w:t>
            </w:r>
          </w:p>
          <w:p w14:paraId="6D46E6A4">
            <w:pPr>
              <w:pStyle w:val="38"/>
              <w:rPr>
                <w:rFonts w:hint="default" w:ascii="Times New Roman" w:hAnsi="Times New Roman" w:eastAsia="宋体" w:cs="Times New Roman"/>
                <w:color w:val="auto"/>
              </w:rPr>
            </w:pPr>
            <w:r>
              <w:rPr>
                <w:rFonts w:hint="default" w:ascii="Times New Roman" w:hAnsi="Times New Roman" w:eastAsia="宋体" w:cs="Times New Roman"/>
                <w:color w:val="auto"/>
              </w:rPr>
              <w:t>4.7土壤环境影响分析</w:t>
            </w:r>
          </w:p>
          <w:p w14:paraId="540B1FD5">
            <w:pPr>
              <w:pStyle w:val="79"/>
              <w:ind w:firstLine="422"/>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（1）污染途径</w:t>
            </w:r>
          </w:p>
          <w:p w14:paraId="49D10AC4">
            <w:pPr>
              <w:pStyle w:val="7"/>
              <w:adjustRightInd w:val="0"/>
              <w:snapToGrid w:val="0"/>
              <w:spacing w:line="360" w:lineRule="auto"/>
              <w:ind w:firstLine="48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经识别，本项目土壤影响类型及影响途经详见下表：</w:t>
            </w:r>
          </w:p>
          <w:p w14:paraId="7396D99E">
            <w:pPr>
              <w:pStyle w:val="64"/>
              <w:snapToGrid w:val="0"/>
              <w:ind w:firstLine="0" w:firstLineChars="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表4-16  土壤污染源、污染物类型及污染途径表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681"/>
              <w:gridCol w:w="1303"/>
              <w:gridCol w:w="1501"/>
              <w:gridCol w:w="1351"/>
              <w:gridCol w:w="766"/>
            </w:tblGrid>
            <w:tr w14:paraId="6B92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pct"/>
                  <w:vAlign w:val="center"/>
                </w:tcPr>
                <w:p w14:paraId="7D27691F">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1000" w:type="pct"/>
                  <w:vAlign w:val="center"/>
                </w:tcPr>
                <w:p w14:paraId="6BF8CBA9">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工艺流程/节点</w:t>
                  </w:r>
                </w:p>
              </w:tc>
              <w:tc>
                <w:tcPr>
                  <w:tcW w:w="775" w:type="pct"/>
                  <w:vAlign w:val="center"/>
                </w:tcPr>
                <w:p w14:paraId="42AA06E8">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污染途径</w:t>
                  </w:r>
                </w:p>
              </w:tc>
              <w:tc>
                <w:tcPr>
                  <w:tcW w:w="893" w:type="pct"/>
                  <w:vAlign w:val="center"/>
                </w:tcPr>
                <w:p w14:paraId="0FD7DD82">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污染物指标</w:t>
                  </w:r>
                </w:p>
              </w:tc>
              <w:tc>
                <w:tcPr>
                  <w:tcW w:w="803" w:type="pct"/>
                  <w:vAlign w:val="center"/>
                </w:tcPr>
                <w:p w14:paraId="675974EE">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特征因子</w:t>
                  </w:r>
                </w:p>
              </w:tc>
              <w:tc>
                <w:tcPr>
                  <w:tcW w:w="455" w:type="pct"/>
                  <w:vAlign w:val="center"/>
                </w:tcPr>
                <w:p w14:paraId="6DE7AAD8">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14:paraId="5D3E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pct"/>
                  <w:vAlign w:val="center"/>
                </w:tcPr>
                <w:p w14:paraId="5FC59A9D">
                  <w:pPr>
                    <w:pStyle w:val="64"/>
                    <w:snapToGrid w:val="0"/>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危废暂存间、油墨间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p>
              </w:tc>
              <w:tc>
                <w:tcPr>
                  <w:tcW w:w="1000" w:type="pct"/>
                  <w:vAlign w:val="center"/>
                </w:tcPr>
                <w:p w14:paraId="3AC95413">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跑冒滴漏</w:t>
                  </w:r>
                </w:p>
              </w:tc>
              <w:tc>
                <w:tcPr>
                  <w:tcW w:w="775" w:type="pct"/>
                  <w:vAlign w:val="center"/>
                </w:tcPr>
                <w:p w14:paraId="58AB2AFA">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893" w:type="pct"/>
                  <w:vAlign w:val="center"/>
                </w:tcPr>
                <w:p w14:paraId="399C9D00">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c>
                <w:tcPr>
                  <w:tcW w:w="803" w:type="pct"/>
                  <w:vAlign w:val="center"/>
                </w:tcPr>
                <w:p w14:paraId="483FDD38">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c>
                <w:tcPr>
                  <w:tcW w:w="455" w:type="pct"/>
                  <w:vAlign w:val="center"/>
                </w:tcPr>
                <w:p w14:paraId="55168D7A">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w:t>
                  </w:r>
                </w:p>
              </w:tc>
            </w:tr>
            <w:tr w14:paraId="2217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2" w:type="pct"/>
                  <w:vAlign w:val="center"/>
                </w:tcPr>
                <w:p w14:paraId="3C7E2298">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废气处理措施</w:t>
                  </w:r>
                </w:p>
              </w:tc>
              <w:tc>
                <w:tcPr>
                  <w:tcW w:w="1000" w:type="pct"/>
                  <w:vAlign w:val="center"/>
                </w:tcPr>
                <w:p w14:paraId="4E01E88D">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处理设施</w:t>
                  </w:r>
                </w:p>
              </w:tc>
              <w:tc>
                <w:tcPr>
                  <w:tcW w:w="775" w:type="pct"/>
                  <w:vAlign w:val="center"/>
                </w:tcPr>
                <w:p w14:paraId="3A434011">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大气沉降</w:t>
                  </w:r>
                </w:p>
              </w:tc>
              <w:tc>
                <w:tcPr>
                  <w:tcW w:w="893" w:type="pct"/>
                  <w:vAlign w:val="center"/>
                </w:tcPr>
                <w:p w14:paraId="40FD93A8">
                  <w:pPr>
                    <w:pStyle w:val="64"/>
                    <w:snapToGrid w:val="0"/>
                    <w:ind w:firstLine="0" w:firstLineChars="0"/>
                    <w:jc w:val="center"/>
                    <w:rPr>
                      <w:rFonts w:hint="default" w:ascii="Times New Roman" w:hAnsi="Times New Roman" w:eastAsia="宋体" w:cs="Times New Roman"/>
                      <w:color w:val="auto"/>
                      <w:szCs w:val="21"/>
                      <w:vertAlign w:val="subscript"/>
                      <w:lang w:val="en-US" w:eastAsia="zh-CN"/>
                    </w:rPr>
                  </w:pPr>
                  <w:r>
                    <w:rPr>
                      <w:rFonts w:hint="default" w:ascii="Times New Roman" w:hAnsi="Times New Roman" w:eastAsia="宋体" w:cs="Times New Roman"/>
                      <w:color w:val="auto"/>
                      <w:szCs w:val="21"/>
                      <w:lang w:val="en-US" w:eastAsia="zh-CN"/>
                    </w:rPr>
                    <w:t>颗粒物、氮氧化物、二氧化硫</w:t>
                  </w:r>
                </w:p>
              </w:tc>
              <w:tc>
                <w:tcPr>
                  <w:tcW w:w="803" w:type="pct"/>
                  <w:vAlign w:val="center"/>
                </w:tcPr>
                <w:p w14:paraId="5B1678CF">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颗粒物、氮氧化物、二氧化硫</w:t>
                  </w:r>
                </w:p>
              </w:tc>
              <w:tc>
                <w:tcPr>
                  <w:tcW w:w="455" w:type="pct"/>
                  <w:vAlign w:val="center"/>
                </w:tcPr>
                <w:p w14:paraId="082582CE">
                  <w:pPr>
                    <w:pStyle w:val="64"/>
                    <w:snapToGrid w:val="0"/>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事故</w:t>
                  </w:r>
                </w:p>
              </w:tc>
            </w:tr>
          </w:tbl>
          <w:p w14:paraId="07C65690">
            <w:pPr>
              <w:spacing w:line="360" w:lineRule="auto"/>
              <w:ind w:right="25" w:rightChars="12"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24"/>
                <w:szCs w:val="21"/>
              </w:rPr>
              <w:t>（2）</w:t>
            </w:r>
            <w:r>
              <w:rPr>
                <w:rFonts w:hint="default" w:ascii="Times New Roman" w:hAnsi="Times New Roman" w:eastAsia="宋体" w:cs="Times New Roman"/>
                <w:b/>
                <w:color w:val="auto"/>
                <w:szCs w:val="21"/>
              </w:rPr>
              <w:t>源头控制措施</w:t>
            </w:r>
          </w:p>
          <w:p w14:paraId="5EF38EA1">
            <w:pPr>
              <w:pStyle w:val="64"/>
              <w:adjustRightInd w:val="0"/>
              <w:snapToGrid w:val="0"/>
              <w:spacing w:line="360" w:lineRule="auto"/>
              <w:jc w:val="left"/>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①生产过程中油墨、胶水等液态物质密闭储存和转移；</w:t>
            </w:r>
          </w:p>
          <w:p w14:paraId="40B398CB">
            <w:pPr>
              <w:pStyle w:val="64"/>
              <w:adjustRightInd w:val="0"/>
              <w:snapToGrid w:val="0"/>
              <w:spacing w:line="360" w:lineRule="auto"/>
              <w:jc w:val="left"/>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②加强环境管理，定期对</w:t>
            </w:r>
            <w:r>
              <w:rPr>
                <w:rFonts w:hint="default" w:ascii="Times New Roman" w:hAnsi="Times New Roman" w:eastAsia="宋体" w:cs="Times New Roman"/>
                <w:color w:val="auto"/>
                <w:szCs w:val="21"/>
                <w:lang w:eastAsia="zh-CN"/>
              </w:rPr>
              <w:t>油墨间</w:t>
            </w:r>
            <w:r>
              <w:rPr>
                <w:rFonts w:hint="default" w:ascii="Times New Roman" w:hAnsi="Times New Roman" w:eastAsia="宋体" w:cs="Times New Roman"/>
                <w:bCs/>
                <w:color w:val="auto"/>
                <w:szCs w:val="21"/>
              </w:rPr>
              <w:t>、</w:t>
            </w:r>
            <w:r>
              <w:rPr>
                <w:rFonts w:hint="default" w:ascii="Times New Roman" w:hAnsi="Times New Roman" w:eastAsia="宋体" w:cs="Times New Roman"/>
                <w:color w:val="auto"/>
                <w:kern w:val="24"/>
                <w:szCs w:val="21"/>
              </w:rPr>
              <w:t>危废暂存间、</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r>
              <w:rPr>
                <w:rFonts w:hint="default" w:ascii="Times New Roman" w:hAnsi="Times New Roman" w:eastAsia="宋体" w:cs="Times New Roman"/>
                <w:color w:val="auto"/>
                <w:kern w:val="24"/>
                <w:szCs w:val="21"/>
              </w:rPr>
              <w:t>进行巡检、维修保养，及时发现可能引起事故的异常情况，消除事故隐患，将污染物跑、冒、滴、漏降到最低限度；</w:t>
            </w:r>
          </w:p>
          <w:p w14:paraId="44F98993">
            <w:pPr>
              <w:pStyle w:val="64"/>
              <w:adjustRightInd w:val="0"/>
              <w:snapToGrid w:val="0"/>
              <w:spacing w:line="360" w:lineRule="auto"/>
              <w:jc w:val="left"/>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③风险物质使用耐腐蚀的容器盛装，暂存于“防风、防雨、防晒、防渗”的场所；</w:t>
            </w:r>
          </w:p>
          <w:p w14:paraId="341FA079">
            <w:pPr>
              <w:pStyle w:val="64"/>
              <w:spacing w:line="360" w:lineRule="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④对各种地下管道采用相应类型的管道，并配备流量、压力仪表，设置截污阀，如发现泄露及时切断。</w:t>
            </w:r>
          </w:p>
          <w:p w14:paraId="3C5C1427">
            <w:pPr>
              <w:kinsoku w:val="0"/>
              <w:overflowPunct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（3）过程防控措施</w:t>
            </w:r>
          </w:p>
          <w:p w14:paraId="337DFFF9">
            <w:pPr>
              <w:tabs>
                <w:tab w:val="center" w:pos="4153"/>
                <w:tab w:val="right" w:pos="8306"/>
              </w:tabs>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①</w:t>
            </w:r>
            <w:r>
              <w:rPr>
                <w:rFonts w:hint="default" w:ascii="Times New Roman" w:hAnsi="Times New Roman" w:eastAsia="宋体" w:cs="Times New Roman"/>
                <w:color w:val="auto"/>
                <w:szCs w:val="21"/>
              </w:rPr>
              <w:t>保证大气污染治理措施的正常运行稳定达标，定期巡检杜绝事故排放；</w:t>
            </w:r>
          </w:p>
          <w:p w14:paraId="03D1CB34">
            <w:pPr>
              <w:tabs>
                <w:tab w:val="center" w:pos="4153"/>
                <w:tab w:val="right" w:pos="8306"/>
              </w:tabs>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②实施分区防渗，分为重点防渗区、一般防渗区、简单防渗区。重点防渗区为</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r>
              <w:rPr>
                <w:rFonts w:hint="default" w:ascii="Times New Roman" w:hAnsi="Times New Roman" w:eastAsia="宋体" w:cs="Times New Roman"/>
                <w:color w:val="auto"/>
                <w:kern w:val="24"/>
                <w:szCs w:val="21"/>
              </w:rPr>
              <w:t>，防技渗术要求为等效粘土防渗层Mb≥6.0m，K≤1×10</w:t>
            </w:r>
            <w:r>
              <w:rPr>
                <w:rFonts w:hint="default" w:ascii="Times New Roman" w:hAnsi="Times New Roman" w:eastAsia="宋体" w:cs="Times New Roman"/>
                <w:color w:val="auto"/>
                <w:kern w:val="24"/>
                <w:szCs w:val="21"/>
                <w:vertAlign w:val="superscript"/>
              </w:rPr>
              <w:t>-7</w:t>
            </w:r>
            <w:r>
              <w:rPr>
                <w:rFonts w:hint="default" w:ascii="Times New Roman" w:hAnsi="Times New Roman" w:eastAsia="宋体" w:cs="Times New Roman"/>
                <w:color w:val="auto"/>
                <w:kern w:val="24"/>
                <w:szCs w:val="21"/>
              </w:rPr>
              <w:t>cm/s</w:t>
            </w:r>
            <w:r>
              <w:rPr>
                <w:rFonts w:hint="default" w:ascii="Times New Roman" w:hAnsi="Times New Roman" w:eastAsia="宋体" w:cs="Times New Roman"/>
                <w:color w:val="auto"/>
                <w:kern w:val="24"/>
                <w:szCs w:val="21"/>
                <w:lang w:eastAsia="zh-CN"/>
              </w:rPr>
              <w:t>；</w:t>
            </w:r>
            <w:r>
              <w:rPr>
                <w:rFonts w:hint="default" w:ascii="Times New Roman" w:hAnsi="Times New Roman" w:eastAsia="宋体" w:cs="Times New Roman"/>
                <w:color w:val="auto"/>
                <w:sz w:val="21"/>
                <w:szCs w:val="21"/>
              </w:rPr>
              <w:t>油墨间、</w:t>
            </w:r>
            <w:r>
              <w:rPr>
                <w:rFonts w:hint="default" w:ascii="Times New Roman" w:hAnsi="Times New Roman" w:eastAsia="宋体" w:cs="Times New Roman"/>
                <w:color w:val="auto"/>
                <w:kern w:val="24"/>
                <w:sz w:val="21"/>
                <w:szCs w:val="21"/>
              </w:rPr>
              <w:t>危废暂存间</w:t>
            </w:r>
            <w:r>
              <w:rPr>
                <w:rFonts w:hint="default" w:ascii="Times New Roman" w:hAnsi="Times New Roman" w:eastAsia="宋体" w:cs="Times New Roman"/>
                <w:color w:val="auto"/>
                <w:kern w:val="24"/>
                <w:sz w:val="21"/>
                <w:szCs w:val="21"/>
                <w:lang w:val="en-US" w:eastAsia="zh-CN"/>
              </w:rPr>
              <w:t>已完成验收具备依托条件</w:t>
            </w:r>
            <w:r>
              <w:rPr>
                <w:rFonts w:hint="default" w:ascii="Times New Roman" w:hAnsi="Times New Roman" w:eastAsia="宋体" w:cs="Times New Roman"/>
                <w:color w:val="auto"/>
                <w:kern w:val="24"/>
                <w:szCs w:val="21"/>
              </w:rPr>
              <w:t>；一般防渗区为</w:t>
            </w:r>
            <w:r>
              <w:rPr>
                <w:rFonts w:hint="default" w:ascii="Times New Roman" w:hAnsi="Times New Roman" w:eastAsia="宋体" w:cs="Times New Roman"/>
                <w:color w:val="auto"/>
                <w:kern w:val="24"/>
                <w:szCs w:val="21"/>
                <w:lang w:val="en-US" w:eastAsia="zh-CN"/>
              </w:rPr>
              <w:t>其余</w:t>
            </w:r>
            <w:r>
              <w:rPr>
                <w:rFonts w:hint="default" w:ascii="Times New Roman" w:hAnsi="Times New Roman" w:eastAsia="宋体" w:cs="Times New Roman"/>
                <w:color w:val="auto"/>
                <w:kern w:val="24"/>
                <w:szCs w:val="21"/>
              </w:rPr>
              <w:t>生产车间，防渗技术要求等效粘土防渗层Mb≥1.5m，K≤1×10</w:t>
            </w:r>
            <w:r>
              <w:rPr>
                <w:rFonts w:hint="default" w:ascii="Times New Roman" w:hAnsi="Times New Roman" w:eastAsia="宋体" w:cs="Times New Roman"/>
                <w:color w:val="auto"/>
                <w:kern w:val="24"/>
                <w:szCs w:val="21"/>
                <w:vertAlign w:val="superscript"/>
              </w:rPr>
              <w:t>-7</w:t>
            </w:r>
            <w:r>
              <w:rPr>
                <w:rFonts w:hint="default" w:ascii="Times New Roman" w:hAnsi="Times New Roman" w:eastAsia="宋体" w:cs="Times New Roman"/>
                <w:color w:val="auto"/>
                <w:kern w:val="24"/>
                <w:szCs w:val="21"/>
              </w:rPr>
              <w:t>cm/s；其他区域为简单防渗区，采用混凝土硬化；</w:t>
            </w:r>
          </w:p>
          <w:p w14:paraId="226D31E8">
            <w:pPr>
              <w:kinsoku w:val="0"/>
              <w:overflowPunct w:val="0"/>
              <w:spacing w:line="360" w:lineRule="auto"/>
              <w:ind w:firstLine="420" w:firstLineChars="200"/>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③油墨和胶水分区储存，</w:t>
            </w:r>
            <w:r>
              <w:rPr>
                <w:rFonts w:hint="default" w:ascii="Times New Roman" w:hAnsi="Times New Roman" w:eastAsia="宋体" w:cs="Times New Roman"/>
                <w:color w:val="auto"/>
                <w:szCs w:val="21"/>
                <w:lang w:eastAsia="zh-CN"/>
              </w:rPr>
              <w:t>油墨间</w:t>
            </w:r>
            <w:r>
              <w:rPr>
                <w:rFonts w:hint="default" w:ascii="Times New Roman" w:hAnsi="Times New Roman" w:eastAsia="宋体" w:cs="Times New Roman"/>
                <w:color w:val="auto"/>
                <w:kern w:val="24"/>
                <w:szCs w:val="21"/>
              </w:rPr>
              <w:t>、危险废物暂存间保持通风阴凉的环境，并隔绝热源和火种。</w:t>
            </w:r>
          </w:p>
          <w:p w14:paraId="5220449B">
            <w:pPr>
              <w:kinsoku w:val="0"/>
              <w:overflowPunct w:val="0"/>
              <w:spacing w:line="360" w:lineRule="auto"/>
              <w:ind w:firstLine="422" w:firstLineChars="200"/>
              <w:rPr>
                <w:rFonts w:hint="default" w:ascii="Times New Roman" w:hAnsi="Times New Roman" w:eastAsia="宋体" w:cs="Times New Roman"/>
                <w:b/>
                <w:bCs/>
                <w:color w:val="auto"/>
                <w:kern w:val="24"/>
                <w:szCs w:val="21"/>
              </w:rPr>
            </w:pPr>
            <w:r>
              <w:rPr>
                <w:rFonts w:hint="default" w:ascii="Times New Roman" w:hAnsi="Times New Roman" w:eastAsia="宋体" w:cs="Times New Roman"/>
                <w:b/>
                <w:bCs/>
                <w:color w:val="auto"/>
                <w:kern w:val="24"/>
                <w:szCs w:val="21"/>
              </w:rPr>
              <w:t>（4）跟踪监测</w:t>
            </w:r>
          </w:p>
          <w:p w14:paraId="3AF4D868">
            <w:pPr>
              <w:pStyle w:val="35"/>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本项目为纸制品制造业，不涉及纸浆、溶解浆、纤维浆等制造，且无制浆工艺，根据《环境影响评价技术导则 土壤环境（试行）》（HJ964-2018），本项目所属行业为表A.1中的Ⅲ类项目，占地规模为小型，敏感程度为不敏感，因此不设置土壤环境影响评价等级，必要时可根据主管部门下发的通知或要求开展跟踪监测。</w:t>
            </w:r>
          </w:p>
          <w:p w14:paraId="5E1EEF69">
            <w:pPr>
              <w:pStyle w:val="35"/>
              <w:snapToGrid w:val="0"/>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4.8环境风险分析及防范措施</w:t>
            </w:r>
          </w:p>
          <w:p w14:paraId="63D382FB">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评价的目的是分析和预测建设项目存在的潜在危险、有害因素，建设项目建设和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4454D058">
            <w:pPr>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（1）评价依据</w:t>
            </w:r>
          </w:p>
          <w:p w14:paraId="04C98ECC">
            <w:pPr>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fldChar w:fldCharType="begin"/>
            </w:r>
            <w:r>
              <w:rPr>
                <w:rFonts w:hint="default" w:ascii="Times New Roman" w:hAnsi="Times New Roman" w:eastAsia="宋体" w:cs="Times New Roman"/>
                <w:b/>
                <w:bCs/>
                <w:color w:val="auto"/>
                <w:szCs w:val="21"/>
              </w:rPr>
              <w:instrText xml:space="preserve"> = 1 \* GB3 \* MERGEFORMAT </w:instrText>
            </w:r>
            <w:r>
              <w:rPr>
                <w:rFonts w:hint="default" w:ascii="Times New Roman" w:hAnsi="Times New Roman" w:eastAsia="宋体" w:cs="Times New Roman"/>
                <w:b/>
                <w:bCs/>
                <w:color w:val="auto"/>
                <w:szCs w:val="21"/>
              </w:rPr>
              <w:fldChar w:fldCharType="separate"/>
            </w:r>
            <w:r>
              <w:rPr>
                <w:rFonts w:hint="default" w:ascii="Times New Roman" w:hAnsi="Times New Roman" w:eastAsia="宋体" w:cs="Times New Roman"/>
                <w:b/>
                <w:bCs/>
                <w:color w:val="auto"/>
                <w:szCs w:val="21"/>
              </w:rPr>
              <w:t>①</w:t>
            </w:r>
            <w:r>
              <w:rPr>
                <w:rFonts w:hint="default" w:ascii="Times New Roman" w:hAnsi="Times New Roman" w:eastAsia="宋体" w:cs="Times New Roman"/>
                <w:b/>
                <w:bCs/>
                <w:color w:val="auto"/>
                <w:szCs w:val="21"/>
              </w:rPr>
              <w:fldChar w:fldCharType="end"/>
            </w:r>
            <w:r>
              <w:rPr>
                <w:rFonts w:hint="default" w:ascii="Times New Roman" w:hAnsi="Times New Roman" w:eastAsia="宋体" w:cs="Times New Roman"/>
                <w:b/>
                <w:bCs/>
                <w:color w:val="auto"/>
                <w:szCs w:val="21"/>
              </w:rPr>
              <w:t>风险调查</w:t>
            </w:r>
          </w:p>
          <w:p w14:paraId="4377DEE2">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根据《建设项目环境风险评价技术导则》（HJ169-2018）附录B，本项目存在的危险物质主要为废润滑油。主要风险源是危废暂存间和</w:t>
            </w:r>
            <w:r>
              <w:rPr>
                <w:rFonts w:hint="default" w:ascii="Times New Roman" w:hAnsi="Times New Roman" w:eastAsia="宋体" w:cs="Times New Roman"/>
                <w:color w:val="auto"/>
                <w:szCs w:val="21"/>
                <w:lang w:eastAsia="zh-CN"/>
              </w:rPr>
              <w:t>油墨间</w:t>
            </w:r>
            <w:r>
              <w:rPr>
                <w:rFonts w:hint="default" w:ascii="Times New Roman" w:hAnsi="Times New Roman" w:eastAsia="宋体" w:cs="Times New Roman"/>
                <w:color w:val="auto"/>
                <w:szCs w:val="21"/>
              </w:rPr>
              <w:t>，本项目所产生的危险废物均在危废暂存间暂存。</w:t>
            </w:r>
            <w:r>
              <w:rPr>
                <w:rFonts w:hint="default" w:ascii="Times New Roman" w:hAnsi="Times New Roman" w:eastAsia="宋体" w:cs="Times New Roman"/>
                <w:color w:val="auto"/>
                <w:szCs w:val="21"/>
                <w:lang w:val="zh-CN"/>
              </w:rPr>
              <w:t>事故风险主要是</w:t>
            </w:r>
            <w:r>
              <w:rPr>
                <w:rFonts w:hint="default" w:ascii="Times New Roman" w:hAnsi="Times New Roman" w:eastAsia="宋体" w:cs="Times New Roman"/>
                <w:color w:val="auto"/>
                <w:szCs w:val="21"/>
              </w:rPr>
              <w:t>废润滑油收集桶</w:t>
            </w:r>
            <w:r>
              <w:rPr>
                <w:rFonts w:hint="default" w:ascii="Times New Roman" w:hAnsi="Times New Roman" w:eastAsia="宋体" w:cs="Times New Roman"/>
                <w:color w:val="auto"/>
                <w:szCs w:val="21"/>
                <w:lang w:val="zh-CN"/>
              </w:rPr>
              <w:t>破损泄露，或泄露后遇明火或高热高温即可导致火灾爆炸事故的发生</w:t>
            </w:r>
            <w:r>
              <w:rPr>
                <w:rFonts w:hint="default" w:ascii="Times New Roman" w:hAnsi="Times New Roman" w:eastAsia="宋体" w:cs="Times New Roman"/>
                <w:color w:val="auto"/>
                <w:szCs w:val="21"/>
              </w:rPr>
              <w:t>、安全设施失效时事故排放影响区域空气环境质量等风险。</w:t>
            </w:r>
          </w:p>
          <w:p w14:paraId="68AE5579">
            <w:pPr>
              <w:keepNext/>
              <w:keepLines/>
              <w:adjustRightInd w:val="0"/>
              <w:snapToGrid w:val="0"/>
              <w:spacing w:line="360" w:lineRule="auto"/>
              <w:ind w:firstLine="422" w:firstLineChars="200"/>
              <w:jc w:val="left"/>
              <w:outlineLvl w:val="2"/>
              <w:rPr>
                <w:rFonts w:hint="default" w:ascii="Times New Roman" w:hAnsi="Times New Roman" w:eastAsia="宋体" w:cs="Times New Roman"/>
                <w:b/>
                <w:bCs/>
                <w:color w:val="auto"/>
                <w:szCs w:val="21"/>
              </w:rPr>
            </w:pPr>
            <w:bookmarkStart w:id="25" w:name="_Toc26040"/>
            <w:r>
              <w:rPr>
                <w:rFonts w:hint="default" w:ascii="Times New Roman" w:hAnsi="Times New Roman" w:eastAsia="宋体" w:cs="Times New Roman"/>
                <w:b/>
                <w:bCs/>
                <w:color w:val="auto"/>
                <w:szCs w:val="21"/>
              </w:rPr>
              <w:fldChar w:fldCharType="begin"/>
            </w:r>
            <w:r>
              <w:rPr>
                <w:rFonts w:hint="default" w:ascii="Times New Roman" w:hAnsi="Times New Roman" w:eastAsia="宋体" w:cs="Times New Roman"/>
                <w:b/>
                <w:bCs/>
                <w:color w:val="auto"/>
                <w:szCs w:val="21"/>
              </w:rPr>
              <w:instrText xml:space="preserve"> = 2 \* GB3 \* MERGEFORMAT </w:instrText>
            </w:r>
            <w:r>
              <w:rPr>
                <w:rFonts w:hint="default" w:ascii="Times New Roman" w:hAnsi="Times New Roman" w:eastAsia="宋体" w:cs="Times New Roman"/>
                <w:b/>
                <w:bCs/>
                <w:color w:val="auto"/>
                <w:szCs w:val="21"/>
              </w:rPr>
              <w:fldChar w:fldCharType="separate"/>
            </w:r>
            <w:r>
              <w:rPr>
                <w:rFonts w:hint="default" w:ascii="Times New Roman" w:hAnsi="Times New Roman" w:eastAsia="宋体" w:cs="Times New Roman"/>
                <w:b/>
                <w:bCs/>
                <w:color w:val="auto"/>
                <w:szCs w:val="21"/>
              </w:rPr>
              <w:t>②</w:t>
            </w:r>
            <w:r>
              <w:rPr>
                <w:rFonts w:hint="default" w:ascii="Times New Roman" w:hAnsi="Times New Roman" w:eastAsia="宋体" w:cs="Times New Roman"/>
                <w:b/>
                <w:bCs/>
                <w:color w:val="auto"/>
                <w:szCs w:val="21"/>
              </w:rPr>
              <w:fldChar w:fldCharType="end"/>
            </w:r>
            <w:r>
              <w:rPr>
                <w:rFonts w:hint="default" w:ascii="Times New Roman" w:hAnsi="Times New Roman" w:eastAsia="宋体" w:cs="Times New Roman"/>
                <w:b/>
                <w:bCs/>
                <w:color w:val="auto"/>
                <w:szCs w:val="21"/>
              </w:rPr>
              <w:t>环境风险潜势初判</w:t>
            </w:r>
            <w:bookmarkEnd w:id="25"/>
          </w:p>
          <w:p w14:paraId="0311E6D7">
            <w:pPr>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（2）Q值判定</w:t>
            </w:r>
          </w:p>
          <w:p w14:paraId="60D17E73">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根据《建设项目环境风险评价技术导则》（HJ169—2018）附录C，危险物质数量与临界量的比值（Q）如下：</w:t>
            </w:r>
          </w:p>
          <w:p w14:paraId="5FECF265">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计算所涉及的每种危险物质在厂界内的最大存在总量与其在《建设项目环境风险评价技术导则HJ169—2018》附录C中对应临界量的比值Q。</w:t>
            </w:r>
          </w:p>
          <w:p w14:paraId="201BFDC3">
            <w:pPr>
              <w:adjustRightInd w:val="0"/>
              <w:snapToGrid w:val="0"/>
              <w:spacing w:line="360"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drawing>
                <wp:inline distT="0" distB="0" distL="114300" distR="114300">
                  <wp:extent cx="2007235" cy="462915"/>
                  <wp:effectExtent l="0" t="0" r="12065" b="133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6"/>
                          <a:stretch>
                            <a:fillRect/>
                          </a:stretch>
                        </pic:blipFill>
                        <pic:spPr>
                          <a:xfrm>
                            <a:off x="0" y="0"/>
                            <a:ext cx="2007235" cy="462915"/>
                          </a:xfrm>
                          <a:prstGeom prst="rect">
                            <a:avLst/>
                          </a:prstGeom>
                          <a:noFill/>
                          <a:ln>
                            <a:noFill/>
                          </a:ln>
                        </pic:spPr>
                      </pic:pic>
                    </a:graphicData>
                  </a:graphic>
                </wp:inline>
              </w:drawing>
            </w:r>
          </w:p>
          <w:p w14:paraId="6CE2D8F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式中：q1，q2，…，qn——每种危险物质的最大存在总量，t</w:t>
            </w:r>
          </w:p>
          <w:p w14:paraId="55AB2FC2">
            <w:pPr>
              <w:adjustRightInd w:val="0"/>
              <w:snapToGrid w:val="0"/>
              <w:spacing w:line="360" w:lineRule="auto"/>
              <w:ind w:firstLine="1050" w:firstLineChars="5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Q1，Q2，…，Qn——每种危险物质的临界量，t</w:t>
            </w:r>
          </w:p>
          <w:p w14:paraId="23541B31">
            <w:pPr>
              <w:adjustRightInd w:val="0"/>
              <w:snapToGrid w:val="0"/>
              <w:spacing w:line="360" w:lineRule="auto"/>
              <w:ind w:firstLine="1050" w:firstLineChars="5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当Q&lt;1时，该项目环境风险潜势为Ⅰ</w:t>
            </w:r>
          </w:p>
          <w:p w14:paraId="6CA3E7F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当Q≥1时，将Q值划分为：（1）1≤Q＜10；（2）10≤Q＜100；（3）Q≥100。</w:t>
            </w:r>
          </w:p>
          <w:p w14:paraId="6707AFC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本项目的风险主要为废润滑油</w:t>
            </w:r>
            <w:r>
              <w:rPr>
                <w:rFonts w:hint="default" w:ascii="Times New Roman" w:hAnsi="Times New Roman" w:eastAsia="宋体" w:cs="Times New Roman"/>
                <w:color w:val="auto"/>
                <w:szCs w:val="21"/>
                <w:lang w:val="zh-CN"/>
              </w:rPr>
              <w:t>收集桶</w:t>
            </w:r>
            <w:r>
              <w:rPr>
                <w:rFonts w:hint="default" w:ascii="Times New Roman" w:hAnsi="Times New Roman" w:eastAsia="宋体" w:cs="Times New Roman"/>
                <w:color w:val="auto"/>
                <w:szCs w:val="21"/>
              </w:rPr>
              <w:t>收集桶</w:t>
            </w:r>
            <w:r>
              <w:rPr>
                <w:rFonts w:hint="default" w:ascii="Times New Roman" w:hAnsi="Times New Roman" w:eastAsia="宋体" w:cs="Times New Roman"/>
                <w:color w:val="auto"/>
                <w:szCs w:val="21"/>
                <w:lang w:val="zh-CN"/>
              </w:rPr>
              <w:t>破损泄露，或泄露后遇明火或高热高温即可导致火灾爆炸事故的发生</w:t>
            </w:r>
            <w:r>
              <w:rPr>
                <w:rFonts w:hint="default" w:ascii="Times New Roman" w:hAnsi="Times New Roman" w:eastAsia="宋体" w:cs="Times New Roman"/>
                <w:color w:val="auto"/>
                <w:szCs w:val="21"/>
              </w:rPr>
              <w:t>、安全设施失效时事故排放影响区域空气环境质量等风险。本项目存在的风险源主要为废润滑油</w:t>
            </w:r>
            <w:r>
              <w:rPr>
                <w:rFonts w:hint="default" w:ascii="Times New Roman" w:hAnsi="Times New Roman" w:eastAsia="宋体" w:cs="Times New Roman"/>
                <w:color w:val="auto"/>
                <w:szCs w:val="21"/>
                <w:lang w:val="zh-CN"/>
              </w:rPr>
              <w:t>收集桶</w:t>
            </w:r>
            <w:r>
              <w:rPr>
                <w:rFonts w:hint="default" w:ascii="Times New Roman" w:hAnsi="Times New Roman" w:eastAsia="宋体" w:cs="Times New Roman"/>
                <w:color w:val="auto"/>
                <w:szCs w:val="21"/>
              </w:rPr>
              <w:t>。根据《建设项目环境风险评价技术导则》（HJ169-2018）</w:t>
            </w:r>
            <w:r>
              <w:rPr>
                <w:rFonts w:hint="default" w:ascii="Times New Roman" w:hAnsi="Times New Roman" w:eastAsia="宋体" w:cs="Times New Roman"/>
                <w:color w:val="auto"/>
                <w:szCs w:val="21"/>
                <w:lang w:val="zh-CN"/>
              </w:rPr>
              <w:t>附录B</w:t>
            </w:r>
            <w:r>
              <w:rPr>
                <w:rFonts w:hint="default" w:ascii="Times New Roman" w:hAnsi="Times New Roman" w:eastAsia="宋体" w:cs="Times New Roman"/>
                <w:color w:val="auto"/>
                <w:szCs w:val="21"/>
              </w:rPr>
              <w:t>，矿物油临界量。计算项目危险物质的本项目Q值核算如下：</w:t>
            </w:r>
          </w:p>
          <w:p w14:paraId="2CF00BB0">
            <w:pPr>
              <w:adjustRightInd w:val="0"/>
              <w:snapToGrid w:val="0"/>
              <w:ind w:firstLine="48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表4-17  建设项目Q值核算表</w:t>
            </w:r>
          </w:p>
          <w:tbl>
            <w:tblPr>
              <w:tblStyle w:val="25"/>
              <w:tblW w:w="8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2019"/>
              <w:gridCol w:w="1720"/>
              <w:gridCol w:w="2666"/>
            </w:tblGrid>
            <w:tr w14:paraId="46DD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016" w:type="dxa"/>
                  <w:vAlign w:val="center"/>
                </w:tcPr>
                <w:p w14:paraId="0FFD2BF8">
                  <w:pPr>
                    <w:pStyle w:val="19"/>
                    <w:adjustRightIn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危险物质</w:t>
                  </w:r>
                </w:p>
              </w:tc>
              <w:tc>
                <w:tcPr>
                  <w:tcW w:w="2019" w:type="dxa"/>
                  <w:vAlign w:val="center"/>
                </w:tcPr>
                <w:p w14:paraId="7E8C7213">
                  <w:pPr>
                    <w:pStyle w:val="19"/>
                    <w:adjustRightIn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最大储存量（t）</w:t>
                  </w:r>
                </w:p>
              </w:tc>
              <w:tc>
                <w:tcPr>
                  <w:tcW w:w="1720" w:type="dxa"/>
                  <w:vAlign w:val="center"/>
                </w:tcPr>
                <w:p w14:paraId="6D0150D0">
                  <w:pPr>
                    <w:pStyle w:val="19"/>
                    <w:adjustRightIn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临界量（t）</w:t>
                  </w:r>
                </w:p>
              </w:tc>
              <w:tc>
                <w:tcPr>
                  <w:tcW w:w="2666" w:type="dxa"/>
                  <w:vAlign w:val="center"/>
                </w:tcPr>
                <w:p w14:paraId="66863CF6">
                  <w:pPr>
                    <w:pStyle w:val="19"/>
                    <w:adjustRightIn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Q值</w:t>
                  </w:r>
                </w:p>
              </w:tc>
            </w:tr>
            <w:tr w14:paraId="7604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016" w:type="dxa"/>
                  <w:vAlign w:val="center"/>
                </w:tcPr>
                <w:p w14:paraId="3EFEABE3">
                  <w:pPr>
                    <w:pStyle w:val="19"/>
                    <w:adjustRightInd w:val="0"/>
                    <w:spacing w:before="72" w:beforeLines="30" w:after="72" w:afterLines="30"/>
                    <w:jc w:val="center"/>
                    <w:rPr>
                      <w:rFonts w:hint="default" w:ascii="Times New Roman" w:hAnsi="Times New Roman" w:eastAsia="宋体" w:cs="Times New Roman"/>
                      <w:color w:val="auto"/>
                      <w:szCs w:val="21"/>
                      <w:lang w:eastAsia="zh-CN"/>
                    </w:rPr>
                  </w:pPr>
                  <w:bookmarkStart w:id="26" w:name="_Hlk180142339"/>
                  <w:r>
                    <w:rPr>
                      <w:rFonts w:hint="default" w:ascii="Times New Roman" w:hAnsi="Times New Roman" w:eastAsia="宋体" w:cs="Times New Roman"/>
                      <w:color w:val="auto"/>
                      <w:szCs w:val="21"/>
                    </w:rPr>
                    <w:t>废润滑油</w:t>
                  </w:r>
                  <w:bookmarkEnd w:id="26"/>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改建后全年最大暂存量</w:t>
                  </w:r>
                  <w:r>
                    <w:rPr>
                      <w:rFonts w:hint="default" w:ascii="Times New Roman" w:hAnsi="Times New Roman" w:eastAsia="宋体" w:cs="Times New Roman"/>
                      <w:color w:val="auto"/>
                      <w:szCs w:val="21"/>
                      <w:lang w:eastAsia="zh-CN"/>
                    </w:rPr>
                    <w:t>）</w:t>
                  </w:r>
                </w:p>
              </w:tc>
              <w:tc>
                <w:tcPr>
                  <w:tcW w:w="2019" w:type="dxa"/>
                  <w:vAlign w:val="center"/>
                </w:tcPr>
                <w:p w14:paraId="4B14F390">
                  <w:pPr>
                    <w:pStyle w:val="19"/>
                    <w:adjustRightInd w:val="0"/>
                    <w:spacing w:before="72" w:beforeLines="30" w:after="72" w:afterLine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0.</w:t>
                  </w:r>
                  <w:r>
                    <w:rPr>
                      <w:rFonts w:hint="default" w:ascii="Times New Roman" w:hAnsi="Times New Roman" w:eastAsia="宋体" w:cs="Times New Roman"/>
                      <w:color w:val="auto"/>
                      <w:szCs w:val="21"/>
                      <w:lang w:val="en-US" w:eastAsia="zh-CN"/>
                    </w:rPr>
                    <w:t>3</w:t>
                  </w:r>
                </w:p>
              </w:tc>
              <w:tc>
                <w:tcPr>
                  <w:tcW w:w="1720" w:type="dxa"/>
                  <w:vAlign w:val="center"/>
                </w:tcPr>
                <w:p w14:paraId="7DD0BBD1">
                  <w:pPr>
                    <w:pStyle w:val="19"/>
                    <w:adjustRightIn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w:t>
                  </w:r>
                </w:p>
              </w:tc>
              <w:tc>
                <w:tcPr>
                  <w:tcW w:w="2666" w:type="dxa"/>
                  <w:vAlign w:val="center"/>
                </w:tcPr>
                <w:p w14:paraId="4BC23F54">
                  <w:pPr>
                    <w:pStyle w:val="19"/>
                    <w:adjustRightInd w:val="0"/>
                    <w:spacing w:before="72" w:beforeLines="30" w:after="72" w:afterLine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0.000</w:t>
                  </w:r>
                  <w:r>
                    <w:rPr>
                      <w:rFonts w:hint="default" w:ascii="Times New Roman" w:hAnsi="Times New Roman" w:eastAsia="宋体" w:cs="Times New Roman"/>
                      <w:color w:val="auto"/>
                      <w:szCs w:val="21"/>
                      <w:lang w:val="en-US" w:eastAsia="zh-CN"/>
                    </w:rPr>
                    <w:t>12</w:t>
                  </w:r>
                </w:p>
              </w:tc>
            </w:tr>
            <w:tr w14:paraId="0ED9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755" w:type="dxa"/>
                  <w:gridSpan w:val="3"/>
                  <w:vAlign w:val="center"/>
                </w:tcPr>
                <w:p w14:paraId="7E9AC518">
                  <w:pPr>
                    <w:pStyle w:val="19"/>
                    <w:adjustRightIn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2666" w:type="dxa"/>
                  <w:vAlign w:val="center"/>
                </w:tcPr>
                <w:p w14:paraId="12883803">
                  <w:pPr>
                    <w:pStyle w:val="19"/>
                    <w:adjustRightInd w:val="0"/>
                    <w:spacing w:before="72" w:beforeLines="30" w:after="72" w:afterLine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0.000</w:t>
                  </w:r>
                  <w:r>
                    <w:rPr>
                      <w:rFonts w:hint="default" w:ascii="Times New Roman" w:hAnsi="Times New Roman" w:eastAsia="宋体" w:cs="Times New Roman"/>
                      <w:color w:val="auto"/>
                      <w:szCs w:val="21"/>
                      <w:lang w:val="en-US" w:eastAsia="zh-CN"/>
                    </w:rPr>
                    <w:t>12</w:t>
                  </w:r>
                </w:p>
              </w:tc>
            </w:tr>
          </w:tbl>
          <w:p w14:paraId="487D567C">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根据上表，项目Q值约为</w:t>
            </w:r>
            <w:r>
              <w:rPr>
                <w:rFonts w:hint="default" w:ascii="Times New Roman" w:hAnsi="Times New Roman" w:eastAsia="宋体" w:cs="Times New Roman"/>
                <w:color w:val="auto"/>
                <w:szCs w:val="21"/>
                <w:lang w:eastAsia="zh-CN"/>
              </w:rPr>
              <w:t>0.00012</w:t>
            </w:r>
            <w:r>
              <w:rPr>
                <w:rFonts w:hint="default" w:ascii="Times New Roman" w:hAnsi="Times New Roman" w:eastAsia="宋体" w:cs="Times New Roman"/>
                <w:color w:val="auto"/>
                <w:szCs w:val="21"/>
              </w:rPr>
              <w:t>，Q＜1；根据《建设项目环境风险评价技术导则》（HJ169-2018）：当Q＜1时，建设项目环境风险潜势直接判定为Ⅰ，确定项目环境风险评价工作等级为简单分析。</w:t>
            </w:r>
          </w:p>
          <w:p w14:paraId="0B6BBD39">
            <w:pPr>
              <w:keepNext/>
              <w:keepLines/>
              <w:adjustRightInd w:val="0"/>
              <w:snapToGrid w:val="0"/>
              <w:spacing w:line="360" w:lineRule="auto"/>
              <w:ind w:firstLine="422" w:firstLineChars="200"/>
              <w:jc w:val="left"/>
              <w:outlineLvl w:val="2"/>
              <w:rPr>
                <w:rFonts w:hint="default" w:ascii="Times New Roman" w:hAnsi="Times New Roman" w:eastAsia="宋体" w:cs="Times New Roman"/>
                <w:b/>
                <w:bCs/>
                <w:color w:val="auto"/>
                <w:szCs w:val="21"/>
              </w:rPr>
            </w:pPr>
            <w:bookmarkStart w:id="27" w:name="_Toc5243"/>
            <w:r>
              <w:rPr>
                <w:rFonts w:hint="default" w:ascii="Times New Roman" w:hAnsi="Times New Roman" w:eastAsia="宋体" w:cs="Times New Roman"/>
                <w:b/>
                <w:bCs/>
                <w:color w:val="auto"/>
                <w:szCs w:val="21"/>
              </w:rPr>
              <w:t>（3）风险识别</w:t>
            </w:r>
            <w:bookmarkEnd w:id="27"/>
          </w:p>
          <w:p w14:paraId="3F46F5F2">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GB3 \* MERGEFORMAT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危险品理化性质与危险特性识别</w:t>
            </w:r>
          </w:p>
          <w:p w14:paraId="20560E45">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本项目风险物质废润滑油（矿物油）的理化性质及危险特性见下表。</w:t>
            </w:r>
          </w:p>
          <w:p w14:paraId="206E403D">
            <w:pPr>
              <w:adjustRightInd w:val="0"/>
              <w:snapToGrid w:val="0"/>
              <w:ind w:firstLine="48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4-18  矿物油主要危险物质特性一览表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51"/>
              <w:gridCol w:w="299"/>
              <w:gridCol w:w="886"/>
              <w:gridCol w:w="940"/>
              <w:gridCol w:w="854"/>
              <w:gridCol w:w="398"/>
              <w:gridCol w:w="906"/>
              <w:gridCol w:w="266"/>
              <w:gridCol w:w="672"/>
              <w:gridCol w:w="768"/>
              <w:gridCol w:w="131"/>
              <w:gridCol w:w="249"/>
              <w:gridCol w:w="735"/>
            </w:tblGrid>
            <w:tr w14:paraId="689E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14:paraId="40A32F7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w:t>
                  </w:r>
                </w:p>
                <w:p w14:paraId="4F60B0C3">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识</w:t>
                  </w:r>
                </w:p>
              </w:tc>
              <w:tc>
                <w:tcPr>
                  <w:tcW w:w="506" w:type="pct"/>
                  <w:vAlign w:val="center"/>
                </w:tcPr>
                <w:p w14:paraId="4B69FC16">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中文名</w:t>
                  </w:r>
                </w:p>
              </w:tc>
              <w:tc>
                <w:tcPr>
                  <w:tcW w:w="705" w:type="pct"/>
                  <w:gridSpan w:val="2"/>
                  <w:vAlign w:val="center"/>
                </w:tcPr>
                <w:p w14:paraId="3BF8AA44">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润滑油；矿物油</w:t>
                  </w:r>
                </w:p>
              </w:tc>
              <w:tc>
                <w:tcPr>
                  <w:tcW w:w="559" w:type="pct"/>
                  <w:vAlign w:val="center"/>
                </w:tcPr>
                <w:p w14:paraId="4DA8B71D">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英文名</w:t>
                  </w:r>
                </w:p>
              </w:tc>
              <w:tc>
                <w:tcPr>
                  <w:tcW w:w="1841" w:type="pct"/>
                  <w:gridSpan w:val="5"/>
                  <w:vAlign w:val="center"/>
                </w:tcPr>
                <w:p w14:paraId="5C85A72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lubricatingoil ；Lubeoil</w:t>
                  </w:r>
                </w:p>
              </w:tc>
              <w:tc>
                <w:tcPr>
                  <w:tcW w:w="683" w:type="pct"/>
                  <w:gridSpan w:val="3"/>
                  <w:vAlign w:val="center"/>
                </w:tcPr>
                <w:p w14:paraId="0E6A7849">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危险货物编号</w:t>
                  </w:r>
                </w:p>
              </w:tc>
              <w:tc>
                <w:tcPr>
                  <w:tcW w:w="435" w:type="pct"/>
                  <w:vAlign w:val="center"/>
                </w:tcPr>
                <w:p w14:paraId="25953853">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DD6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vAlign w:val="center"/>
                </w:tcPr>
                <w:p w14:paraId="2812A673">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506" w:type="pct"/>
                  <w:vAlign w:val="center"/>
                </w:tcPr>
                <w:p w14:paraId="6E8845A4">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分子式</w:t>
                  </w:r>
                </w:p>
              </w:tc>
              <w:tc>
                <w:tcPr>
                  <w:tcW w:w="705" w:type="pct"/>
                  <w:gridSpan w:val="2"/>
                  <w:vAlign w:val="center"/>
                </w:tcPr>
                <w:p w14:paraId="7CE4A9C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559" w:type="pct"/>
                  <w:vAlign w:val="center"/>
                </w:tcPr>
                <w:p w14:paraId="6B52F5D0">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分子量</w:t>
                  </w:r>
                </w:p>
              </w:tc>
              <w:tc>
                <w:tcPr>
                  <w:tcW w:w="743" w:type="pct"/>
                  <w:gridSpan w:val="2"/>
                  <w:vAlign w:val="center"/>
                </w:tcPr>
                <w:p w14:paraId="68AD0C65">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230～500</w:t>
                  </w:r>
                </w:p>
              </w:tc>
              <w:tc>
                <w:tcPr>
                  <w:tcW w:w="697" w:type="pct"/>
                  <w:gridSpan w:val="2"/>
                  <w:vAlign w:val="center"/>
                </w:tcPr>
                <w:p w14:paraId="51C164D1">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UN编号</w:t>
                  </w:r>
                </w:p>
              </w:tc>
              <w:tc>
                <w:tcPr>
                  <w:tcW w:w="400" w:type="pct"/>
                  <w:vAlign w:val="center"/>
                </w:tcPr>
                <w:p w14:paraId="034595D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83" w:type="pct"/>
                  <w:gridSpan w:val="3"/>
                  <w:vAlign w:val="center"/>
                </w:tcPr>
                <w:p w14:paraId="1F934DBA">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CAS编号</w:t>
                  </w:r>
                </w:p>
              </w:tc>
              <w:tc>
                <w:tcPr>
                  <w:tcW w:w="435" w:type="pct"/>
                  <w:vAlign w:val="center"/>
                </w:tcPr>
                <w:p w14:paraId="7119978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3DE2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23C42004">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506" w:type="pct"/>
                  <w:vAlign w:val="center"/>
                </w:tcPr>
                <w:p w14:paraId="360D031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危险类别</w:t>
                  </w:r>
                </w:p>
              </w:tc>
              <w:tc>
                <w:tcPr>
                  <w:tcW w:w="4225" w:type="pct"/>
                  <w:gridSpan w:val="12"/>
                  <w:vAlign w:val="center"/>
                </w:tcPr>
                <w:p w14:paraId="2C3D11DB">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526A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14:paraId="3DEE8845">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理</w:t>
                  </w:r>
                </w:p>
                <w:p w14:paraId="02EE843B">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化</w:t>
                  </w:r>
                </w:p>
                <w:p w14:paraId="135371A6">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性</w:t>
                  </w:r>
                </w:p>
                <w:p w14:paraId="033BB93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质</w:t>
                  </w:r>
                </w:p>
              </w:tc>
              <w:tc>
                <w:tcPr>
                  <w:tcW w:w="684" w:type="pct"/>
                  <w:gridSpan w:val="2"/>
                  <w:vAlign w:val="center"/>
                </w:tcPr>
                <w:p w14:paraId="253D172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性状</w:t>
                  </w:r>
                </w:p>
              </w:tc>
              <w:tc>
                <w:tcPr>
                  <w:tcW w:w="4048" w:type="pct"/>
                  <w:gridSpan w:val="11"/>
                </w:tcPr>
                <w:p w14:paraId="33AEC290">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油状液体，淡黄色至褐色，无气味或略带异味。</w:t>
                  </w:r>
                </w:p>
              </w:tc>
            </w:tr>
            <w:tr w14:paraId="2B7A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677BF2D1">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191F2461">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熔点（℃）</w:t>
                  </w:r>
                </w:p>
              </w:tc>
              <w:tc>
                <w:tcPr>
                  <w:tcW w:w="1831" w:type="pct"/>
                  <w:gridSpan w:val="4"/>
                  <w:vAlign w:val="center"/>
                </w:tcPr>
                <w:p w14:paraId="5AC358A8">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4" w:type="pct"/>
                  <w:gridSpan w:val="4"/>
                  <w:vAlign w:val="center"/>
                </w:tcPr>
                <w:p w14:paraId="132D007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临界压力（Mpa）</w:t>
                  </w:r>
                </w:p>
              </w:tc>
              <w:tc>
                <w:tcPr>
                  <w:tcW w:w="662" w:type="pct"/>
                  <w:gridSpan w:val="3"/>
                  <w:vAlign w:val="center"/>
                </w:tcPr>
                <w:p w14:paraId="4076DFF8">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08E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283C0237">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212DC68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沸点（℃）</w:t>
                  </w:r>
                </w:p>
              </w:tc>
              <w:tc>
                <w:tcPr>
                  <w:tcW w:w="1831" w:type="pct"/>
                  <w:gridSpan w:val="4"/>
                  <w:vAlign w:val="center"/>
                </w:tcPr>
                <w:p w14:paraId="74252A7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4" w:type="pct"/>
                  <w:gridSpan w:val="4"/>
                  <w:vAlign w:val="center"/>
                </w:tcPr>
                <w:p w14:paraId="50DBDF44">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相对密度（水＝1）</w:t>
                  </w:r>
                </w:p>
              </w:tc>
              <w:tc>
                <w:tcPr>
                  <w:tcW w:w="662" w:type="pct"/>
                  <w:gridSpan w:val="3"/>
                  <w:vAlign w:val="center"/>
                </w:tcPr>
                <w:p w14:paraId="1E11163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r>
            <w:tr w14:paraId="0E64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51D4C954">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6B3C6ED5">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饱和蒸汽压（kpa）</w:t>
                  </w:r>
                </w:p>
              </w:tc>
              <w:tc>
                <w:tcPr>
                  <w:tcW w:w="1831" w:type="pct"/>
                  <w:gridSpan w:val="4"/>
                  <w:vAlign w:val="center"/>
                </w:tcPr>
                <w:p w14:paraId="0874E0F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4" w:type="pct"/>
                  <w:gridSpan w:val="4"/>
                  <w:vAlign w:val="center"/>
                </w:tcPr>
                <w:p w14:paraId="06E7E3EA">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相对密度（空气＝1）</w:t>
                  </w:r>
                </w:p>
              </w:tc>
              <w:tc>
                <w:tcPr>
                  <w:tcW w:w="662" w:type="pct"/>
                  <w:gridSpan w:val="3"/>
                  <w:vAlign w:val="center"/>
                </w:tcPr>
                <w:p w14:paraId="091F3C9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953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51E90198">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72EEF810">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临界温度（℃）</w:t>
                  </w:r>
                </w:p>
              </w:tc>
              <w:tc>
                <w:tcPr>
                  <w:tcW w:w="1831" w:type="pct"/>
                  <w:gridSpan w:val="4"/>
                  <w:vAlign w:val="center"/>
                </w:tcPr>
                <w:p w14:paraId="54AF617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4" w:type="pct"/>
                  <w:gridSpan w:val="4"/>
                  <w:vAlign w:val="center"/>
                </w:tcPr>
                <w:p w14:paraId="673B028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燃烧热（KJ·mol</w:t>
                  </w:r>
                  <w:r>
                    <w:rPr>
                      <w:rFonts w:hint="default" w:ascii="Times New Roman" w:hAnsi="Times New Roman" w:eastAsia="宋体" w:cs="Times New Roman"/>
                      <w:color w:val="auto"/>
                      <w:szCs w:val="21"/>
                      <w:vertAlign w:val="superscript"/>
                    </w:rPr>
                    <w:t>-1</w:t>
                  </w:r>
                  <w:r>
                    <w:rPr>
                      <w:rFonts w:hint="default" w:ascii="Times New Roman" w:hAnsi="Times New Roman" w:eastAsia="宋体" w:cs="Times New Roman"/>
                      <w:color w:val="auto"/>
                      <w:szCs w:val="21"/>
                    </w:rPr>
                    <w:t>）</w:t>
                  </w:r>
                </w:p>
              </w:tc>
              <w:tc>
                <w:tcPr>
                  <w:tcW w:w="662" w:type="pct"/>
                  <w:gridSpan w:val="3"/>
                  <w:vAlign w:val="center"/>
                </w:tcPr>
                <w:p w14:paraId="5DDD9969">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5A0D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2B05E4C9">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1C26AA18">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溶解性</w:t>
                  </w:r>
                </w:p>
              </w:tc>
              <w:tc>
                <w:tcPr>
                  <w:tcW w:w="4048" w:type="pct"/>
                  <w:gridSpan w:val="11"/>
                </w:tcPr>
                <w:p w14:paraId="1258219B">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不溶于水</w:t>
                  </w:r>
                </w:p>
              </w:tc>
            </w:tr>
            <w:tr w14:paraId="7121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14:paraId="61FDBDD0">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燃</w:t>
                  </w:r>
                </w:p>
                <w:p w14:paraId="5E67B71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烧</w:t>
                  </w:r>
                </w:p>
                <w:p w14:paraId="4BE7E816">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w:t>
                  </w:r>
                </w:p>
                <w:p w14:paraId="1ABF8210">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炸</w:t>
                  </w:r>
                </w:p>
                <w:p w14:paraId="3FED732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w:t>
                  </w:r>
                </w:p>
                <w:p w14:paraId="1366B898">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险</w:t>
                  </w:r>
                </w:p>
                <w:p w14:paraId="66C45F81">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性</w:t>
                  </w:r>
                </w:p>
              </w:tc>
              <w:tc>
                <w:tcPr>
                  <w:tcW w:w="684" w:type="pct"/>
                  <w:gridSpan w:val="2"/>
                  <w:vAlign w:val="center"/>
                </w:tcPr>
                <w:p w14:paraId="1690D239">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燃烧性</w:t>
                  </w:r>
                </w:p>
              </w:tc>
              <w:tc>
                <w:tcPr>
                  <w:tcW w:w="1831" w:type="pct"/>
                  <w:gridSpan w:val="4"/>
                  <w:vAlign w:val="center"/>
                </w:tcPr>
                <w:p w14:paraId="4CDD9FE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可燃</w:t>
                  </w:r>
                </w:p>
              </w:tc>
              <w:tc>
                <w:tcPr>
                  <w:tcW w:w="1554" w:type="pct"/>
                  <w:gridSpan w:val="4"/>
                  <w:vAlign w:val="center"/>
                </w:tcPr>
                <w:p w14:paraId="6D4D7BB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闪点（℃）</w:t>
                  </w:r>
                </w:p>
              </w:tc>
              <w:tc>
                <w:tcPr>
                  <w:tcW w:w="662" w:type="pct"/>
                  <w:gridSpan w:val="3"/>
                  <w:vAlign w:val="center"/>
                </w:tcPr>
                <w:p w14:paraId="50914C1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76</w:t>
                  </w:r>
                </w:p>
              </w:tc>
            </w:tr>
            <w:tr w14:paraId="7CEA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3D8BD5C8">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389539CA">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爆炸极限（％）</w:t>
                  </w:r>
                </w:p>
              </w:tc>
              <w:tc>
                <w:tcPr>
                  <w:tcW w:w="1831" w:type="pct"/>
                  <w:gridSpan w:val="4"/>
                  <w:vAlign w:val="center"/>
                </w:tcPr>
                <w:p w14:paraId="4FD6D5F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无资料</w:t>
                  </w:r>
                </w:p>
              </w:tc>
              <w:tc>
                <w:tcPr>
                  <w:tcW w:w="1554" w:type="pct"/>
                  <w:gridSpan w:val="4"/>
                  <w:vAlign w:val="center"/>
                </w:tcPr>
                <w:p w14:paraId="7FDA7D6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最小点火能（MJ）</w:t>
                  </w:r>
                </w:p>
              </w:tc>
              <w:tc>
                <w:tcPr>
                  <w:tcW w:w="662" w:type="pct"/>
                  <w:gridSpan w:val="3"/>
                  <w:vAlign w:val="center"/>
                </w:tcPr>
                <w:p w14:paraId="7C09C61C">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335E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522DD9CB">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44092C7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引燃温度（℃）</w:t>
                  </w:r>
                </w:p>
              </w:tc>
              <w:tc>
                <w:tcPr>
                  <w:tcW w:w="1831" w:type="pct"/>
                  <w:gridSpan w:val="4"/>
                  <w:vAlign w:val="center"/>
                </w:tcPr>
                <w:p w14:paraId="2EFCBF4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248</w:t>
                  </w:r>
                </w:p>
              </w:tc>
              <w:tc>
                <w:tcPr>
                  <w:tcW w:w="1554" w:type="pct"/>
                  <w:gridSpan w:val="4"/>
                  <w:vAlign w:val="center"/>
                </w:tcPr>
                <w:p w14:paraId="31420684">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最大爆炸压力（Mpa）</w:t>
                  </w:r>
                </w:p>
              </w:tc>
              <w:tc>
                <w:tcPr>
                  <w:tcW w:w="662" w:type="pct"/>
                  <w:gridSpan w:val="3"/>
                  <w:vAlign w:val="center"/>
                </w:tcPr>
                <w:p w14:paraId="4D00D0F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0D13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48BC3083">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769DE5C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危险特性</w:t>
                  </w:r>
                </w:p>
              </w:tc>
              <w:tc>
                <w:tcPr>
                  <w:tcW w:w="4048" w:type="pct"/>
                  <w:gridSpan w:val="11"/>
                </w:tcPr>
                <w:p w14:paraId="22861656">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遇明火、高热可燃。</w:t>
                  </w:r>
                </w:p>
              </w:tc>
            </w:tr>
            <w:tr w14:paraId="705A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43822569">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72E216B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灭火方法</w:t>
                  </w:r>
                </w:p>
              </w:tc>
              <w:tc>
                <w:tcPr>
                  <w:tcW w:w="4048" w:type="pct"/>
                  <w:gridSpan w:val="11"/>
                </w:tcPr>
                <w:p w14:paraId="668E680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003AF1C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灭火剂：雾状水、泡沫、干粉、二氧化碳、砂土。</w:t>
                  </w:r>
                </w:p>
              </w:tc>
            </w:tr>
            <w:tr w14:paraId="0A08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491C11EC">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54E86D1D">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禁忌物</w:t>
                  </w:r>
                </w:p>
              </w:tc>
              <w:tc>
                <w:tcPr>
                  <w:tcW w:w="2370" w:type="pct"/>
                  <w:gridSpan w:val="5"/>
                  <w:vAlign w:val="center"/>
                </w:tcPr>
                <w:p w14:paraId="73AEDE54">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093" w:type="pct"/>
                  <w:gridSpan w:val="4"/>
                  <w:vAlign w:val="center"/>
                </w:tcPr>
                <w:p w14:paraId="169432D5">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稳定性</w:t>
                  </w:r>
                </w:p>
              </w:tc>
              <w:tc>
                <w:tcPr>
                  <w:tcW w:w="584" w:type="pct"/>
                  <w:gridSpan w:val="2"/>
                  <w:vAlign w:val="center"/>
                </w:tcPr>
                <w:p w14:paraId="4E6EC1A9">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稳定</w:t>
                  </w:r>
                </w:p>
              </w:tc>
            </w:tr>
            <w:tr w14:paraId="41E7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7D173A51">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Align w:val="center"/>
                </w:tcPr>
                <w:p w14:paraId="7F252C69">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燃烧产物</w:t>
                  </w:r>
                </w:p>
              </w:tc>
              <w:tc>
                <w:tcPr>
                  <w:tcW w:w="2370" w:type="pct"/>
                  <w:gridSpan w:val="5"/>
                  <w:vAlign w:val="center"/>
                </w:tcPr>
                <w:p w14:paraId="5025A311">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一氧化碳、二氧化碳</w:t>
                  </w:r>
                </w:p>
              </w:tc>
              <w:tc>
                <w:tcPr>
                  <w:tcW w:w="1093" w:type="pct"/>
                  <w:gridSpan w:val="4"/>
                  <w:vAlign w:val="center"/>
                </w:tcPr>
                <w:p w14:paraId="4EEDA4C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聚合危害</w:t>
                  </w:r>
                </w:p>
              </w:tc>
              <w:tc>
                <w:tcPr>
                  <w:tcW w:w="584" w:type="pct"/>
                  <w:gridSpan w:val="2"/>
                  <w:vAlign w:val="center"/>
                </w:tcPr>
                <w:p w14:paraId="0DD866A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不聚合</w:t>
                  </w:r>
                </w:p>
              </w:tc>
            </w:tr>
            <w:tr w14:paraId="4B76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vAlign w:val="center"/>
                </w:tcPr>
                <w:p w14:paraId="74C901C3">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毒性及健康危害</w:t>
                  </w:r>
                </w:p>
              </w:tc>
              <w:tc>
                <w:tcPr>
                  <w:tcW w:w="684" w:type="pct"/>
                  <w:gridSpan w:val="2"/>
                  <w:vAlign w:val="center"/>
                </w:tcPr>
                <w:p w14:paraId="5E559956">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急性毒性</w:t>
                  </w:r>
                </w:p>
              </w:tc>
              <w:tc>
                <w:tcPr>
                  <w:tcW w:w="1594" w:type="pct"/>
                  <w:gridSpan w:val="3"/>
                  <w:vAlign w:val="center"/>
                </w:tcPr>
                <w:p w14:paraId="14E8700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LD50（mg/kg，大鼠经口）</w:t>
                  </w:r>
                </w:p>
              </w:tc>
              <w:tc>
                <w:tcPr>
                  <w:tcW w:w="775" w:type="pct"/>
                  <w:gridSpan w:val="2"/>
                  <w:vAlign w:val="center"/>
                </w:tcPr>
                <w:p w14:paraId="341F8D92">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无资料</w:t>
                  </w:r>
                </w:p>
              </w:tc>
              <w:tc>
                <w:tcPr>
                  <w:tcW w:w="1093" w:type="pct"/>
                  <w:gridSpan w:val="4"/>
                  <w:vAlign w:val="center"/>
                </w:tcPr>
                <w:p w14:paraId="3986F4A1">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LC50（mg/kg）</w:t>
                  </w:r>
                </w:p>
              </w:tc>
              <w:tc>
                <w:tcPr>
                  <w:tcW w:w="584" w:type="pct"/>
                  <w:gridSpan w:val="2"/>
                  <w:vAlign w:val="center"/>
                </w:tcPr>
                <w:p w14:paraId="09638F1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无资料</w:t>
                  </w:r>
                </w:p>
              </w:tc>
            </w:tr>
            <w:tr w14:paraId="1F61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13C5E906">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Merge w:val="restart"/>
                  <w:vAlign w:val="center"/>
                </w:tcPr>
                <w:p w14:paraId="2A895A15">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健康危害</w:t>
                  </w:r>
                </w:p>
              </w:tc>
              <w:tc>
                <w:tcPr>
                  <w:tcW w:w="1594" w:type="pct"/>
                  <w:gridSpan w:val="3"/>
                </w:tcPr>
                <w:p w14:paraId="7251955E">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车间卫生标准</w:t>
                  </w:r>
                </w:p>
              </w:tc>
              <w:tc>
                <w:tcPr>
                  <w:tcW w:w="2453" w:type="pct"/>
                  <w:gridSpan w:val="8"/>
                </w:tcPr>
                <w:p w14:paraId="3EDC2AC3">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271E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tcPr>
                <w:p w14:paraId="758CD6C6">
                  <w:pPr>
                    <w:pStyle w:val="19"/>
                    <w:adjustRightInd w:val="0"/>
                    <w:spacing w:before="72" w:beforeLines="30" w:after="72" w:afterLines="30" w:line="240" w:lineRule="auto"/>
                    <w:rPr>
                      <w:rFonts w:hint="default" w:ascii="Times New Roman" w:hAnsi="Times New Roman" w:eastAsia="宋体" w:cs="Times New Roman"/>
                      <w:color w:val="auto"/>
                      <w:szCs w:val="21"/>
                    </w:rPr>
                  </w:pPr>
                </w:p>
              </w:tc>
              <w:tc>
                <w:tcPr>
                  <w:tcW w:w="684" w:type="pct"/>
                  <w:gridSpan w:val="2"/>
                  <w:vMerge w:val="continue"/>
                  <w:vAlign w:val="center"/>
                </w:tcPr>
                <w:p w14:paraId="3718682F">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p>
              </w:tc>
              <w:tc>
                <w:tcPr>
                  <w:tcW w:w="4048" w:type="pct"/>
                  <w:gridSpan w:val="11"/>
                  <w:vAlign w:val="center"/>
                </w:tcPr>
                <w:p w14:paraId="3E61AF76">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侵入途径：吸入、食入；</w:t>
                  </w:r>
                </w:p>
                <w:p w14:paraId="44951A48">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430E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4A2D1310">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急救</w:t>
                  </w:r>
                </w:p>
              </w:tc>
              <w:tc>
                <w:tcPr>
                  <w:tcW w:w="4732" w:type="pct"/>
                  <w:gridSpan w:val="13"/>
                  <w:vAlign w:val="center"/>
                </w:tcPr>
                <w:p w14:paraId="3E413A48">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皮肤接触：立即脱去被污染的衣着，用大量清水冲洗；</w:t>
                  </w:r>
                </w:p>
                <w:p w14:paraId="6765C474">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眼睛接触：立即提起眼睑，用大量流动清水或生理盐水冲洗，就医；</w:t>
                  </w:r>
                </w:p>
                <w:p w14:paraId="462E9059">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吸入：迅速脱离现场至空气新鲜处，保持呼吸道通畅，如呼吸困难，给输氧；如呼吸停止，立即进行人工呼吸，就医；</w:t>
                  </w:r>
                </w:p>
                <w:p w14:paraId="036489FE">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食入：饮足量温水，催吐，就医。</w:t>
                  </w:r>
                </w:p>
              </w:tc>
            </w:tr>
            <w:tr w14:paraId="4DF4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1D39DB1A">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防护</w:t>
                  </w:r>
                </w:p>
              </w:tc>
              <w:tc>
                <w:tcPr>
                  <w:tcW w:w="4732" w:type="pct"/>
                  <w:gridSpan w:val="13"/>
                  <w:vAlign w:val="center"/>
                </w:tcPr>
                <w:p w14:paraId="4F972705">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工程控制：封闭操作，注意通风；</w:t>
                  </w:r>
                </w:p>
                <w:p w14:paraId="74C0DBF5">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呼吸系统防护：空气中浓度超标时，建议佩戴自吸过滤式防毒面具（半面罩）。紧急事态抢救或撤离时，应该佩戴空气呼吸器。</w:t>
                  </w:r>
                </w:p>
                <w:p w14:paraId="25C32A7C">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眼睛防护：戴化学安全防护眼镜。</w:t>
                  </w:r>
                </w:p>
                <w:p w14:paraId="4B41A0DA">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身体防护：穿防毒物渗透工作服；</w:t>
                  </w:r>
                </w:p>
                <w:p w14:paraId="2FC4A1D0">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手防护：戴橡胶耐油手套；</w:t>
                  </w:r>
                </w:p>
                <w:p w14:paraId="25808181">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其他：工作现场严禁吸烟。避免长期反复接触。</w:t>
                  </w:r>
                </w:p>
              </w:tc>
            </w:tr>
            <w:tr w14:paraId="4DDD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4A8D040F">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泄漏处理</w:t>
                  </w:r>
                </w:p>
              </w:tc>
              <w:tc>
                <w:tcPr>
                  <w:tcW w:w="4732" w:type="pct"/>
                  <w:gridSpan w:val="13"/>
                  <w:vAlign w:val="center"/>
                </w:tcPr>
                <w:p w14:paraId="1EE17D2E">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迅速撤离泄漏污染区人员至安全区，并进行隔离，严格限制出入。切断火源。建议应急处理人员戴自给正压式呼吸器，穿防毒服。尽可能切断泄漏源。防止流入下水道、排洪沟等限制性空间。</w:t>
                  </w:r>
                </w:p>
                <w:p w14:paraId="4B8C1D5C">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小量泄漏：用砂土或其它不燃材料吸附或吸收。</w:t>
                  </w:r>
                </w:p>
                <w:p w14:paraId="594F2F7B">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大量泄漏：构筑围堤或挖坑收容。用泵转移至槽车或专用收集器内，回收或运至废物处理场所处置。</w:t>
                  </w:r>
                </w:p>
              </w:tc>
            </w:tr>
            <w:tr w14:paraId="71E0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14:paraId="437C8DC7">
                  <w:pPr>
                    <w:pStyle w:val="19"/>
                    <w:adjustRightInd w:val="0"/>
                    <w:spacing w:before="72" w:beforeLines="30" w:after="72" w:afterLines="30" w:line="24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储运</w:t>
                  </w:r>
                </w:p>
              </w:tc>
              <w:tc>
                <w:tcPr>
                  <w:tcW w:w="4732" w:type="pct"/>
                  <w:gridSpan w:val="13"/>
                  <w:vAlign w:val="center"/>
                </w:tcPr>
                <w:p w14:paraId="1C57E9A1">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储存于阴凉、通风的库房。远离火种、热源。应与氧化剂分开存放，切忌混储。配备相应品种和数量的消防器材。储区应备有泄漏应急处理设备和合适的收容材料。</w:t>
                  </w:r>
                </w:p>
                <w:p w14:paraId="73AA9343">
                  <w:pPr>
                    <w:pStyle w:val="19"/>
                    <w:adjustRightInd w:val="0"/>
                    <w:spacing w:before="72" w:beforeLines="30" w:after="72" w:afterLines="30" w:line="240" w:lineRule="auto"/>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56BD4E7C">
            <w:pPr>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（4）环境风险分析</w:t>
            </w:r>
          </w:p>
          <w:p w14:paraId="3778CFAD">
            <w:pPr>
              <w:adjustRightInd w:val="0"/>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①泄漏事故影响分析</w:t>
            </w:r>
          </w:p>
          <w:p w14:paraId="30C3F784">
            <w:pPr>
              <w:adjustRightInd w:val="0"/>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本项目危险物质主要涉及废润滑油、消防废水。</w:t>
            </w:r>
          </w:p>
          <w:p w14:paraId="68FB4A5C">
            <w:pPr>
              <w:adjustRightInd w:val="0"/>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A、项目生产系统风险所在主要为危险废物暂存间，废润滑油的泄漏或渗漏会造成地下水、地表水的污染，地下水一旦遭到污染，将使地下水产生严重异味，渗漏必然穿过较厚的土层，使土壤层中吸附有大量的润滑油，土壤层吸附的废润滑油不仅会造成植物生物的死亡，而且还会随着地表水的下渗对土壤层的冲刷补充到地下水。一旦进入地表河流，将造成地表河流的污染，污染首先将造成地表河流的景观破坏，产生严重的刺鼻性气味；其次造成水中溶解氧浓度降低，逐渐形成死水，致使水中生物死亡。</w:t>
            </w:r>
            <w:r>
              <w:rPr>
                <w:rFonts w:hint="default" w:ascii="Times New Roman" w:hAnsi="Times New Roman" w:eastAsia="宋体" w:cs="Times New Roman"/>
                <w:color w:val="auto"/>
                <w:szCs w:val="21"/>
              </w:rPr>
              <w:t>存储废机油的区域设置一个容积为0.5m³的不锈钢托盆，若发生废机油和废乙醇泄露事件可完全收集，不外排。</w:t>
            </w:r>
          </w:p>
          <w:p w14:paraId="117D8629">
            <w:pPr>
              <w:adjustRightInd w:val="0"/>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B</w:t>
            </w:r>
            <w:r>
              <w:rPr>
                <w:rFonts w:hint="default" w:ascii="Times New Roman" w:hAnsi="Times New Roman" w:eastAsia="宋体" w:cs="Times New Roman"/>
                <w:bCs/>
                <w:color w:val="auto"/>
                <w:szCs w:val="21"/>
              </w:rPr>
              <w:t>、若项目发生突发环境事件引起火灾，产生的消防废水可排入</w:t>
            </w:r>
            <w:r>
              <w:rPr>
                <w:rFonts w:hint="default" w:ascii="Times New Roman" w:hAnsi="Times New Roman" w:eastAsia="宋体" w:cs="Times New Roman"/>
                <w:color w:val="auto"/>
                <w:szCs w:val="21"/>
                <w:lang w:eastAsia="zh-CN"/>
              </w:rPr>
              <w:t>云南新兴仁恒包装材料有限公司</w:t>
            </w:r>
            <w:r>
              <w:rPr>
                <w:rFonts w:hint="default" w:ascii="Times New Roman" w:hAnsi="Times New Roman" w:eastAsia="宋体" w:cs="Times New Roman"/>
                <w:bCs/>
                <w:color w:val="auto"/>
                <w:szCs w:val="21"/>
              </w:rPr>
              <w:t>厂区应急水池。若消防废水发生泄露则会直接造成周围地表水和土壤的直接污染，而且随着地表径流下渗至地下水层还会污染浅层的地下水。</w:t>
            </w:r>
          </w:p>
          <w:p w14:paraId="179091B0">
            <w:pPr>
              <w:adjustRightInd w:val="0"/>
              <w:snapToGrid w:val="0"/>
              <w:spacing w:line="360" w:lineRule="auto"/>
              <w:ind w:firstLine="42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②火灾事故影响分析</w:t>
            </w:r>
          </w:p>
          <w:p w14:paraId="2031C8A8">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润滑油均极易燃烧，其中完全燃烧时产生二氧化碳，不完全燃烧时产生CO。CO对人的主要危害就是引起组织缺氧，导致急性或者慢性中毒甚至有死亡的威胁，此外，还可能造成听力与视力的损害，CO</w:t>
            </w:r>
            <w:r>
              <w:rPr>
                <w:rFonts w:hint="default" w:ascii="Times New Roman" w:hAnsi="Times New Roman" w:eastAsia="宋体" w:cs="Times New Roman"/>
                <w:bCs/>
                <w:color w:val="auto"/>
                <w:szCs w:val="21"/>
                <w:vertAlign w:val="subscript"/>
              </w:rPr>
              <w:t>2</w:t>
            </w:r>
            <w:r>
              <w:rPr>
                <w:rFonts w:hint="default" w:ascii="Times New Roman" w:hAnsi="Times New Roman" w:eastAsia="宋体" w:cs="Times New Roman"/>
                <w:bCs/>
                <w:color w:val="auto"/>
                <w:szCs w:val="21"/>
              </w:rPr>
              <w:t>对环境影响主要为温室效应。润滑油如</w:t>
            </w:r>
            <w:r>
              <w:rPr>
                <w:rFonts w:hint="default" w:ascii="Times New Roman" w:hAnsi="Times New Roman" w:eastAsia="宋体" w:cs="Times New Roman"/>
                <w:color w:val="auto"/>
                <w:szCs w:val="21"/>
              </w:rPr>
              <w:t>遇明火、高温或与氧化剂接触，有引起燃烧爆炸的危险。若遇高热，容器内压力增大，有开裂和爆炸的危险。</w:t>
            </w:r>
          </w:p>
          <w:p w14:paraId="30EBA5F4">
            <w:pPr>
              <w:adjustRightInd w:val="0"/>
              <w:snapToGrid w:val="0"/>
              <w:spacing w:line="360" w:lineRule="auto"/>
              <w:ind w:firstLine="420"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本项目废润滑油采用桶装形式储存于危险废物暂存间，最大储量为0.1t，远远小于矿物油的临界量2500t；项目Q＜1，环境风险潜势为I。</w:t>
            </w:r>
            <w:r>
              <w:rPr>
                <w:rFonts w:hint="default" w:ascii="Times New Roman" w:hAnsi="Times New Roman" w:eastAsia="宋体" w:cs="Times New Roman"/>
                <w:bCs/>
                <w:color w:val="auto"/>
                <w:szCs w:val="21"/>
              </w:rPr>
              <w:t>出现火灾事故概率极小，排放CO、CO</w:t>
            </w:r>
            <w:r>
              <w:rPr>
                <w:rFonts w:hint="default" w:ascii="Times New Roman" w:hAnsi="Times New Roman" w:eastAsia="宋体" w:cs="Times New Roman"/>
                <w:bCs/>
                <w:color w:val="auto"/>
                <w:szCs w:val="21"/>
                <w:vertAlign w:val="subscript"/>
              </w:rPr>
              <w:t>2</w:t>
            </w:r>
            <w:r>
              <w:rPr>
                <w:rFonts w:hint="default" w:ascii="Times New Roman" w:hAnsi="Times New Roman" w:eastAsia="宋体" w:cs="Times New Roman"/>
                <w:bCs/>
                <w:color w:val="auto"/>
                <w:szCs w:val="21"/>
              </w:rPr>
              <w:t>经大气稀释、扩散后对周边大气环境影响不大。</w:t>
            </w:r>
          </w:p>
          <w:p w14:paraId="5B4A6212">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（5）环境风险防范措施</w:t>
            </w:r>
          </w:p>
          <w:p w14:paraId="4FA143F9">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①认真落实本次环评提出的环保设施，定期对环保设施进行检修工作确保去除效率避免非正常排放。定期对布袋除尘器的布袋进行更换，定期对危废暂存间进行检查。</w:t>
            </w:r>
          </w:p>
          <w:p w14:paraId="78B995D3">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②严格落实危废暂存间的建设，并按照相关规范分类收集暂存；</w:t>
            </w:r>
          </w:p>
          <w:p w14:paraId="02B5AEDA">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③生产车间内配置灭火器；</w:t>
            </w:r>
          </w:p>
          <w:p w14:paraId="0F018397">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④原料及产品堆放、润滑油库、危废暂存间需做到远离火种、热源，保持通风阴凉的环境，采取复合材料进行重点防渗；</w:t>
            </w:r>
          </w:p>
          <w:p w14:paraId="4821F9A5">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⑤为工作人员制定相关的操作规范，配备泄漏应急处理设备。</w:t>
            </w:r>
          </w:p>
          <w:p w14:paraId="5A730BDA">
            <w:pPr>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⑥项目需制定防火措施，厂区内设置安全疏散通道，安全科学管理，有效防止火灾风险事故的发生</w:t>
            </w:r>
            <w:r>
              <w:rPr>
                <w:rFonts w:hint="default" w:ascii="Times New Roman" w:hAnsi="Times New Roman" w:eastAsia="宋体" w:cs="Times New Roman"/>
                <w:color w:val="auto"/>
                <w:szCs w:val="21"/>
                <w:lang w:val="en-US" w:eastAsia="zh-CN"/>
              </w:rPr>
              <w:t>等。</w:t>
            </w:r>
          </w:p>
          <w:p w14:paraId="0A9A8D08">
            <w:pPr>
              <w:tabs>
                <w:tab w:val="left" w:pos="3999"/>
              </w:tabs>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（6）环境风险管理措施</w:t>
            </w:r>
          </w:p>
          <w:p w14:paraId="66210F6C">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①资金保障：公司要划拨一定的污染事故应急专项资金，用于购买应急设施、设备与器材和日常的宣传培训演练，作为突发环境污染事故应急资金的保障；</w:t>
            </w:r>
          </w:p>
          <w:p w14:paraId="1D597FD2">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②装备保障：厂区内要准备一定数量的应急救援用的用品（消防沙或消防土），并对其进行日常维护，为环境突发事故应急提供装备保障；</w:t>
            </w:r>
          </w:p>
          <w:p w14:paraId="0D89701C">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③通信保障及人力资源保障：保证全厂的通信畅通，重大事故应急救援组织机构成员要配备相应的通信工具，并且保证每天24小时畅通，保证事故应急人员和救援设备物资能及时到位；</w:t>
            </w:r>
          </w:p>
          <w:p w14:paraId="6C9EAD53">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宣传培训演练：平时要加强防范事故的宣传工作，必要时邀请地方消防部门对企业应急组织机构领导小组成员和职工进行技术指导和培训，发放《环境应急手册》，每半年要安排人员进行一次事故应急演练。对工厂周围公众进行有针对性的科普宣传、教育、培训和发布有关信息，增强广大群众自我防护、自救互救意识。</w:t>
            </w:r>
          </w:p>
          <w:p w14:paraId="1E6C2A1D">
            <w:pPr>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（7）风险分析结论</w:t>
            </w:r>
          </w:p>
          <w:p w14:paraId="36984FCF">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分析可知，本项目运营过程中存在一定的环境风险，通过采取本报告提出的风险事故防范措施及制定行之有效的环境风险应急预案，并在今后进一步加强管理和监控，可将风险事故发生率降至最低点，确保了不对建设所在区域环境造成较大危险。</w:t>
            </w:r>
          </w:p>
          <w:p w14:paraId="0C3A97A9">
            <w:pPr>
              <w:snapToGrid w:val="0"/>
              <w:spacing w:line="360" w:lineRule="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在落实项目风险事故防范措施和事故应急预案的前提下，项目的风险处于环境可接受的水平，项目的风险防范措施可行。综合分析，项目从环境风险角度可行。</w:t>
            </w:r>
          </w:p>
          <w:p w14:paraId="3ED8F19B">
            <w:pPr>
              <w:snapToGrid w:val="0"/>
              <w:ind w:firstLine="482"/>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表4-19  建设项目简单分析风险内容表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601"/>
              <w:gridCol w:w="2267"/>
              <w:gridCol w:w="814"/>
              <w:gridCol w:w="2308"/>
            </w:tblGrid>
            <w:tr w14:paraId="5446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pct"/>
                  <w:vAlign w:val="center"/>
                </w:tcPr>
                <w:p w14:paraId="23B99E87">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4156" w:type="pct"/>
                  <w:gridSpan w:val="4"/>
                  <w:vAlign w:val="center"/>
                </w:tcPr>
                <w:p w14:paraId="23036501">
                  <w:pPr>
                    <w:snapToGrid w:val="0"/>
                    <w:spacing w:before="72" w:beforeLines="30" w:after="72" w:afterLines="3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瓦楞纸板设备更新</w:t>
                  </w:r>
                </w:p>
              </w:tc>
            </w:tr>
            <w:tr w14:paraId="0A66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pct"/>
                  <w:vAlign w:val="center"/>
                </w:tcPr>
                <w:p w14:paraId="35961A3F">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建设地点</w:t>
                  </w:r>
                </w:p>
              </w:tc>
              <w:tc>
                <w:tcPr>
                  <w:tcW w:w="4156" w:type="pct"/>
                  <w:gridSpan w:val="4"/>
                  <w:vAlign w:val="center"/>
                </w:tcPr>
                <w:p w14:paraId="5A79B6CE">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云南省玉溪春和街道孙井社区太极山</w:t>
                  </w:r>
                </w:p>
              </w:tc>
            </w:tr>
            <w:tr w14:paraId="5453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43" w:type="pct"/>
                  <w:vAlign w:val="center"/>
                </w:tcPr>
                <w:p w14:paraId="28CA5F8D">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952" w:type="pct"/>
                  <w:vAlign w:val="center"/>
                </w:tcPr>
                <w:p w14:paraId="76C07B36">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经度</w:t>
                  </w:r>
                </w:p>
              </w:tc>
              <w:tc>
                <w:tcPr>
                  <w:tcW w:w="1348" w:type="pct"/>
                  <w:vAlign w:val="center"/>
                </w:tcPr>
                <w:p w14:paraId="5143C266">
                  <w:pPr>
                    <w:widowControl/>
                    <w:snapToGrid w:val="0"/>
                    <w:spacing w:before="72" w:beforeLines="30" w:after="72" w:afterLines="3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102°31'43.340"</w:t>
                  </w:r>
                </w:p>
              </w:tc>
              <w:tc>
                <w:tcPr>
                  <w:tcW w:w="484" w:type="pct"/>
                  <w:vAlign w:val="center"/>
                </w:tcPr>
                <w:p w14:paraId="2F859F98">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纬度</w:t>
                  </w:r>
                </w:p>
              </w:tc>
              <w:tc>
                <w:tcPr>
                  <w:tcW w:w="1370" w:type="pct"/>
                  <w:vAlign w:val="center"/>
                </w:tcPr>
                <w:p w14:paraId="34484A35">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24°24'38.253"</w:t>
                  </w:r>
                </w:p>
              </w:tc>
            </w:tr>
            <w:tr w14:paraId="724D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pct"/>
                  <w:vAlign w:val="center"/>
                </w:tcPr>
                <w:p w14:paraId="29D67B60">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主要危险物质及分布</w:t>
                  </w:r>
                </w:p>
              </w:tc>
              <w:tc>
                <w:tcPr>
                  <w:tcW w:w="4156" w:type="pct"/>
                  <w:gridSpan w:val="4"/>
                  <w:vAlign w:val="center"/>
                </w:tcPr>
                <w:p w14:paraId="2447D1F1">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危险废物暂存间</w:t>
                  </w:r>
                </w:p>
              </w:tc>
            </w:tr>
            <w:tr w14:paraId="174A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3" w:type="pct"/>
                  <w:vAlign w:val="center"/>
                </w:tcPr>
                <w:p w14:paraId="2D3D702C">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环境影响途径及危害后果（如大气、地表水、地下水等）</w:t>
                  </w:r>
                </w:p>
              </w:tc>
              <w:tc>
                <w:tcPr>
                  <w:tcW w:w="4156" w:type="pct"/>
                  <w:gridSpan w:val="4"/>
                  <w:vAlign w:val="center"/>
                </w:tcPr>
                <w:p w14:paraId="29050880">
                  <w:pPr>
                    <w:snapToGrid w:val="0"/>
                    <w:spacing w:before="72" w:beforeLines="30" w:after="72" w:afterLines="3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①废</w:t>
                  </w:r>
                  <w:r>
                    <w:rPr>
                      <w:rFonts w:hint="default" w:ascii="Times New Roman" w:hAnsi="Times New Roman" w:eastAsia="宋体" w:cs="Times New Roman"/>
                      <w:bCs/>
                      <w:color w:val="auto"/>
                      <w:szCs w:val="21"/>
                    </w:rPr>
                    <w:t>润滑</w:t>
                  </w:r>
                  <w:r>
                    <w:rPr>
                      <w:rFonts w:hint="default" w:ascii="Times New Roman" w:hAnsi="Times New Roman" w:eastAsia="宋体" w:cs="Times New Roman"/>
                      <w:color w:val="auto"/>
                      <w:szCs w:val="21"/>
                    </w:rPr>
                    <w:t>油泄漏后进入水体中会对水体造成污染。</w:t>
                  </w:r>
                </w:p>
                <w:p w14:paraId="4123D909">
                  <w:pPr>
                    <w:snapToGrid w:val="0"/>
                    <w:spacing w:before="72" w:beforeLines="30" w:after="72" w:afterLines="3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w:t>
                  </w:r>
                  <w:r>
                    <w:rPr>
                      <w:rFonts w:hint="default" w:ascii="Times New Roman" w:hAnsi="Times New Roman" w:eastAsia="宋体" w:cs="Times New Roman"/>
                      <w:bCs/>
                      <w:color w:val="auto"/>
                      <w:szCs w:val="21"/>
                    </w:rPr>
                    <w:t>润滑油如</w:t>
                  </w:r>
                  <w:r>
                    <w:rPr>
                      <w:rFonts w:hint="default" w:ascii="Times New Roman" w:hAnsi="Times New Roman" w:eastAsia="宋体" w:cs="Times New Roman"/>
                      <w:color w:val="auto"/>
                      <w:szCs w:val="21"/>
                    </w:rPr>
                    <w:t>遇明火、高温或与氧化剂接触，有引起燃烧爆炸的危险。若遇高热，容器内压力增大，有开裂和爆炸的危险</w:t>
                  </w:r>
                  <w:r>
                    <w:rPr>
                      <w:rFonts w:hint="default" w:ascii="Times New Roman" w:hAnsi="Times New Roman" w:eastAsia="宋体" w:cs="Times New Roman"/>
                      <w:bCs/>
                      <w:color w:val="auto"/>
                      <w:szCs w:val="21"/>
                    </w:rPr>
                    <w:t>，引起爆炸、火灾等，</w:t>
                  </w:r>
                  <w:r>
                    <w:rPr>
                      <w:rFonts w:hint="default" w:ascii="Times New Roman" w:hAnsi="Times New Roman" w:eastAsia="宋体" w:cs="Times New Roman"/>
                      <w:color w:val="auto"/>
                      <w:szCs w:val="21"/>
                    </w:rPr>
                    <w:t>对外环境大气造成影响。</w:t>
                  </w:r>
                </w:p>
              </w:tc>
            </w:tr>
            <w:tr w14:paraId="31DE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pct"/>
                  <w:vAlign w:val="center"/>
                </w:tcPr>
                <w:p w14:paraId="0FDAD830">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风险防范措施要求</w:t>
                  </w:r>
                </w:p>
              </w:tc>
              <w:tc>
                <w:tcPr>
                  <w:tcW w:w="4156" w:type="pct"/>
                  <w:gridSpan w:val="4"/>
                  <w:vAlign w:val="center"/>
                </w:tcPr>
                <w:p w14:paraId="59A4763D">
                  <w:pPr>
                    <w:autoSpaceDE w:val="0"/>
                    <w:autoSpaceDN w:val="0"/>
                    <w:adjustRightInd w:val="0"/>
                    <w:snapToGrid w:val="0"/>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（1）环境风险防范措施</w:t>
                  </w:r>
                </w:p>
                <w:p w14:paraId="1558E2F8">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①认真落实本次环评提出的环保设施，定期对环保设施进行检修工作确保去除效率避免非正常排放。定期对活性炭进行更换，定期对危废暂存间进行检查。</w:t>
                  </w:r>
                </w:p>
                <w:p w14:paraId="0E0811A6">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②严格落实危废暂存间的建设，并按照相关规范分类收集暂存；</w:t>
                  </w:r>
                </w:p>
                <w:p w14:paraId="6699C0B4">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③生产车间内配置灭火器；</w:t>
                  </w:r>
                </w:p>
                <w:p w14:paraId="3382AA75">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④原料及产品堆放、润滑油库、危废暂存间需做到远离火种、热源，保持通风阴凉的环境，采取复合材料进行重点防渗；</w:t>
                  </w:r>
                </w:p>
                <w:p w14:paraId="36D22804">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⑤为工作人员制定相关的操作规范，配备泄漏应急处理设备。</w:t>
                  </w:r>
                </w:p>
                <w:p w14:paraId="3755EF4E">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⑥项目需制定防火措施，厂区内设置安全疏散通道，安全科学管理，有效防止火灾风险事故的发生。</w:t>
                  </w:r>
                </w:p>
                <w:p w14:paraId="76CA529B">
                  <w:pPr>
                    <w:tabs>
                      <w:tab w:val="left" w:pos="3999"/>
                    </w:tabs>
                    <w:snapToGrid w:val="0"/>
                    <w:ind w:firstLine="420" w:firstLineChars="20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szCs w:val="21"/>
                    </w:rPr>
                    <w:t>⑦存储废机油危废暂存间区域设置一个容积为0.5m³的不锈钢托盆，若发生废机油和废乙醇泄露事件可完全收集，不外排。</w:t>
                  </w:r>
                  <w:r>
                    <w:rPr>
                      <w:rFonts w:hint="default" w:ascii="Times New Roman" w:hAnsi="Times New Roman" w:eastAsia="宋体" w:cs="Times New Roman"/>
                      <w:color w:val="auto"/>
                      <w:szCs w:val="21"/>
                      <w:lang w:val="en-US" w:eastAsia="zh-CN"/>
                    </w:rPr>
                    <w:t>等</w:t>
                  </w:r>
                </w:p>
                <w:p w14:paraId="4AD00B41">
                  <w:pPr>
                    <w:tabs>
                      <w:tab w:val="left" w:pos="3999"/>
                    </w:tabs>
                    <w:snapToGrid w:val="0"/>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（2）环境风险管理措施</w:t>
                  </w:r>
                </w:p>
                <w:p w14:paraId="2A4C9BB3">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①资金保障：公司要划拨一定的污染事故应急专项资金，用于购买应急设施、设备与器材和日常的宣传培训演练，作为突发环境污染事故应急资金的保障；</w:t>
                  </w:r>
                </w:p>
                <w:p w14:paraId="57FDE8C2">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②装备保障：厂区内要准备一定数量的应急救援用的用品（消防沙或消防土），并对其进行日常维护，为环境突发事故应急提供装备保障；</w:t>
                  </w:r>
                </w:p>
                <w:p w14:paraId="42D7464C">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③通信保障及人力资源保障：保证全厂的通信畅通，重大事故应急救援组织机构成员要配备相应的通信工具，并且保证每天24小时畅通，保证事故应急人员和救援设备物资能及时到位；</w:t>
                  </w:r>
                </w:p>
                <w:p w14:paraId="57B0BA0F">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宣传培训演练：平时要加强防范事故的宣传工作，必要时邀请地方消防部门对企业应急组织机构领导小组成员和职工进行技术指导和培训，发放《环境应急手册》，每半年要安排人员进行一次事故应急演练。对工厂周围公众进行有针对性的科普宣传、教育、培训和发布有关信息，增强广大群众自我防护、自救互救意识。</w:t>
                  </w:r>
                </w:p>
              </w:tc>
            </w:tr>
          </w:tbl>
          <w:p w14:paraId="478EB9D9">
            <w:pPr>
              <w:adjustRightInd w:val="0"/>
              <w:snapToGrid w:val="0"/>
              <w:spacing w:line="360" w:lineRule="auto"/>
              <w:rPr>
                <w:rFonts w:hint="default" w:ascii="Times New Roman" w:hAnsi="Times New Roman" w:eastAsia="宋体" w:cs="Times New Roman"/>
                <w:b/>
                <w:color w:val="auto"/>
              </w:rPr>
            </w:pPr>
            <w:r>
              <w:rPr>
                <w:rFonts w:hint="default" w:ascii="Times New Roman" w:hAnsi="Times New Roman" w:eastAsia="宋体" w:cs="Times New Roman"/>
                <w:b/>
                <w:bCs/>
                <w:color w:val="auto"/>
                <w:spacing w:val="-10"/>
                <w:szCs w:val="21"/>
              </w:rPr>
              <w:t xml:space="preserve">4.8 </w:t>
            </w:r>
            <w:r>
              <w:rPr>
                <w:rFonts w:hint="default" w:ascii="Times New Roman" w:hAnsi="Times New Roman" w:eastAsia="宋体" w:cs="Times New Roman"/>
                <w:b/>
                <w:color w:val="auto"/>
              </w:rPr>
              <w:t>电磁辐射</w:t>
            </w:r>
          </w:p>
          <w:p w14:paraId="497C8463">
            <w:pPr>
              <w:adjustRightInd w:val="0"/>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本项目不涉及电磁辐射。</w:t>
            </w:r>
          </w:p>
          <w:p w14:paraId="48EF998A">
            <w:pPr>
              <w:adjustRightInd w:val="0"/>
              <w:snapToGrid w:val="0"/>
              <w:spacing w:line="360" w:lineRule="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4.9 环境管理与监测计划</w:t>
            </w:r>
          </w:p>
          <w:p w14:paraId="2AE2193A">
            <w:pPr>
              <w:snapToGrid w:val="0"/>
              <w:spacing w:line="360" w:lineRule="auto"/>
              <w:ind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（1）环境管理要求</w:t>
            </w:r>
          </w:p>
          <w:p w14:paraId="3EEE9498">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为贯彻执行有关环境保护法规，及时了解项目及其周围环境质量变化情况，掌握环境保护措施实施的效果，保证该区域良好的环境质量，建设单位进行相应的环境管理。</w:t>
            </w:r>
          </w:p>
          <w:p w14:paraId="61C772D8">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①贯彻落实国家相关法律法规及政策，以国家相关法律法规为依据，落实防治环境污染措施，及时向当地环境保护部门汇报各阶段的情况。</w:t>
            </w:r>
          </w:p>
          <w:p w14:paraId="3B8DAA53">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②项目的建设遵循“三同时”制度，即项目环保措施与主体工程同时设计、同时施工、同时投产使用。</w:t>
            </w:r>
          </w:p>
          <w:p w14:paraId="44CC1489">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③建设项目竣工后，建设单位或者其委托的技术机构应当依照国家有关法律法规、建设项竣工环境保护验收技术规范、建设项目环境影响报告表和审批决定等要求，如实查验、监测、记录建设项目环境保护设施的建设和调试情况，同时还应如实记载其他环境保护对策措施“三同时”落实情况，编制竣工环境保护验收报告。</w:t>
            </w:r>
          </w:p>
          <w:p w14:paraId="643C9233">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④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w:t>
            </w:r>
          </w:p>
          <w:p w14:paraId="02C1A4D8">
            <w:pPr>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⑤建设单位按照《环境保护信息公开办法》进行相关信息的公开。</w:t>
            </w:r>
          </w:p>
          <w:p w14:paraId="59DD9EAD">
            <w:pPr>
              <w:snapToGrid w:val="0"/>
              <w:spacing w:line="360" w:lineRule="auto"/>
              <w:ind w:firstLine="422" w:firstLineChars="200"/>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（2）排污口规范化管理</w:t>
            </w:r>
          </w:p>
          <w:p w14:paraId="261D3322">
            <w:pPr>
              <w:snapToGrid w:val="0"/>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项目排放口按照《固定污染源监测质量保证与质量控制技术规范（试行）》（HJ/T373－2007）和《固定污染源排气中颗粒物测定与气态污染物采样方法》（GB/T16157－1996）要求，对现场监测条件按规范要求搭设采样监测平台，废气治理措施治理前后预留监测孔，便于环境管理及监测部门的日常监督、检查及监测。</w:t>
            </w:r>
          </w:p>
          <w:p w14:paraId="493F797D">
            <w:pPr>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rPr>
              <w:t>（3）</w:t>
            </w:r>
            <w:r>
              <w:rPr>
                <w:rFonts w:hint="default" w:ascii="Times New Roman" w:hAnsi="Times New Roman" w:eastAsia="宋体" w:cs="Times New Roman"/>
                <w:b/>
                <w:bCs/>
                <w:color w:val="auto"/>
                <w:szCs w:val="21"/>
              </w:rPr>
              <w:t>排污许可制度衔接</w:t>
            </w:r>
          </w:p>
          <w:p w14:paraId="23249DF5">
            <w:pPr>
              <w:snapToGrid w:val="0"/>
              <w:spacing w:line="360" w:lineRule="auto"/>
              <w:ind w:firstLine="420"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根据《国民经济行业分类》（GB/T 4754-2017），本项目属于C2239其他纸制品制造。</w:t>
            </w:r>
            <w:r>
              <w:rPr>
                <w:rFonts w:hint="default" w:ascii="Times New Roman" w:hAnsi="Times New Roman" w:eastAsia="宋体" w:cs="Times New Roman"/>
                <w:color w:val="auto"/>
              </w:rPr>
              <w:t>根据《固定污染源排污许可分类管理名录》（2019版），项目属于《名录》第十七项“十七、造纸和纸制品业22中纸制品制造223中有工业废水或者废气排放的”，为简化管理企业</w:t>
            </w:r>
            <w:r>
              <w:rPr>
                <w:rFonts w:hint="default" w:ascii="Times New Roman" w:hAnsi="Times New Roman" w:eastAsia="宋体" w:cs="Times New Roman"/>
                <w:color w:val="auto"/>
                <w:szCs w:val="21"/>
              </w:rPr>
              <w:t>，待本项目取得环评批复后及时申请全国排污许可证。</w:t>
            </w:r>
          </w:p>
          <w:p w14:paraId="4ECC88E9">
            <w:pPr>
              <w:snapToGrid w:val="0"/>
              <w:spacing w:line="360" w:lineRule="auto"/>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（4）监测计划</w:t>
            </w:r>
          </w:p>
          <w:p w14:paraId="17AD225F">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环境监测计划是指项目在建设期、运行期对工程主要污染对象进行的环境样品、化验、数据处理以及编制报告，为环境管理部门强化环境管理，编制环保计划，制定污染防治对象，提供科学依据。</w:t>
            </w:r>
          </w:p>
          <w:p w14:paraId="680C542D">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根据工程特点，污染源及污染物排放情况，提出如下监测要求：</w:t>
            </w:r>
          </w:p>
          <w:p w14:paraId="3C062EFF">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①建设方应定期对产生的废气及厂界噪声进行监测。</w:t>
            </w:r>
          </w:p>
          <w:p w14:paraId="5445AEA6">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②定期向市生态环境局上报监测结果。</w:t>
            </w:r>
          </w:p>
          <w:p w14:paraId="1049F11F">
            <w:pPr>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③监测中发现超标排放或其他异常情况，及时报告企业管理部门查找原因、解决处理，预测特殊情况应随时监测。</w:t>
            </w:r>
          </w:p>
          <w:p w14:paraId="7FB3EB6E">
            <w:pPr>
              <w:pStyle w:val="35"/>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根据《排污单位自行监测技术指南 总则》（HJ819-2017）、《排污单位自行监测技术指南 造纸工业》（HJ821-2017）及结合《造纸行业排污许可证申请 与核发技术规范》及《排污许可证申请与核发技术规范 总则》（HJ 942－2018），监测机构主要对项目产生废气、噪声进行监测，可委托有相关资质的单位进行监测。监测类别、监测位置、监测污染物及监测频率详见下表。</w:t>
            </w:r>
          </w:p>
          <w:p w14:paraId="345BCB81">
            <w:pPr>
              <w:pStyle w:val="35"/>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项目运行期污染物环境监测计划如下表。</w:t>
            </w:r>
          </w:p>
          <w:p w14:paraId="409AE71C">
            <w:pPr>
              <w:pStyle w:val="35"/>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表4-20 本项目监测工作内容一览表</w:t>
            </w:r>
          </w:p>
          <w:tbl>
            <w:tblPr>
              <w:tblStyle w:val="26"/>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78"/>
              <w:gridCol w:w="3161"/>
              <w:gridCol w:w="2783"/>
            </w:tblGrid>
            <w:tr w14:paraId="548B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11A0EF7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278" w:type="dxa"/>
                  <w:vAlign w:val="center"/>
                </w:tcPr>
                <w:p w14:paraId="660EACD2">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3161" w:type="dxa"/>
                  <w:vAlign w:val="center"/>
                </w:tcPr>
                <w:p w14:paraId="5C08EE45">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监测内容</w:t>
                  </w:r>
                </w:p>
              </w:tc>
              <w:tc>
                <w:tcPr>
                  <w:tcW w:w="2783" w:type="dxa"/>
                  <w:vAlign w:val="center"/>
                </w:tcPr>
                <w:p w14:paraId="5DA9C22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监测频率</w:t>
                  </w:r>
                </w:p>
              </w:tc>
            </w:tr>
            <w:tr w14:paraId="410A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restart"/>
                  <w:vAlign w:val="center"/>
                </w:tcPr>
                <w:p w14:paraId="7B78713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278" w:type="dxa"/>
                  <w:vAlign w:val="center"/>
                </w:tcPr>
                <w:p w14:paraId="569CC7F0">
                  <w:pPr>
                    <w:pStyle w:val="32"/>
                    <w:snapToGrid w:val="0"/>
                    <w:spacing w:before="72" w:beforeLines="30" w:after="72" w:afterLines="3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DA00</w:t>
                  </w:r>
                  <w:r>
                    <w:rPr>
                      <w:rFonts w:hint="default" w:ascii="Times New Roman" w:hAnsi="Times New Roman" w:eastAsia="宋体" w:cs="Times New Roman"/>
                      <w:color w:val="auto"/>
                      <w:lang w:val="en-US" w:eastAsia="zh-CN"/>
                    </w:rPr>
                    <w:t>2</w:t>
                  </w:r>
                </w:p>
              </w:tc>
              <w:tc>
                <w:tcPr>
                  <w:tcW w:w="3161" w:type="dxa"/>
                  <w:vAlign w:val="center"/>
                </w:tcPr>
                <w:p w14:paraId="57AF246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颗粒物、氮氧化物、二氧化硫、</w:t>
                  </w:r>
                  <w:r>
                    <w:rPr>
                      <w:rFonts w:hint="default" w:ascii="Times New Roman" w:hAnsi="Times New Roman" w:eastAsia="宋体" w:cs="Times New Roman"/>
                      <w:color w:val="auto"/>
                      <w:sz w:val="21"/>
                      <w:szCs w:val="21"/>
                      <w:lang w:val="en-US" w:eastAsia="zh-CN"/>
                    </w:rPr>
                    <w:t>烟气黑度</w:t>
                  </w:r>
                </w:p>
              </w:tc>
              <w:tc>
                <w:tcPr>
                  <w:tcW w:w="2783" w:type="dxa"/>
                  <w:vAlign w:val="center"/>
                </w:tcPr>
                <w:p w14:paraId="7514FBBA">
                  <w:pPr>
                    <w:pStyle w:val="32"/>
                    <w:snapToGrid w:val="0"/>
                    <w:spacing w:before="72" w:beforeLines="30" w:after="72" w:afterLines="3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1次/</w:t>
                  </w:r>
                  <w:r>
                    <w:rPr>
                      <w:rFonts w:hint="default" w:ascii="Times New Roman" w:hAnsi="Times New Roman" w:eastAsia="宋体" w:cs="Times New Roman"/>
                      <w:color w:val="auto"/>
                      <w:lang w:val="en-US" w:eastAsia="zh-CN"/>
                    </w:rPr>
                    <w:t>月</w:t>
                  </w:r>
                </w:p>
              </w:tc>
            </w:tr>
            <w:tr w14:paraId="1F52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Merge w:val="continue"/>
                  <w:vAlign w:val="center"/>
                </w:tcPr>
                <w:p w14:paraId="5B4B1917">
                  <w:pPr>
                    <w:pStyle w:val="32"/>
                    <w:snapToGrid w:val="0"/>
                    <w:spacing w:before="72" w:beforeLines="30" w:after="72" w:afterLines="30"/>
                    <w:rPr>
                      <w:rFonts w:hint="default" w:ascii="Times New Roman" w:hAnsi="Times New Roman" w:eastAsia="宋体" w:cs="Times New Roman"/>
                      <w:color w:val="auto"/>
                    </w:rPr>
                  </w:pPr>
                </w:p>
              </w:tc>
              <w:tc>
                <w:tcPr>
                  <w:tcW w:w="1278" w:type="dxa"/>
                  <w:vAlign w:val="center"/>
                </w:tcPr>
                <w:p w14:paraId="6B0E787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厂界无组织</w:t>
                  </w:r>
                </w:p>
              </w:tc>
              <w:tc>
                <w:tcPr>
                  <w:tcW w:w="3161" w:type="dxa"/>
                  <w:vAlign w:val="center"/>
                </w:tcPr>
                <w:p w14:paraId="2531849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颗粒物</w:t>
                  </w:r>
                </w:p>
              </w:tc>
              <w:tc>
                <w:tcPr>
                  <w:tcW w:w="2783" w:type="dxa"/>
                  <w:vAlign w:val="center"/>
                </w:tcPr>
                <w:p w14:paraId="77B96B33">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r>
            <w:tr w14:paraId="56ED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0D948ED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1278" w:type="dxa"/>
                  <w:vAlign w:val="center"/>
                </w:tcPr>
                <w:p w14:paraId="1739A50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厂界外</w:t>
                  </w:r>
                </w:p>
              </w:tc>
              <w:tc>
                <w:tcPr>
                  <w:tcW w:w="3161" w:type="dxa"/>
                  <w:vAlign w:val="center"/>
                </w:tcPr>
                <w:p w14:paraId="197DCBBA">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kern w:val="0"/>
                      <w:lang w:bidi="ar"/>
                    </w:rPr>
                    <w:t>厂界噪声</w:t>
                  </w:r>
                </w:p>
              </w:tc>
              <w:tc>
                <w:tcPr>
                  <w:tcW w:w="2783" w:type="dxa"/>
                  <w:vAlign w:val="center"/>
                </w:tcPr>
                <w:p w14:paraId="09FD568C">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1次/季度</w:t>
                  </w:r>
                </w:p>
              </w:tc>
            </w:tr>
            <w:tr w14:paraId="0152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78" w:type="dxa"/>
                  <w:vAlign w:val="center"/>
                </w:tcPr>
                <w:p w14:paraId="7EC1A5BB">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1278" w:type="dxa"/>
                  <w:vAlign w:val="center"/>
                </w:tcPr>
                <w:p w14:paraId="66000200">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40m³/d污水处理站出水口</w:t>
                  </w:r>
                </w:p>
              </w:tc>
              <w:tc>
                <w:tcPr>
                  <w:tcW w:w="3161" w:type="dxa"/>
                  <w:vAlign w:val="center"/>
                </w:tcPr>
                <w:p w14:paraId="295998A3">
                  <w:pPr>
                    <w:pStyle w:val="32"/>
                    <w:snapToGrid w:val="0"/>
                    <w:spacing w:before="72" w:beforeLines="30" w:after="72" w:afterLines="30"/>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COD、BOD</w:t>
                  </w:r>
                  <w:r>
                    <w:rPr>
                      <w:rFonts w:hint="default" w:ascii="Times New Roman" w:hAnsi="Times New Roman" w:eastAsia="宋体" w:cs="Times New Roman"/>
                      <w:color w:val="auto"/>
                      <w:kern w:val="0"/>
                      <w:vertAlign w:val="subscript"/>
                      <w:lang w:bidi="ar"/>
                    </w:rPr>
                    <w:t>5</w:t>
                  </w:r>
                  <w:r>
                    <w:rPr>
                      <w:rFonts w:hint="default" w:ascii="Times New Roman" w:hAnsi="Times New Roman" w:eastAsia="宋体" w:cs="Times New Roman"/>
                      <w:color w:val="auto"/>
                      <w:kern w:val="0"/>
                      <w:lang w:bidi="ar"/>
                    </w:rPr>
                    <w:t>、NH</w:t>
                  </w:r>
                  <w:r>
                    <w:rPr>
                      <w:rFonts w:hint="default" w:ascii="Times New Roman" w:hAnsi="Times New Roman" w:eastAsia="宋体" w:cs="Times New Roman"/>
                      <w:color w:val="auto"/>
                      <w:kern w:val="0"/>
                      <w:vertAlign w:val="subscript"/>
                      <w:lang w:bidi="ar"/>
                    </w:rPr>
                    <w:t>3</w:t>
                  </w:r>
                  <w:r>
                    <w:rPr>
                      <w:rFonts w:hint="default" w:ascii="Times New Roman" w:hAnsi="Times New Roman" w:eastAsia="宋体" w:cs="Times New Roman"/>
                      <w:color w:val="auto"/>
                      <w:kern w:val="0"/>
                      <w:lang w:bidi="ar"/>
                    </w:rPr>
                    <w:t>-N、TP、</w:t>
                  </w:r>
                  <w:r>
                    <w:rPr>
                      <w:rFonts w:hint="default" w:ascii="Times New Roman" w:hAnsi="Times New Roman" w:eastAsia="宋体" w:cs="Times New Roman"/>
                      <w:color w:val="auto"/>
                    </w:rPr>
                    <w:t>动植物油、SS等</w:t>
                  </w:r>
                </w:p>
              </w:tc>
              <w:tc>
                <w:tcPr>
                  <w:tcW w:w="2783" w:type="dxa"/>
                  <w:vAlign w:val="center"/>
                </w:tcPr>
                <w:p w14:paraId="6D41687F">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1次/年</w:t>
                  </w:r>
                </w:p>
              </w:tc>
            </w:tr>
          </w:tbl>
          <w:p w14:paraId="61B623D9">
            <w:pPr>
              <w:snapToGrid w:val="0"/>
              <w:spacing w:line="360" w:lineRule="auto"/>
              <w:ind w:firstLine="422" w:firstLineChars="200"/>
              <w:jc w:val="left"/>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（5）建设项目环境保护竣工验收</w:t>
            </w:r>
          </w:p>
          <w:p w14:paraId="238A39B7">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国务院关于修改〈建设项目环境保护管理条例〉的决定》（国令第682号，2017年10月1日施行），第十七条规定：编制环境影响报告书、环境影响报告表的建设项目竣工后，建设单位应当按照国务院环境保护行政主管部门规定的标准和程序，对配套建设的环境保护设施进行验收，编制验收报告。</w:t>
            </w:r>
          </w:p>
          <w:p w14:paraId="4F68AFD2">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根据《建设项目竣工环境保护验收暂行办法》（国环规环评〔2017〕4号，2017年11月20日）、《建设项目竣工环境保护验收技术指南 污染影响类》（生态环境部 公告2018年第9号），验收工作主要包括验收监测工作和后续工作，其中验收监测工作可分为启动、自查、编制验收监测方案、实施监测与检查、编制验收监测报告五个阶段。</w:t>
            </w:r>
          </w:p>
          <w:p w14:paraId="31BC6C1D">
            <w:pPr>
              <w:adjustRightInd w:val="0"/>
              <w:snapToGrid w:val="0"/>
              <w:spacing w:line="360" w:lineRule="auto"/>
              <w:ind w:firstLine="420" w:firstLineChars="200"/>
              <w:rPr>
                <w:rFonts w:hint="default" w:ascii="Times New Roman" w:hAnsi="Times New Roman" w:eastAsia="宋体" w:cs="Times New Roman"/>
                <w:color w:val="auto"/>
                <w:szCs w:val="21"/>
              </w:rPr>
            </w:pPr>
          </w:p>
          <w:p w14:paraId="4F0E04BB">
            <w:pPr>
              <w:adjustRightInd w:val="0"/>
              <w:snapToGrid w:val="0"/>
              <w:spacing w:line="360" w:lineRule="auto"/>
              <w:ind w:firstLine="420" w:firstLineChars="200"/>
              <w:rPr>
                <w:rFonts w:hint="default" w:ascii="Times New Roman" w:hAnsi="Times New Roman" w:eastAsia="宋体" w:cs="Times New Roman"/>
                <w:color w:val="auto"/>
                <w:szCs w:val="21"/>
              </w:rPr>
            </w:pPr>
          </w:p>
          <w:p w14:paraId="08D4E66B">
            <w:pPr>
              <w:adjustRightInd w:val="0"/>
              <w:snapToGrid w:val="0"/>
              <w:spacing w:line="360" w:lineRule="auto"/>
              <w:rPr>
                <w:rFonts w:hint="default" w:ascii="Times New Roman" w:hAnsi="Times New Roman" w:eastAsia="宋体" w:cs="Times New Roman"/>
                <w:b/>
                <w:color w:val="auto"/>
                <w:kern w:val="0"/>
                <w:sz w:val="28"/>
                <w:szCs w:val="28"/>
                <w:lang w:val="en-US" w:eastAsia="zh-CN"/>
              </w:rPr>
            </w:pPr>
          </w:p>
          <w:p w14:paraId="1D1D50DB">
            <w:pPr>
              <w:pStyle w:val="24"/>
              <w:rPr>
                <w:rFonts w:hint="default" w:ascii="Times New Roman" w:hAnsi="Times New Roman" w:eastAsia="宋体" w:cs="Times New Roman"/>
                <w:b/>
                <w:color w:val="auto"/>
                <w:kern w:val="0"/>
                <w:sz w:val="28"/>
                <w:szCs w:val="28"/>
                <w:lang w:val="en-US" w:eastAsia="zh-CN"/>
              </w:rPr>
            </w:pPr>
          </w:p>
          <w:p w14:paraId="3D53B309">
            <w:pPr>
              <w:pStyle w:val="24"/>
              <w:rPr>
                <w:rFonts w:hint="default" w:ascii="Times New Roman" w:hAnsi="Times New Roman" w:eastAsia="宋体" w:cs="Times New Roman"/>
                <w:b/>
                <w:color w:val="auto"/>
                <w:kern w:val="0"/>
                <w:sz w:val="28"/>
                <w:szCs w:val="28"/>
                <w:lang w:val="en-US" w:eastAsia="zh-CN"/>
              </w:rPr>
            </w:pPr>
          </w:p>
          <w:p w14:paraId="0F39FA4C">
            <w:pPr>
              <w:pStyle w:val="24"/>
              <w:rPr>
                <w:rFonts w:hint="default" w:ascii="Times New Roman" w:hAnsi="Times New Roman" w:eastAsia="宋体" w:cs="Times New Roman"/>
                <w:b/>
                <w:color w:val="auto"/>
                <w:kern w:val="0"/>
                <w:sz w:val="28"/>
                <w:szCs w:val="28"/>
                <w:lang w:val="en-US" w:eastAsia="zh-CN"/>
              </w:rPr>
            </w:pPr>
          </w:p>
          <w:p w14:paraId="0ABFE797">
            <w:pPr>
              <w:pStyle w:val="24"/>
              <w:rPr>
                <w:rFonts w:hint="default" w:ascii="Times New Roman" w:hAnsi="Times New Roman" w:eastAsia="宋体" w:cs="Times New Roman"/>
                <w:b/>
                <w:color w:val="auto"/>
                <w:kern w:val="0"/>
                <w:sz w:val="28"/>
                <w:szCs w:val="28"/>
                <w:lang w:val="en-US" w:eastAsia="zh-CN"/>
              </w:rPr>
            </w:pPr>
          </w:p>
          <w:p w14:paraId="5FA06C89">
            <w:pPr>
              <w:pStyle w:val="24"/>
              <w:rPr>
                <w:rFonts w:hint="default" w:ascii="Times New Roman" w:hAnsi="Times New Roman" w:eastAsia="宋体" w:cs="Times New Roman"/>
                <w:b/>
                <w:color w:val="auto"/>
                <w:kern w:val="0"/>
                <w:sz w:val="28"/>
                <w:szCs w:val="28"/>
                <w:lang w:val="en-US" w:eastAsia="zh-CN"/>
              </w:rPr>
            </w:pPr>
          </w:p>
          <w:p w14:paraId="3754DFCA">
            <w:pPr>
              <w:pStyle w:val="24"/>
              <w:rPr>
                <w:rFonts w:hint="default" w:ascii="Times New Roman" w:hAnsi="Times New Roman" w:eastAsia="宋体" w:cs="Times New Roman"/>
                <w:b/>
                <w:color w:val="auto"/>
                <w:kern w:val="0"/>
                <w:sz w:val="28"/>
                <w:szCs w:val="28"/>
                <w:lang w:val="en-US" w:eastAsia="zh-CN"/>
              </w:rPr>
            </w:pPr>
          </w:p>
          <w:p w14:paraId="1F2157C6">
            <w:pPr>
              <w:pStyle w:val="24"/>
              <w:rPr>
                <w:rFonts w:hint="default" w:ascii="Times New Roman" w:hAnsi="Times New Roman" w:eastAsia="宋体" w:cs="Times New Roman"/>
                <w:b/>
                <w:color w:val="auto"/>
                <w:kern w:val="0"/>
                <w:sz w:val="28"/>
                <w:szCs w:val="28"/>
                <w:lang w:val="en-US" w:eastAsia="zh-CN"/>
              </w:rPr>
            </w:pPr>
          </w:p>
          <w:p w14:paraId="408F1002">
            <w:pPr>
              <w:pStyle w:val="24"/>
              <w:rPr>
                <w:rFonts w:hint="default" w:ascii="Times New Roman" w:hAnsi="Times New Roman" w:eastAsia="宋体" w:cs="Times New Roman"/>
                <w:b/>
                <w:color w:val="auto"/>
                <w:kern w:val="0"/>
                <w:sz w:val="28"/>
                <w:szCs w:val="28"/>
                <w:lang w:val="en-US" w:eastAsia="zh-CN"/>
              </w:rPr>
            </w:pPr>
          </w:p>
          <w:p w14:paraId="0F49D579">
            <w:pPr>
              <w:pStyle w:val="24"/>
              <w:rPr>
                <w:rFonts w:hint="default" w:ascii="Times New Roman" w:hAnsi="Times New Roman" w:eastAsia="宋体" w:cs="Times New Roman"/>
                <w:b/>
                <w:color w:val="auto"/>
                <w:kern w:val="0"/>
                <w:sz w:val="28"/>
                <w:szCs w:val="28"/>
                <w:lang w:val="en-US" w:eastAsia="zh-CN"/>
              </w:rPr>
            </w:pPr>
          </w:p>
          <w:p w14:paraId="125899E0">
            <w:pPr>
              <w:pStyle w:val="24"/>
              <w:rPr>
                <w:rFonts w:hint="default" w:ascii="Times New Roman" w:hAnsi="Times New Roman" w:eastAsia="宋体" w:cs="Times New Roman"/>
                <w:b/>
                <w:color w:val="auto"/>
                <w:kern w:val="0"/>
                <w:sz w:val="28"/>
                <w:szCs w:val="28"/>
                <w:lang w:val="en-US" w:eastAsia="zh-CN"/>
              </w:rPr>
            </w:pPr>
          </w:p>
          <w:p w14:paraId="182E3BC2">
            <w:pPr>
              <w:pStyle w:val="24"/>
              <w:rPr>
                <w:rFonts w:hint="default" w:ascii="Times New Roman" w:hAnsi="Times New Roman" w:eastAsia="宋体" w:cs="Times New Roman"/>
                <w:b/>
                <w:color w:val="auto"/>
                <w:kern w:val="0"/>
                <w:sz w:val="28"/>
                <w:szCs w:val="28"/>
                <w:lang w:val="en-US" w:eastAsia="zh-CN"/>
              </w:rPr>
            </w:pPr>
          </w:p>
          <w:p w14:paraId="5986C81C">
            <w:pPr>
              <w:pStyle w:val="24"/>
              <w:rPr>
                <w:rFonts w:hint="default" w:ascii="Times New Roman" w:hAnsi="Times New Roman" w:eastAsia="宋体" w:cs="Times New Roman"/>
                <w:b/>
                <w:color w:val="auto"/>
                <w:kern w:val="0"/>
                <w:sz w:val="28"/>
                <w:szCs w:val="28"/>
                <w:lang w:val="en-US" w:eastAsia="zh-CN"/>
              </w:rPr>
            </w:pPr>
          </w:p>
          <w:p w14:paraId="59E1D7DA">
            <w:pPr>
              <w:pStyle w:val="24"/>
              <w:rPr>
                <w:rFonts w:hint="default" w:ascii="Times New Roman" w:hAnsi="Times New Roman" w:eastAsia="宋体" w:cs="Times New Roman"/>
                <w:b/>
                <w:color w:val="auto"/>
                <w:kern w:val="0"/>
                <w:sz w:val="28"/>
                <w:szCs w:val="28"/>
                <w:lang w:val="en-US" w:eastAsia="zh-CN"/>
              </w:rPr>
            </w:pPr>
          </w:p>
          <w:p w14:paraId="277EE36F">
            <w:pPr>
              <w:pStyle w:val="24"/>
              <w:rPr>
                <w:rFonts w:hint="default" w:ascii="Times New Roman" w:hAnsi="Times New Roman" w:eastAsia="宋体" w:cs="Times New Roman"/>
                <w:b/>
                <w:color w:val="auto"/>
                <w:kern w:val="0"/>
                <w:sz w:val="28"/>
                <w:szCs w:val="28"/>
                <w:lang w:val="en-US" w:eastAsia="zh-CN"/>
              </w:rPr>
            </w:pPr>
          </w:p>
          <w:p w14:paraId="53C6EA09">
            <w:pPr>
              <w:pStyle w:val="24"/>
              <w:rPr>
                <w:rFonts w:hint="default" w:ascii="Times New Roman" w:hAnsi="Times New Roman" w:eastAsia="宋体" w:cs="Times New Roman"/>
                <w:b/>
                <w:color w:val="auto"/>
                <w:kern w:val="0"/>
                <w:sz w:val="28"/>
                <w:szCs w:val="28"/>
                <w:lang w:val="en-US" w:eastAsia="zh-CN"/>
              </w:rPr>
            </w:pPr>
          </w:p>
          <w:p w14:paraId="4C678EED">
            <w:pPr>
              <w:pStyle w:val="24"/>
              <w:rPr>
                <w:rFonts w:hint="default" w:ascii="Times New Roman" w:hAnsi="Times New Roman" w:eastAsia="宋体" w:cs="Times New Roman"/>
                <w:b/>
                <w:color w:val="auto"/>
                <w:kern w:val="0"/>
                <w:sz w:val="28"/>
                <w:szCs w:val="28"/>
                <w:lang w:val="en-US" w:eastAsia="zh-CN"/>
              </w:rPr>
            </w:pPr>
          </w:p>
          <w:p w14:paraId="22FE965C">
            <w:pPr>
              <w:pStyle w:val="24"/>
              <w:rPr>
                <w:rFonts w:hint="default" w:ascii="Times New Roman" w:hAnsi="Times New Roman" w:eastAsia="宋体" w:cs="Times New Roman"/>
                <w:b/>
                <w:color w:val="auto"/>
                <w:kern w:val="0"/>
                <w:sz w:val="28"/>
                <w:szCs w:val="28"/>
                <w:lang w:val="en-US" w:eastAsia="zh-CN"/>
              </w:rPr>
            </w:pPr>
          </w:p>
        </w:tc>
      </w:tr>
    </w:tbl>
    <w:p w14:paraId="534E8D9B">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cols w:space="720" w:num="1"/>
          <w:docGrid w:linePitch="312" w:charSpace="0"/>
        </w:sectPr>
      </w:pPr>
    </w:p>
    <w:p w14:paraId="4B18CBA1">
      <w:pPr>
        <w:pStyle w:val="21"/>
        <w:snapToGrid w:val="0"/>
        <w:spacing w:before="72" w:beforeLines="30" w:beforeAutospacing="0" w:after="72" w:afterLines="30" w:afterAutospacing="0"/>
        <w:jc w:val="center"/>
        <w:outlineLvl w:val="0"/>
        <w:rPr>
          <w:rFonts w:hint="default" w:ascii="Times New Roman" w:hAnsi="Times New Roman" w:eastAsia="宋体" w:cs="Times New Roman"/>
          <w:snapToGrid w:val="0"/>
          <w:color w:val="auto"/>
          <w:sz w:val="30"/>
          <w:szCs w:val="30"/>
        </w:rPr>
      </w:pPr>
      <w:bookmarkStart w:id="28" w:name="_Toc30950"/>
      <w:bookmarkStart w:id="29" w:name="_Toc8000"/>
      <w:bookmarkStart w:id="30" w:name="_Toc28234"/>
      <w:bookmarkStart w:id="31" w:name="_Toc21787"/>
      <w:bookmarkStart w:id="32" w:name="_Toc4845"/>
      <w:r>
        <w:rPr>
          <w:rFonts w:hint="default" w:ascii="Times New Roman" w:hAnsi="Times New Roman" w:eastAsia="宋体" w:cs="Times New Roman"/>
          <w:snapToGrid w:val="0"/>
          <w:color w:val="auto"/>
          <w:sz w:val="30"/>
          <w:szCs w:val="30"/>
        </w:rPr>
        <w:t>五、</w:t>
      </w:r>
      <w:bookmarkStart w:id="33" w:name="_Hlk54167917"/>
      <w:r>
        <w:rPr>
          <w:rFonts w:hint="default" w:ascii="Times New Roman" w:hAnsi="Times New Roman" w:eastAsia="宋体" w:cs="Times New Roman"/>
          <w:snapToGrid w:val="0"/>
          <w:color w:val="auto"/>
          <w:sz w:val="30"/>
          <w:szCs w:val="30"/>
        </w:rPr>
        <w:t>环境保护措施监督检查清单</w:t>
      </w:r>
      <w:bookmarkEnd w:id="28"/>
      <w:bookmarkEnd w:id="29"/>
      <w:bookmarkEnd w:id="30"/>
      <w:bookmarkEnd w:id="31"/>
      <w:bookmarkEnd w:id="32"/>
      <w:bookmarkEnd w:id="33"/>
    </w:p>
    <w:tbl>
      <w:tblPr>
        <w:tblStyle w:val="25"/>
        <w:tblW w:w="9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607"/>
        <w:gridCol w:w="1267"/>
        <w:gridCol w:w="2495"/>
        <w:gridCol w:w="3138"/>
      </w:tblGrid>
      <w:tr w14:paraId="45CF6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tcBorders>
              <w:tl2br w:val="single" w:color="auto" w:sz="4" w:space="0"/>
            </w:tcBorders>
          </w:tcPr>
          <w:p w14:paraId="1148C2C5">
            <w:pPr>
              <w:adjustRightInd w:val="0"/>
              <w:snapToGrid w:val="0"/>
              <w:spacing w:before="72" w:beforeLines="30" w:after="72" w:afterLines="30"/>
              <w:jc w:val="righ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内容</w:t>
            </w:r>
          </w:p>
          <w:p w14:paraId="2F64CCE5">
            <w:pPr>
              <w:adjustRightInd w:val="0"/>
              <w:snapToGrid w:val="0"/>
              <w:spacing w:before="72" w:beforeLines="30" w:after="72" w:afterLines="3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要素</w:t>
            </w:r>
          </w:p>
        </w:tc>
        <w:tc>
          <w:tcPr>
            <w:tcW w:w="1607" w:type="dxa"/>
            <w:vAlign w:val="center"/>
          </w:tcPr>
          <w:p w14:paraId="4915320D">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排放口(编号、</w:t>
            </w:r>
          </w:p>
          <w:p w14:paraId="4D2DF3CA">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名称)/污染源</w:t>
            </w:r>
          </w:p>
        </w:tc>
        <w:tc>
          <w:tcPr>
            <w:tcW w:w="1267" w:type="dxa"/>
            <w:vAlign w:val="center"/>
          </w:tcPr>
          <w:p w14:paraId="76EE68C4">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污染物项目</w:t>
            </w:r>
          </w:p>
        </w:tc>
        <w:tc>
          <w:tcPr>
            <w:tcW w:w="2495" w:type="dxa"/>
            <w:vAlign w:val="center"/>
          </w:tcPr>
          <w:p w14:paraId="333625FC">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环境保护措施</w:t>
            </w:r>
          </w:p>
        </w:tc>
        <w:tc>
          <w:tcPr>
            <w:tcW w:w="3138" w:type="dxa"/>
            <w:vAlign w:val="center"/>
          </w:tcPr>
          <w:p w14:paraId="3F5BF4E9">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执行标准</w:t>
            </w:r>
          </w:p>
        </w:tc>
      </w:tr>
      <w:tr w14:paraId="509C3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95" w:type="dxa"/>
            <w:vMerge w:val="restart"/>
            <w:vAlign w:val="center"/>
          </w:tcPr>
          <w:p w14:paraId="41134CC7">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1607" w:type="dxa"/>
            <w:vAlign w:val="center"/>
          </w:tcPr>
          <w:p w14:paraId="1C755698">
            <w:pPr>
              <w:pStyle w:val="32"/>
              <w:snapToGrid w:val="0"/>
              <w:spacing w:before="72" w:beforeLines="30" w:after="72" w:afterLines="3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4t/h生物质锅炉</w:t>
            </w:r>
            <w:r>
              <w:rPr>
                <w:rFonts w:hint="default" w:ascii="Times New Roman" w:hAnsi="Times New Roman" w:eastAsia="宋体" w:cs="Times New Roman"/>
                <w:color w:val="auto"/>
              </w:rPr>
              <w:t>废气排放口DA00</w:t>
            </w:r>
            <w:r>
              <w:rPr>
                <w:rFonts w:hint="default" w:ascii="Times New Roman" w:hAnsi="Times New Roman" w:eastAsia="宋体" w:cs="Times New Roman"/>
                <w:color w:val="auto"/>
                <w:lang w:val="en-US" w:eastAsia="zh-CN"/>
              </w:rPr>
              <w:t>2</w:t>
            </w:r>
          </w:p>
        </w:tc>
        <w:tc>
          <w:tcPr>
            <w:tcW w:w="1267" w:type="dxa"/>
            <w:vAlign w:val="center"/>
          </w:tcPr>
          <w:p w14:paraId="5C87D910">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颗粒物、氮氧化物、二氧化硫、</w:t>
            </w:r>
            <w:r>
              <w:rPr>
                <w:rFonts w:hint="default" w:ascii="Times New Roman" w:hAnsi="Times New Roman" w:eastAsia="宋体" w:cs="Times New Roman"/>
                <w:color w:val="auto"/>
                <w:sz w:val="21"/>
                <w:szCs w:val="21"/>
                <w:lang w:val="en-US" w:eastAsia="zh-CN"/>
              </w:rPr>
              <w:t>烟气黑度</w:t>
            </w:r>
          </w:p>
        </w:tc>
        <w:tc>
          <w:tcPr>
            <w:tcW w:w="2495" w:type="dxa"/>
            <w:vAlign w:val="center"/>
          </w:tcPr>
          <w:p w14:paraId="629F1E77">
            <w:pPr>
              <w:pStyle w:val="32"/>
              <w:keepNext w:val="0"/>
              <w:keepLines w:val="0"/>
              <w:pageBreakBefore w:val="0"/>
              <w:kinsoku/>
              <w:wordWrap/>
              <w:overflowPunct/>
              <w:topLinePunct w:val="0"/>
              <w:autoSpaceDE/>
              <w:autoSpaceDN/>
              <w:bidi w:val="0"/>
              <w:snapToGrid w:val="0"/>
              <w:spacing w:before="95" w:beforeLines="30" w:after="95" w:afterLines="3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废气经多管除尘+布袋除尘</w:t>
            </w:r>
            <w:r>
              <w:rPr>
                <w:rFonts w:hint="default" w:ascii="Times New Roman" w:hAnsi="Times New Roman" w:eastAsia="宋体" w:cs="Times New Roman"/>
                <w:color w:val="auto"/>
              </w:rPr>
              <w:t>装置</w:t>
            </w:r>
            <w:r>
              <w:rPr>
                <w:rFonts w:hint="default" w:ascii="Times New Roman" w:hAnsi="Times New Roman" w:eastAsia="宋体" w:cs="Times New Roman"/>
                <w:b w:val="0"/>
                <w:bCs w:val="0"/>
                <w:color w:val="auto"/>
                <w:sz w:val="21"/>
                <w:szCs w:val="21"/>
                <w:lang w:val="en-US" w:eastAsia="zh-CN"/>
              </w:rPr>
              <w:t>（TA002）</w:t>
            </w:r>
            <w:r>
              <w:rPr>
                <w:rFonts w:hint="default" w:ascii="Times New Roman" w:hAnsi="Times New Roman" w:eastAsia="宋体" w:cs="Times New Roman"/>
                <w:color w:val="auto"/>
              </w:rPr>
              <w:t>处理后，由1根</w:t>
            </w:r>
            <w:r>
              <w:rPr>
                <w:rFonts w:hint="default" w:ascii="Times New Roman" w:hAnsi="Times New Roman" w:eastAsia="宋体" w:cs="Times New Roman"/>
                <w:color w:val="auto"/>
                <w:lang w:val="en-US" w:eastAsia="zh-CN"/>
              </w:rPr>
              <w:t>35m高</w:t>
            </w:r>
            <w:r>
              <w:rPr>
                <w:rFonts w:hint="default" w:ascii="Times New Roman" w:hAnsi="Times New Roman" w:eastAsia="宋体" w:cs="Times New Roman"/>
                <w:color w:val="auto"/>
              </w:rPr>
              <w:t>排气筒（DA00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）排放</w:t>
            </w:r>
          </w:p>
        </w:tc>
        <w:tc>
          <w:tcPr>
            <w:tcW w:w="3138" w:type="dxa"/>
            <w:vAlign w:val="center"/>
          </w:tcPr>
          <w:p w14:paraId="0D60AB67">
            <w:pPr>
              <w:pStyle w:val="74"/>
              <w:keepNext w:val="0"/>
              <w:keepLines w:val="0"/>
              <w:pageBreakBefore w:val="0"/>
              <w:kinsoku/>
              <w:wordWrap/>
              <w:overflowPunct/>
              <w:topLinePunct w:val="0"/>
              <w:autoSpaceDE/>
              <w:autoSpaceDN/>
              <w:bidi w:val="0"/>
              <w:snapToGrid w:val="0"/>
              <w:spacing w:before="95" w:beforeLines="30" w:after="95" w:afterLine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rPr>
              <w:t>《锅炉大气污染物排放标准》（GB13271-2014）表2（2014年7月1日起新建锅炉）标准</w:t>
            </w:r>
          </w:p>
        </w:tc>
      </w:tr>
      <w:tr w14:paraId="41778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95" w:type="dxa"/>
            <w:vMerge w:val="continue"/>
            <w:vAlign w:val="center"/>
          </w:tcPr>
          <w:p w14:paraId="32F53480">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1607" w:type="dxa"/>
            <w:vAlign w:val="center"/>
          </w:tcPr>
          <w:p w14:paraId="03EBD424">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厂界无组织</w:t>
            </w:r>
          </w:p>
        </w:tc>
        <w:tc>
          <w:tcPr>
            <w:tcW w:w="1267" w:type="dxa"/>
            <w:vAlign w:val="center"/>
          </w:tcPr>
          <w:p w14:paraId="0936210E">
            <w:pPr>
              <w:pStyle w:val="32"/>
              <w:snapToGrid w:val="0"/>
              <w:spacing w:before="72" w:beforeLines="30" w:after="72" w:afterLines="3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2495" w:type="dxa"/>
            <w:vAlign w:val="center"/>
          </w:tcPr>
          <w:p w14:paraId="7C9EBD7F">
            <w:pPr>
              <w:pStyle w:val="32"/>
              <w:snapToGrid w:val="0"/>
              <w:spacing w:before="72" w:beforeLines="30" w:after="72" w:afterLines="3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燃料及炉渣堆场三面围挡设有顶棚。</w:t>
            </w:r>
          </w:p>
        </w:tc>
        <w:tc>
          <w:tcPr>
            <w:tcW w:w="3138" w:type="dxa"/>
            <w:vAlign w:val="center"/>
          </w:tcPr>
          <w:p w14:paraId="70D89FCE">
            <w:pPr>
              <w:pStyle w:val="3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rPr>
              <w:t>颗粒物排放执行《大气污染物综合排放标准》（GB16297-1996）表2标准限值。</w:t>
            </w:r>
          </w:p>
        </w:tc>
      </w:tr>
      <w:tr w14:paraId="2A5DE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95" w:type="dxa"/>
            <w:vAlign w:val="center"/>
          </w:tcPr>
          <w:p w14:paraId="21741AB7">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1607" w:type="dxa"/>
            <w:vAlign w:val="center"/>
          </w:tcPr>
          <w:p w14:paraId="7E31A49C">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生活污水、车间清洗废水</w:t>
            </w:r>
          </w:p>
        </w:tc>
        <w:tc>
          <w:tcPr>
            <w:tcW w:w="1267" w:type="dxa"/>
            <w:vAlign w:val="center"/>
          </w:tcPr>
          <w:p w14:paraId="5184F579">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COD、BOD</w:t>
            </w:r>
            <w:r>
              <w:rPr>
                <w:rFonts w:hint="default" w:ascii="Times New Roman" w:hAnsi="Times New Roman" w:eastAsia="宋体" w:cs="Times New Roman"/>
                <w:color w:val="auto"/>
                <w:kern w:val="0"/>
                <w:szCs w:val="21"/>
                <w:vertAlign w:val="subscript"/>
                <w:lang w:bidi="ar"/>
              </w:rPr>
              <w:t>5</w:t>
            </w:r>
            <w:r>
              <w:rPr>
                <w:rFonts w:hint="default" w:ascii="Times New Roman" w:hAnsi="Times New Roman" w:eastAsia="宋体" w:cs="Times New Roman"/>
                <w:color w:val="auto"/>
                <w:kern w:val="0"/>
                <w:szCs w:val="21"/>
                <w:lang w:bidi="ar"/>
              </w:rPr>
              <w:t>、NH</w:t>
            </w:r>
            <w:r>
              <w:rPr>
                <w:rFonts w:hint="default" w:ascii="Times New Roman" w:hAnsi="Times New Roman" w:eastAsia="宋体" w:cs="Times New Roman"/>
                <w:color w:val="auto"/>
                <w:kern w:val="0"/>
                <w:szCs w:val="21"/>
                <w:vertAlign w:val="subscript"/>
                <w:lang w:bidi="ar"/>
              </w:rPr>
              <w:t>3</w:t>
            </w:r>
            <w:r>
              <w:rPr>
                <w:rFonts w:hint="default" w:ascii="Times New Roman" w:hAnsi="Times New Roman" w:eastAsia="宋体" w:cs="Times New Roman"/>
                <w:color w:val="auto"/>
                <w:kern w:val="0"/>
                <w:szCs w:val="21"/>
                <w:lang w:bidi="ar"/>
              </w:rPr>
              <w:t>-N、TP、</w:t>
            </w:r>
            <w:r>
              <w:rPr>
                <w:rFonts w:hint="default" w:ascii="Times New Roman" w:hAnsi="Times New Roman" w:eastAsia="宋体" w:cs="Times New Roman"/>
                <w:color w:val="auto"/>
                <w:szCs w:val="21"/>
              </w:rPr>
              <w:t>动植物油、SS等</w:t>
            </w:r>
          </w:p>
        </w:tc>
        <w:tc>
          <w:tcPr>
            <w:tcW w:w="2495" w:type="dxa"/>
            <w:vAlign w:val="center"/>
          </w:tcPr>
          <w:p w14:paraId="74CA0616">
            <w:pPr>
              <w:snapToGrid w:val="0"/>
              <w:spacing w:before="72" w:beforeLines="30" w:after="72" w:afterLine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m³化粪池</w:t>
            </w:r>
            <w:r>
              <w:rPr>
                <w:rFonts w:hint="default" w:ascii="Times New Roman" w:hAnsi="Times New Roman" w:eastAsia="宋体" w:cs="Times New Roman"/>
                <w:bCs/>
                <w:color w:val="auto"/>
                <w:szCs w:val="21"/>
              </w:rPr>
              <w:t>（TW001）</w:t>
            </w:r>
            <w:r>
              <w:rPr>
                <w:rFonts w:hint="default" w:ascii="Times New Roman" w:hAnsi="Times New Roman" w:eastAsia="宋体" w:cs="Times New Roman"/>
                <w:bCs/>
                <w:color w:val="auto"/>
                <w:szCs w:val="21"/>
                <w:lang w:val="en-US" w:eastAsia="zh-CN"/>
              </w:rPr>
              <w:t>+40m³/d污水处理站</w:t>
            </w:r>
          </w:p>
        </w:tc>
        <w:tc>
          <w:tcPr>
            <w:tcW w:w="3138" w:type="dxa"/>
            <w:vAlign w:val="center"/>
          </w:tcPr>
          <w:p w14:paraId="05585FC0">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达到《城市污水再生利用城市杂用水水质》（GB/T18920-2020）中的绿化标准标后回用于绿化及厂区洒水降尘</w:t>
            </w:r>
          </w:p>
        </w:tc>
      </w:tr>
      <w:tr w14:paraId="211B5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031F70A8">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607" w:type="dxa"/>
            <w:vAlign w:val="center"/>
          </w:tcPr>
          <w:p w14:paraId="6831A124">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生产设备噪声</w:t>
            </w:r>
          </w:p>
        </w:tc>
        <w:tc>
          <w:tcPr>
            <w:tcW w:w="1267" w:type="dxa"/>
            <w:vAlign w:val="center"/>
          </w:tcPr>
          <w:p w14:paraId="52FFC031">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Leq（A）</w:t>
            </w:r>
          </w:p>
        </w:tc>
        <w:tc>
          <w:tcPr>
            <w:tcW w:w="2495" w:type="dxa"/>
            <w:vAlign w:val="center"/>
          </w:tcPr>
          <w:p w14:paraId="387CE7AD">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选用低噪声设备、安装减震垫及全封闭厂房隔音、风机安装消声器，空压机安装隔声罩等降噪措施。</w:t>
            </w:r>
          </w:p>
        </w:tc>
        <w:tc>
          <w:tcPr>
            <w:tcW w:w="3138" w:type="dxa"/>
            <w:vAlign w:val="center"/>
          </w:tcPr>
          <w:p w14:paraId="2AD0A374">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执行《工业企业厂界环境噪声排放标准》（GB12348-2008）2类标准</w:t>
            </w:r>
          </w:p>
        </w:tc>
      </w:tr>
      <w:tr w14:paraId="04882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30EC68D6">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电磁辐射</w:t>
            </w:r>
          </w:p>
        </w:tc>
        <w:tc>
          <w:tcPr>
            <w:tcW w:w="1607" w:type="dxa"/>
            <w:vAlign w:val="center"/>
          </w:tcPr>
          <w:p w14:paraId="787EAD82">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67" w:type="dxa"/>
            <w:vAlign w:val="center"/>
          </w:tcPr>
          <w:p w14:paraId="2ED35747">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495" w:type="dxa"/>
            <w:vAlign w:val="center"/>
          </w:tcPr>
          <w:p w14:paraId="7CC80CCA">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3138" w:type="dxa"/>
            <w:vAlign w:val="center"/>
          </w:tcPr>
          <w:p w14:paraId="219FA4F6">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5CBF5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restart"/>
            <w:vAlign w:val="center"/>
          </w:tcPr>
          <w:p w14:paraId="75C0C6B9">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2874" w:type="dxa"/>
            <w:gridSpan w:val="2"/>
            <w:vAlign w:val="center"/>
          </w:tcPr>
          <w:p w14:paraId="7F94ACA7">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废包装材料</w:t>
            </w:r>
          </w:p>
        </w:tc>
        <w:tc>
          <w:tcPr>
            <w:tcW w:w="5633" w:type="dxa"/>
            <w:gridSpan w:val="2"/>
            <w:vMerge w:val="restart"/>
            <w:vAlign w:val="center"/>
          </w:tcPr>
          <w:p w14:paraId="05B06FD8">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rPr>
              <w:t>统一收集后出售给物资回收公司回收利用</w:t>
            </w:r>
          </w:p>
        </w:tc>
      </w:tr>
      <w:tr w14:paraId="059D5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3390C09B">
            <w:pPr>
              <w:adjustRightInd w:val="0"/>
              <w:snapToGrid w:val="0"/>
              <w:spacing w:before="72" w:beforeLines="30" w:after="72" w:afterLines="30"/>
              <w:jc w:val="center"/>
              <w:rPr>
                <w:rFonts w:hint="default" w:ascii="Times New Roman" w:hAnsi="Times New Roman" w:eastAsia="宋体" w:cs="Times New Roman"/>
                <w:color w:val="auto"/>
              </w:rPr>
            </w:pPr>
          </w:p>
        </w:tc>
        <w:tc>
          <w:tcPr>
            <w:tcW w:w="2874" w:type="dxa"/>
            <w:gridSpan w:val="2"/>
            <w:vAlign w:val="center"/>
          </w:tcPr>
          <w:p w14:paraId="5339D858">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边角料和不合格产品</w:t>
            </w:r>
          </w:p>
        </w:tc>
        <w:tc>
          <w:tcPr>
            <w:tcW w:w="5633" w:type="dxa"/>
            <w:gridSpan w:val="2"/>
            <w:vMerge w:val="continue"/>
            <w:vAlign w:val="center"/>
          </w:tcPr>
          <w:p w14:paraId="6D2D803B">
            <w:pPr>
              <w:adjustRightInd w:val="0"/>
              <w:snapToGrid w:val="0"/>
              <w:spacing w:before="72" w:beforeLines="30" w:after="72" w:afterLines="30"/>
              <w:jc w:val="center"/>
              <w:rPr>
                <w:rFonts w:hint="default" w:ascii="Times New Roman" w:hAnsi="Times New Roman" w:eastAsia="宋体" w:cs="Times New Roman"/>
                <w:color w:val="auto"/>
                <w:szCs w:val="21"/>
              </w:rPr>
            </w:pPr>
          </w:p>
        </w:tc>
      </w:tr>
      <w:tr w14:paraId="22DCC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234301FF">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5CB059C5">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废淀粉胶渣</w:t>
            </w:r>
          </w:p>
        </w:tc>
        <w:tc>
          <w:tcPr>
            <w:tcW w:w="5633" w:type="dxa"/>
            <w:gridSpan w:val="2"/>
            <w:vAlign w:val="center"/>
          </w:tcPr>
          <w:p w14:paraId="7470B501">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Cs w:val="21"/>
                <w:lang w:val="en-US"/>
              </w:rPr>
            </w:pPr>
            <w:r>
              <w:rPr>
                <w:rFonts w:hint="default" w:ascii="Times New Roman" w:hAnsi="Times New Roman" w:eastAsia="宋体" w:cs="Times New Roman"/>
                <w:b w:val="0"/>
                <w:bCs w:val="0"/>
                <w:color w:val="auto"/>
                <w:lang w:val="en-US" w:eastAsia="zh-CN"/>
              </w:rPr>
              <w:t>回收于搅拌机，作为搅拌原料掺杂使用</w:t>
            </w:r>
          </w:p>
        </w:tc>
      </w:tr>
      <w:tr w14:paraId="3EAA1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0B4E49CF">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557242FE">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多管除尘渣、布袋除尘渣</w:t>
            </w:r>
          </w:p>
        </w:tc>
        <w:tc>
          <w:tcPr>
            <w:tcW w:w="5633" w:type="dxa"/>
            <w:gridSpan w:val="2"/>
            <w:vMerge w:val="restart"/>
            <w:vAlign w:val="center"/>
          </w:tcPr>
          <w:p w14:paraId="1B80FE57">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lang w:val="en-US" w:eastAsia="zh-CN"/>
              </w:rPr>
              <w:t>生物质锅炉技改后，不产生煤渣和水膜除尘渣；生物质燃烧产生的灰渣含有K、Ca等元素，可用作为农肥，委托周边农户进行清运</w:t>
            </w:r>
          </w:p>
        </w:tc>
      </w:tr>
      <w:tr w14:paraId="7AF7F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34D7AA0D">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24095AE3">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炉渣</w:t>
            </w:r>
          </w:p>
        </w:tc>
        <w:tc>
          <w:tcPr>
            <w:tcW w:w="5633" w:type="dxa"/>
            <w:gridSpan w:val="2"/>
            <w:vMerge w:val="continue"/>
            <w:vAlign w:val="center"/>
          </w:tcPr>
          <w:p w14:paraId="01E53AEB">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 w:val="21"/>
                <w:szCs w:val="21"/>
                <w:lang w:val="en-US" w:eastAsia="zh-CN"/>
              </w:rPr>
            </w:pPr>
          </w:p>
        </w:tc>
      </w:tr>
      <w:tr w14:paraId="2DD00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07E8872B">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01BBB28C">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软水制备产生的废石英砂和活性炭</w:t>
            </w:r>
          </w:p>
        </w:tc>
        <w:tc>
          <w:tcPr>
            <w:tcW w:w="5633" w:type="dxa"/>
            <w:gridSpan w:val="2"/>
            <w:vMerge w:val="restart"/>
            <w:vAlign w:val="center"/>
          </w:tcPr>
          <w:p w14:paraId="46D97077">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u w:val="none"/>
              </w:rPr>
              <w:t>更换时联系设备厂家更换回收处置，并签订清运处置协议</w:t>
            </w:r>
          </w:p>
        </w:tc>
      </w:tr>
      <w:tr w14:paraId="01A16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77BCF3FE">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69799949">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软水制备产生的废离子交换树脂</w:t>
            </w:r>
          </w:p>
        </w:tc>
        <w:tc>
          <w:tcPr>
            <w:tcW w:w="5633" w:type="dxa"/>
            <w:gridSpan w:val="2"/>
            <w:vMerge w:val="continue"/>
            <w:vAlign w:val="center"/>
          </w:tcPr>
          <w:p w14:paraId="75846A49">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sz w:val="21"/>
                <w:szCs w:val="21"/>
                <w:lang w:val="en-US" w:eastAsia="zh-CN"/>
              </w:rPr>
            </w:pPr>
          </w:p>
        </w:tc>
      </w:tr>
      <w:tr w14:paraId="5FB9E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0220707B">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7424FF22">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废润滑油</w:t>
            </w:r>
          </w:p>
        </w:tc>
        <w:tc>
          <w:tcPr>
            <w:tcW w:w="5633" w:type="dxa"/>
            <w:gridSpan w:val="2"/>
            <w:vMerge w:val="restart"/>
            <w:vAlign w:val="center"/>
          </w:tcPr>
          <w:p w14:paraId="4A5CA886">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暂存于危废暂存间定期委托</w:t>
            </w:r>
            <w:r>
              <w:rPr>
                <w:rFonts w:hint="default" w:ascii="Times New Roman" w:hAnsi="Times New Roman" w:eastAsia="宋体" w:cs="Times New Roman"/>
                <w:color w:val="auto"/>
                <w:lang w:eastAsia="zh-CN"/>
              </w:rPr>
              <w:t>云南大地丰源环保有限公司</w:t>
            </w:r>
            <w:r>
              <w:rPr>
                <w:rFonts w:hint="default" w:ascii="Times New Roman" w:hAnsi="Times New Roman" w:eastAsia="宋体" w:cs="Times New Roman"/>
                <w:color w:val="auto"/>
              </w:rPr>
              <w:t>清运处置</w:t>
            </w:r>
          </w:p>
        </w:tc>
      </w:tr>
      <w:tr w14:paraId="310A8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5" w:type="dxa"/>
            <w:vMerge w:val="continue"/>
            <w:vAlign w:val="center"/>
          </w:tcPr>
          <w:p w14:paraId="7820BEAD">
            <w:pPr>
              <w:adjustRightInd w:val="0"/>
              <w:snapToGrid w:val="0"/>
              <w:spacing w:before="72" w:beforeLines="30" w:after="72" w:afterLines="30"/>
              <w:jc w:val="center"/>
              <w:rPr>
                <w:rFonts w:hint="default" w:ascii="Times New Roman" w:hAnsi="Times New Roman" w:eastAsia="宋体" w:cs="Times New Roman"/>
                <w:color w:val="auto"/>
                <w:szCs w:val="21"/>
              </w:rPr>
            </w:pPr>
          </w:p>
        </w:tc>
        <w:tc>
          <w:tcPr>
            <w:tcW w:w="2874" w:type="dxa"/>
            <w:gridSpan w:val="2"/>
            <w:vAlign w:val="center"/>
          </w:tcPr>
          <w:p w14:paraId="1B3FDFF2">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废润滑油桶</w:t>
            </w:r>
          </w:p>
        </w:tc>
        <w:tc>
          <w:tcPr>
            <w:tcW w:w="5633" w:type="dxa"/>
            <w:gridSpan w:val="2"/>
            <w:vMerge w:val="continue"/>
            <w:vAlign w:val="center"/>
          </w:tcPr>
          <w:p w14:paraId="7C7F0C5F">
            <w:pPr>
              <w:adjustRightInd w:val="0"/>
              <w:snapToGrid w:val="0"/>
              <w:spacing w:before="72" w:beforeLines="30" w:after="72" w:afterLines="30"/>
              <w:jc w:val="center"/>
              <w:rPr>
                <w:rFonts w:hint="default" w:ascii="Times New Roman" w:hAnsi="Times New Roman" w:eastAsia="宋体" w:cs="Times New Roman"/>
                <w:color w:val="auto"/>
                <w:szCs w:val="21"/>
              </w:rPr>
            </w:pPr>
          </w:p>
        </w:tc>
      </w:tr>
      <w:tr w14:paraId="5E52E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095" w:type="dxa"/>
            <w:vAlign w:val="center"/>
          </w:tcPr>
          <w:p w14:paraId="2A519A4A">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土壤及地下水污染防治措施</w:t>
            </w:r>
          </w:p>
        </w:tc>
        <w:tc>
          <w:tcPr>
            <w:tcW w:w="8507" w:type="dxa"/>
            <w:gridSpan w:val="4"/>
            <w:vAlign w:val="center"/>
          </w:tcPr>
          <w:p w14:paraId="7FF577CE">
            <w:pPr>
              <w:spacing w:line="360" w:lineRule="auto"/>
              <w:ind w:right="25" w:rightChars="12"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24"/>
                <w:szCs w:val="21"/>
              </w:rPr>
              <w:t>（</w:t>
            </w:r>
            <w:r>
              <w:rPr>
                <w:rFonts w:hint="default" w:ascii="Times New Roman" w:hAnsi="Times New Roman" w:eastAsia="宋体" w:cs="Times New Roman"/>
                <w:b/>
                <w:color w:val="auto"/>
                <w:kern w:val="24"/>
                <w:szCs w:val="21"/>
                <w:lang w:val="en-US" w:eastAsia="zh-CN"/>
              </w:rPr>
              <w:t>1</w:t>
            </w:r>
            <w:r>
              <w:rPr>
                <w:rFonts w:hint="default" w:ascii="Times New Roman" w:hAnsi="Times New Roman" w:eastAsia="宋体" w:cs="Times New Roman"/>
                <w:b/>
                <w:color w:val="auto"/>
                <w:kern w:val="24"/>
                <w:szCs w:val="21"/>
              </w:rPr>
              <w:t>）</w:t>
            </w:r>
            <w:r>
              <w:rPr>
                <w:rFonts w:hint="default" w:ascii="Times New Roman" w:hAnsi="Times New Roman" w:eastAsia="宋体" w:cs="Times New Roman"/>
                <w:b/>
                <w:color w:val="auto"/>
                <w:szCs w:val="21"/>
              </w:rPr>
              <w:t>源头控制措施</w:t>
            </w:r>
          </w:p>
          <w:p w14:paraId="0C74EE9A">
            <w:pPr>
              <w:pStyle w:val="64"/>
              <w:adjustRightInd w:val="0"/>
              <w:snapToGrid w:val="0"/>
              <w:spacing w:line="360" w:lineRule="auto"/>
              <w:jc w:val="left"/>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①生产过程中油墨、胶水等液态物质密闭储存和转移；</w:t>
            </w:r>
          </w:p>
          <w:p w14:paraId="1F899BCA">
            <w:pPr>
              <w:pStyle w:val="64"/>
              <w:adjustRightInd w:val="0"/>
              <w:snapToGrid w:val="0"/>
              <w:spacing w:line="360" w:lineRule="auto"/>
              <w:jc w:val="left"/>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②加强环境管理，定期对</w:t>
            </w:r>
            <w:r>
              <w:rPr>
                <w:rFonts w:hint="default" w:ascii="Times New Roman" w:hAnsi="Times New Roman" w:eastAsia="宋体" w:cs="Times New Roman"/>
                <w:color w:val="auto"/>
                <w:szCs w:val="21"/>
                <w:lang w:eastAsia="zh-CN"/>
              </w:rPr>
              <w:t>油墨间</w:t>
            </w:r>
            <w:r>
              <w:rPr>
                <w:rFonts w:hint="default" w:ascii="Times New Roman" w:hAnsi="Times New Roman" w:eastAsia="宋体" w:cs="Times New Roman"/>
                <w:bCs/>
                <w:color w:val="auto"/>
                <w:szCs w:val="21"/>
              </w:rPr>
              <w:t>、</w:t>
            </w:r>
            <w:r>
              <w:rPr>
                <w:rFonts w:hint="default" w:ascii="Times New Roman" w:hAnsi="Times New Roman" w:eastAsia="宋体" w:cs="Times New Roman"/>
                <w:color w:val="auto"/>
                <w:kern w:val="24"/>
                <w:szCs w:val="21"/>
              </w:rPr>
              <w:t>危废暂存间、</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r>
              <w:rPr>
                <w:rFonts w:hint="default" w:ascii="Times New Roman" w:hAnsi="Times New Roman" w:eastAsia="宋体" w:cs="Times New Roman"/>
                <w:color w:val="auto"/>
                <w:kern w:val="24"/>
                <w:szCs w:val="21"/>
              </w:rPr>
              <w:t>进行巡检、维修保养，及时发现可能引起事故的异常情况，消除事故隐患，将污染物跑、冒、滴、漏降到最低限度；</w:t>
            </w:r>
          </w:p>
          <w:p w14:paraId="0A6FB31F">
            <w:pPr>
              <w:pStyle w:val="64"/>
              <w:adjustRightInd w:val="0"/>
              <w:snapToGrid w:val="0"/>
              <w:spacing w:line="360" w:lineRule="auto"/>
              <w:jc w:val="left"/>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③风险物质使用耐腐蚀的容器盛装，暂存于“防风、防雨、防晒、防渗”的场所；</w:t>
            </w:r>
          </w:p>
          <w:p w14:paraId="394511BE">
            <w:pPr>
              <w:pStyle w:val="64"/>
              <w:spacing w:line="360" w:lineRule="auto"/>
              <w:rPr>
                <w:rFonts w:hint="default" w:ascii="Times New Roman" w:hAnsi="Times New Roman" w:eastAsia="宋体" w:cs="Times New Roman"/>
                <w:color w:val="auto"/>
                <w:kern w:val="24"/>
                <w:szCs w:val="21"/>
              </w:rPr>
            </w:pPr>
            <w:r>
              <w:rPr>
                <w:rFonts w:hint="default" w:ascii="Times New Roman" w:hAnsi="Times New Roman" w:eastAsia="宋体" w:cs="Times New Roman"/>
                <w:color w:val="auto"/>
                <w:kern w:val="24"/>
                <w:szCs w:val="21"/>
              </w:rPr>
              <w:t>④对各种地下管道采用相应类型的管道，并配备流量、压力仪表，设置截污阀，如发现泄露及时切断。</w:t>
            </w:r>
          </w:p>
          <w:p w14:paraId="229BE665">
            <w:pPr>
              <w:kinsoku w:val="0"/>
              <w:overflowPunct w:val="0"/>
              <w:spacing w:line="360" w:lineRule="auto"/>
              <w:ind w:firstLine="422" w:firstLineChars="20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w:t>
            </w:r>
            <w:r>
              <w:rPr>
                <w:rFonts w:hint="default" w:ascii="Times New Roman" w:hAnsi="Times New Roman" w:eastAsia="宋体" w:cs="Times New Roman"/>
                <w:b/>
                <w:color w:val="auto"/>
                <w:szCs w:val="21"/>
                <w:lang w:val="en-US" w:eastAsia="zh-CN"/>
              </w:rPr>
              <w:t>2</w:t>
            </w:r>
            <w:r>
              <w:rPr>
                <w:rFonts w:hint="default" w:ascii="Times New Roman" w:hAnsi="Times New Roman" w:eastAsia="宋体" w:cs="Times New Roman"/>
                <w:b/>
                <w:color w:val="auto"/>
                <w:szCs w:val="21"/>
              </w:rPr>
              <w:t>）过程防控措施</w:t>
            </w:r>
          </w:p>
          <w:p w14:paraId="6D60B907">
            <w:pPr>
              <w:tabs>
                <w:tab w:val="center" w:pos="4153"/>
                <w:tab w:val="right" w:pos="8306"/>
              </w:tabs>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①</w:t>
            </w:r>
            <w:r>
              <w:rPr>
                <w:rFonts w:hint="default" w:ascii="Times New Roman" w:hAnsi="Times New Roman" w:eastAsia="宋体" w:cs="Times New Roman"/>
                <w:color w:val="auto"/>
                <w:szCs w:val="21"/>
              </w:rPr>
              <w:t>保证大气污染治理措施的正常运行稳定达标，定期巡检杜绝事故排放；</w:t>
            </w:r>
          </w:p>
          <w:p w14:paraId="2A1B2947">
            <w:pPr>
              <w:tabs>
                <w:tab w:val="center" w:pos="4153"/>
                <w:tab w:val="right" w:pos="8306"/>
              </w:tabs>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②实施分区防渗，分为重点防渗区、一般防渗区、简单防渗区。重点防渗区为</w:t>
            </w:r>
            <w:r>
              <w:rPr>
                <w:rFonts w:hint="default" w:ascii="Times New Roman" w:hAnsi="Times New Roman" w:eastAsia="宋体" w:cs="Times New Roman"/>
                <w:color w:val="auto"/>
                <w:sz w:val="21"/>
                <w:szCs w:val="21"/>
                <w:lang w:val="en-US" w:eastAsia="zh-CN"/>
              </w:rPr>
              <w:t>制胶区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糊胶工段</w:t>
            </w:r>
            <w:r>
              <w:rPr>
                <w:rFonts w:hint="default" w:ascii="Times New Roman" w:hAnsi="Times New Roman" w:eastAsia="宋体" w:cs="Times New Roman"/>
                <w:color w:val="auto"/>
                <w:kern w:val="24"/>
                <w:szCs w:val="21"/>
              </w:rPr>
              <w:t>，防技渗术要求为等效粘土防渗层Mb≥6.0m，K≤1×10</w:t>
            </w:r>
            <w:r>
              <w:rPr>
                <w:rFonts w:hint="default" w:ascii="Times New Roman" w:hAnsi="Times New Roman" w:eastAsia="宋体" w:cs="Times New Roman"/>
                <w:color w:val="auto"/>
                <w:kern w:val="24"/>
                <w:szCs w:val="21"/>
                <w:vertAlign w:val="superscript"/>
              </w:rPr>
              <w:t>-7</w:t>
            </w:r>
            <w:r>
              <w:rPr>
                <w:rFonts w:hint="default" w:ascii="Times New Roman" w:hAnsi="Times New Roman" w:eastAsia="宋体" w:cs="Times New Roman"/>
                <w:color w:val="auto"/>
                <w:kern w:val="24"/>
                <w:szCs w:val="21"/>
              </w:rPr>
              <w:t>cm/s</w:t>
            </w:r>
            <w:r>
              <w:rPr>
                <w:rFonts w:hint="default" w:ascii="Times New Roman" w:hAnsi="Times New Roman" w:eastAsia="宋体" w:cs="Times New Roman"/>
                <w:color w:val="auto"/>
                <w:kern w:val="24"/>
                <w:szCs w:val="21"/>
                <w:lang w:eastAsia="zh-CN"/>
              </w:rPr>
              <w:t>；</w:t>
            </w:r>
            <w:r>
              <w:rPr>
                <w:rFonts w:hint="default" w:ascii="Times New Roman" w:hAnsi="Times New Roman" w:eastAsia="宋体" w:cs="Times New Roman"/>
                <w:color w:val="auto"/>
                <w:sz w:val="21"/>
                <w:szCs w:val="21"/>
              </w:rPr>
              <w:t>油墨间、</w:t>
            </w:r>
            <w:r>
              <w:rPr>
                <w:rFonts w:hint="default" w:ascii="Times New Roman" w:hAnsi="Times New Roman" w:eastAsia="宋体" w:cs="Times New Roman"/>
                <w:color w:val="auto"/>
                <w:kern w:val="24"/>
                <w:sz w:val="21"/>
                <w:szCs w:val="21"/>
              </w:rPr>
              <w:t>危废暂存间</w:t>
            </w:r>
            <w:r>
              <w:rPr>
                <w:rFonts w:hint="default" w:ascii="Times New Roman" w:hAnsi="Times New Roman" w:eastAsia="宋体" w:cs="Times New Roman"/>
                <w:color w:val="auto"/>
                <w:kern w:val="24"/>
                <w:sz w:val="21"/>
                <w:szCs w:val="21"/>
                <w:lang w:val="en-US" w:eastAsia="zh-CN"/>
              </w:rPr>
              <w:t>已完成验收具备依托条件</w:t>
            </w:r>
            <w:r>
              <w:rPr>
                <w:rFonts w:hint="default" w:ascii="Times New Roman" w:hAnsi="Times New Roman" w:eastAsia="宋体" w:cs="Times New Roman"/>
                <w:color w:val="auto"/>
                <w:kern w:val="24"/>
                <w:szCs w:val="21"/>
              </w:rPr>
              <w:t>；一般防渗区为</w:t>
            </w:r>
            <w:r>
              <w:rPr>
                <w:rFonts w:hint="default" w:ascii="Times New Roman" w:hAnsi="Times New Roman" w:eastAsia="宋体" w:cs="Times New Roman"/>
                <w:color w:val="auto"/>
                <w:kern w:val="24"/>
                <w:szCs w:val="21"/>
                <w:lang w:val="en-US" w:eastAsia="zh-CN"/>
              </w:rPr>
              <w:t>其余</w:t>
            </w:r>
            <w:r>
              <w:rPr>
                <w:rFonts w:hint="default" w:ascii="Times New Roman" w:hAnsi="Times New Roman" w:eastAsia="宋体" w:cs="Times New Roman"/>
                <w:color w:val="auto"/>
                <w:kern w:val="24"/>
                <w:szCs w:val="21"/>
              </w:rPr>
              <w:t>生产车间，防渗技术要求等效粘土防渗层Mb≥1.5m，K≤1×10</w:t>
            </w:r>
            <w:r>
              <w:rPr>
                <w:rFonts w:hint="default" w:ascii="Times New Roman" w:hAnsi="Times New Roman" w:eastAsia="宋体" w:cs="Times New Roman"/>
                <w:color w:val="auto"/>
                <w:kern w:val="24"/>
                <w:szCs w:val="21"/>
                <w:vertAlign w:val="superscript"/>
              </w:rPr>
              <w:t>-7</w:t>
            </w:r>
            <w:r>
              <w:rPr>
                <w:rFonts w:hint="default" w:ascii="Times New Roman" w:hAnsi="Times New Roman" w:eastAsia="宋体" w:cs="Times New Roman"/>
                <w:color w:val="auto"/>
                <w:kern w:val="24"/>
                <w:szCs w:val="21"/>
              </w:rPr>
              <w:t>cm/s；其他区域为简单防渗区，采用混凝土硬化；</w:t>
            </w:r>
          </w:p>
          <w:p w14:paraId="1798DC95">
            <w:pPr>
              <w:kinsoku w:val="0"/>
              <w:overflowPunct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4"/>
                <w:szCs w:val="21"/>
              </w:rPr>
              <w:t>③油墨和胶水分区储存，</w:t>
            </w:r>
            <w:r>
              <w:rPr>
                <w:rFonts w:hint="default" w:ascii="Times New Roman" w:hAnsi="Times New Roman" w:eastAsia="宋体" w:cs="Times New Roman"/>
                <w:color w:val="auto"/>
                <w:szCs w:val="21"/>
                <w:lang w:eastAsia="zh-CN"/>
              </w:rPr>
              <w:t>油墨间</w:t>
            </w:r>
            <w:r>
              <w:rPr>
                <w:rFonts w:hint="default" w:ascii="Times New Roman" w:hAnsi="Times New Roman" w:eastAsia="宋体" w:cs="Times New Roman"/>
                <w:color w:val="auto"/>
                <w:kern w:val="24"/>
                <w:szCs w:val="21"/>
              </w:rPr>
              <w:t>、危险废物暂存间保持通风阴凉的环境，并隔绝热源和火种</w:t>
            </w:r>
            <w:r>
              <w:rPr>
                <w:rFonts w:hint="default" w:ascii="Times New Roman" w:hAnsi="Times New Roman" w:eastAsia="宋体" w:cs="Times New Roman"/>
                <w:color w:val="auto"/>
                <w:szCs w:val="21"/>
              </w:rPr>
              <w:t>。</w:t>
            </w:r>
          </w:p>
        </w:tc>
      </w:tr>
      <w:tr w14:paraId="5378D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095" w:type="dxa"/>
            <w:vAlign w:val="center"/>
          </w:tcPr>
          <w:p w14:paraId="2EBA3A18">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生态保护措施</w:t>
            </w:r>
          </w:p>
        </w:tc>
        <w:tc>
          <w:tcPr>
            <w:tcW w:w="8507" w:type="dxa"/>
            <w:gridSpan w:val="4"/>
            <w:vAlign w:val="center"/>
          </w:tcPr>
          <w:p w14:paraId="39538096">
            <w:pPr>
              <w:adjustRightInd w:val="0"/>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w:t>
            </w:r>
          </w:p>
        </w:tc>
      </w:tr>
      <w:tr w14:paraId="2A2DC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95" w:type="dxa"/>
            <w:vAlign w:val="center"/>
          </w:tcPr>
          <w:p w14:paraId="5E6247F2">
            <w:pPr>
              <w:adjustRightInd w:val="0"/>
              <w:snapToGrid w:val="0"/>
              <w:spacing w:before="72" w:beforeLines="30" w:after="72" w:afterLines="3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环境风险</w:t>
            </w:r>
          </w:p>
          <w:p w14:paraId="7B6EEFA5">
            <w:pPr>
              <w:adjustRightInd w:val="0"/>
              <w:snapToGrid w:val="0"/>
              <w:spacing w:before="72" w:beforeLines="30" w:after="72" w:afterLines="3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防范措施</w:t>
            </w:r>
          </w:p>
        </w:tc>
        <w:tc>
          <w:tcPr>
            <w:tcW w:w="8507" w:type="dxa"/>
            <w:gridSpan w:val="4"/>
            <w:vAlign w:val="center"/>
          </w:tcPr>
          <w:p w14:paraId="00BFA184">
            <w:pPr>
              <w:autoSpaceDE w:val="0"/>
              <w:autoSpaceDN w:val="0"/>
              <w:adjustRightInd w:val="0"/>
              <w:snapToGrid w:val="0"/>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（1）环境风险防范措施</w:t>
            </w:r>
          </w:p>
          <w:p w14:paraId="47A8BE03">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①认真落实本次环评提出的环保设施，定期对环保设施进行检修工作确保去除效率避免非正常排放。定期对活性炭进行更换，定期对危废暂存间进行检查。</w:t>
            </w:r>
          </w:p>
          <w:p w14:paraId="3EB7F2C1">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②严格落实危废暂存间的建设，并按照相关规范分类收集暂存；</w:t>
            </w:r>
          </w:p>
          <w:p w14:paraId="3F9B2C32">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③生产车间内配置灭火器；</w:t>
            </w:r>
          </w:p>
          <w:p w14:paraId="444A75EA">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④原料及产品堆放、润滑油库、危废暂存间需做到远离火种、热源，保持通风阴凉的环境，采取复合材料进行重点防渗；</w:t>
            </w:r>
          </w:p>
          <w:p w14:paraId="5CBE03A0">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⑤为工作人员制定相关的操作规范，配备泄漏应急处理设备。</w:t>
            </w:r>
          </w:p>
          <w:p w14:paraId="6955014A">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⑥项目需制定防火措施，厂区内设置安全疏散通道，安全科学管理，有效防止火灾风险事故的发生。</w:t>
            </w:r>
          </w:p>
          <w:p w14:paraId="5D421B2F">
            <w:pPr>
              <w:tabs>
                <w:tab w:val="left" w:pos="3999"/>
              </w:tabs>
              <w:snapToGrid w:val="0"/>
              <w:ind w:firstLine="420" w:firstLineChars="20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szCs w:val="21"/>
              </w:rPr>
              <w:t>⑦存储废机油危废暂存间区域设置一个容积为0.5m³的不锈钢托盆，若发生废机油和废乙醇泄露事件可完全收集，不外排。</w:t>
            </w:r>
            <w:r>
              <w:rPr>
                <w:rFonts w:hint="default" w:ascii="Times New Roman" w:hAnsi="Times New Roman" w:eastAsia="宋体" w:cs="Times New Roman"/>
                <w:color w:val="auto"/>
                <w:szCs w:val="21"/>
                <w:lang w:val="en-US" w:eastAsia="zh-CN"/>
              </w:rPr>
              <w:t>等</w:t>
            </w:r>
          </w:p>
          <w:p w14:paraId="61D76851">
            <w:pPr>
              <w:tabs>
                <w:tab w:val="left" w:pos="3999"/>
              </w:tabs>
              <w:snapToGrid w:val="0"/>
              <w:ind w:firstLine="422" w:firstLineChars="200"/>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（2）环境风险管理措施</w:t>
            </w:r>
          </w:p>
          <w:p w14:paraId="60B1F91D">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①资金保障：公司要划拨一定的污染事故应急专项资金，用于购买应急设施、设备与器材和日常的宣传培训演练，作为突发环境污染事故应急资金的保障；</w:t>
            </w:r>
          </w:p>
          <w:p w14:paraId="1C9EC544">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②装备保障：厂区内要准备一定数量的应急救援用的用品（消防沙或消防土），并对其进行日常维护，为环境突发事故应急提供装备保障；</w:t>
            </w:r>
          </w:p>
          <w:p w14:paraId="09AB456C">
            <w:pPr>
              <w:snapToGrid w:val="0"/>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③通信保障及人力资源保障：保证全厂的通信畅通，重大事故应急救援组织机构成员要配备相应的通信工具，并且保证每天24小时畅通，保证事故应急人员和救援设备物资能及时到位；</w:t>
            </w:r>
          </w:p>
          <w:p w14:paraId="0E2485CD">
            <w:pPr>
              <w:pStyle w:val="31"/>
              <w:snapToGrid w:val="0"/>
              <w:spacing w:before="72" w:beforeLines="30" w:after="72" w:afterLines="30" w:line="240" w:lineRule="auto"/>
              <w:ind w:firstLine="42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Cs w:val="21"/>
              </w:rPr>
              <w:t>④宣传培训演练：平时要加强防范事故的宣传工作，必要时邀请地方消防部门对企业应急组织机构领导小组成员和职工进行技术指导和培训，发放《环境应急手册》，每半年要安排人员进行一次事故应急演练。对工厂周围公众进行有针对性的科普宣传、教育、培训和发布有关信息，增强广大群众自我防护、自救互救意识</w:t>
            </w:r>
            <w:r>
              <w:rPr>
                <w:rFonts w:hint="default" w:ascii="Times New Roman" w:hAnsi="Times New Roman" w:eastAsia="宋体" w:cs="Times New Roman"/>
                <w:color w:val="auto"/>
                <w:szCs w:val="21"/>
                <w:lang w:eastAsia="zh-CN"/>
              </w:rPr>
              <w:t>。</w:t>
            </w:r>
          </w:p>
        </w:tc>
      </w:tr>
      <w:tr w14:paraId="68927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95" w:type="dxa"/>
            <w:vAlign w:val="center"/>
          </w:tcPr>
          <w:p w14:paraId="38D5FB04">
            <w:pPr>
              <w:adjustRightInd w:val="0"/>
              <w:snapToGrid w:val="0"/>
              <w:spacing w:before="72" w:beforeLines="30" w:after="72" w:afterLines="3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其他环境</w:t>
            </w:r>
          </w:p>
          <w:p w14:paraId="040BABBD">
            <w:pPr>
              <w:adjustRightInd w:val="0"/>
              <w:snapToGrid w:val="0"/>
              <w:spacing w:before="72" w:beforeLines="30" w:after="72" w:afterLines="30"/>
              <w:jc w:val="center"/>
              <w:rPr>
                <w:rFonts w:hint="default" w:ascii="Times New Roman" w:hAnsi="Times New Roman" w:eastAsia="宋体" w:cs="Times New Roman"/>
                <w:color w:val="auto"/>
                <w:spacing w:val="-8"/>
                <w:szCs w:val="21"/>
              </w:rPr>
            </w:pPr>
            <w:r>
              <w:rPr>
                <w:rFonts w:hint="default" w:ascii="Times New Roman" w:hAnsi="Times New Roman" w:eastAsia="宋体" w:cs="Times New Roman"/>
                <w:color w:val="auto"/>
                <w:spacing w:val="-8"/>
                <w:szCs w:val="21"/>
              </w:rPr>
              <w:t>管理要求</w:t>
            </w:r>
          </w:p>
        </w:tc>
        <w:tc>
          <w:tcPr>
            <w:tcW w:w="8507" w:type="dxa"/>
            <w:gridSpan w:val="4"/>
            <w:vAlign w:val="center"/>
          </w:tcPr>
          <w:p w14:paraId="4EC8189F">
            <w:pPr>
              <w:pStyle w:val="31"/>
              <w:snapToGrid w:val="0"/>
              <w:spacing w:before="72" w:beforeLines="30" w:after="72" w:afterLines="30" w:line="240" w:lineRule="auto"/>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①严格执行环境保护设施应与主体同时设计、同时施工、同时投入使用的环保“三同时”。</w:t>
            </w:r>
          </w:p>
          <w:p w14:paraId="6D6576FB">
            <w:pPr>
              <w:pStyle w:val="31"/>
              <w:snapToGrid w:val="0"/>
              <w:spacing w:before="72" w:beforeLines="30" w:after="72" w:afterLines="30" w:line="240" w:lineRule="auto"/>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②按照《建设项目竣工环境保护验收暂行办法》要求开展竣工环境保护验收工作。</w:t>
            </w:r>
          </w:p>
        </w:tc>
      </w:tr>
    </w:tbl>
    <w:p w14:paraId="5629FB92">
      <w:pPr>
        <w:pStyle w:val="21"/>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bookmarkStart w:id="34" w:name="_Toc1477"/>
      <w:bookmarkStart w:id="35" w:name="_Toc32424"/>
      <w:bookmarkStart w:id="36" w:name="_Toc25836"/>
      <w:bookmarkStart w:id="37" w:name="_Toc24385"/>
      <w:bookmarkStart w:id="38" w:name="_Toc5310"/>
      <w:r>
        <w:rPr>
          <w:rFonts w:hint="default" w:ascii="Times New Roman" w:hAnsi="Times New Roman" w:eastAsia="宋体" w:cs="Times New Roman"/>
          <w:snapToGrid w:val="0"/>
          <w:color w:val="auto"/>
          <w:sz w:val="30"/>
          <w:szCs w:val="30"/>
        </w:rPr>
        <w:t>六、结论</w:t>
      </w:r>
      <w:bookmarkEnd w:id="34"/>
      <w:bookmarkEnd w:id="35"/>
      <w:bookmarkEnd w:id="36"/>
      <w:bookmarkEnd w:id="37"/>
      <w:bookmarkEnd w:id="38"/>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A8D3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3A4F665">
            <w:pPr>
              <w:pStyle w:val="31"/>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项目符合国家产业政策和环保政策，选址可行，平面布局基本合理，所在地环境质量现状基本满足环境功能要求；各项污染防治措施经济、技术可行，可将各类污染因素的环境影响控制在环境可接受的程度和范围内。在建设单位认真落实各项污染防治措施、整改措施要求、确保环保设备长期稳定正常运行、实现污染物达标排放的情况下，从环保角度分析，本建设项目是可行的。</w:t>
            </w:r>
          </w:p>
        </w:tc>
      </w:tr>
    </w:tbl>
    <w:p w14:paraId="2EEDD47A">
      <w:pPr>
        <w:rPr>
          <w:rFonts w:hint="default" w:ascii="Times New Roman" w:hAnsi="Times New Roman" w:eastAsia="宋体" w:cs="Times New Roman"/>
          <w:color w:val="auto"/>
        </w:rPr>
        <w:sectPr>
          <w:pgSz w:w="11906" w:h="16838"/>
          <w:pgMar w:top="1701" w:right="1531" w:bottom="1701" w:left="1531" w:header="851" w:footer="851" w:gutter="0"/>
          <w:cols w:space="720" w:num="1"/>
          <w:docGrid w:linePitch="312" w:charSpace="0"/>
        </w:sectPr>
      </w:pPr>
    </w:p>
    <w:p w14:paraId="5658E6DB">
      <w:pPr>
        <w:pStyle w:val="21"/>
        <w:adjustRightInd w:val="0"/>
        <w:snapToGrid w:val="0"/>
        <w:spacing w:before="0" w:beforeAutospacing="0" w:after="0" w:afterAutospacing="0" w:line="360" w:lineRule="auto"/>
        <w:outlineLvl w:val="0"/>
        <w:rPr>
          <w:rFonts w:hint="default" w:ascii="Times New Roman" w:hAnsi="Times New Roman" w:eastAsia="宋体" w:cs="Times New Roman"/>
          <w:snapToGrid w:val="0"/>
          <w:color w:val="auto"/>
          <w:sz w:val="32"/>
          <w:szCs w:val="32"/>
        </w:rPr>
      </w:pPr>
      <w:bookmarkStart w:id="39" w:name="_Toc31491"/>
      <w:bookmarkStart w:id="40" w:name="_Toc1074"/>
      <w:bookmarkStart w:id="41" w:name="_Toc16091"/>
      <w:bookmarkStart w:id="42" w:name="_Toc8689"/>
      <w:bookmarkStart w:id="43" w:name="_Toc16679"/>
      <w:r>
        <w:rPr>
          <w:rFonts w:hint="default" w:ascii="Times New Roman" w:hAnsi="Times New Roman" w:eastAsia="宋体" w:cs="Times New Roman"/>
          <w:snapToGrid w:val="0"/>
          <w:color w:val="auto"/>
          <w:sz w:val="32"/>
          <w:szCs w:val="32"/>
        </w:rPr>
        <w:t>附表</w:t>
      </w:r>
      <w:bookmarkEnd w:id="39"/>
      <w:bookmarkEnd w:id="40"/>
      <w:bookmarkEnd w:id="41"/>
      <w:bookmarkEnd w:id="42"/>
      <w:bookmarkEnd w:id="43"/>
    </w:p>
    <w:p w14:paraId="2B9D4503">
      <w:pPr>
        <w:pStyle w:val="21"/>
        <w:adjustRightInd w:val="0"/>
        <w:snapToGrid w:val="0"/>
        <w:spacing w:before="0" w:beforeAutospacing="0" w:after="0" w:afterAutospacing="0" w:line="360" w:lineRule="auto"/>
        <w:jc w:val="center"/>
        <w:rPr>
          <w:rFonts w:hint="default" w:ascii="Times New Roman" w:hAnsi="Times New Roman" w:eastAsia="宋体" w:cs="Times New Roman"/>
          <w:b/>
          <w:bCs/>
          <w:snapToGrid w:val="0"/>
          <w:color w:val="auto"/>
          <w:sz w:val="38"/>
          <w:szCs w:val="38"/>
        </w:rPr>
      </w:pPr>
      <w:bookmarkStart w:id="44" w:name="_Toc16449"/>
      <w:bookmarkStart w:id="45" w:name="_Toc4076"/>
      <w:bookmarkStart w:id="46" w:name="_Toc7971"/>
      <w:bookmarkStart w:id="47" w:name="_Toc28228"/>
      <w:r>
        <w:rPr>
          <w:rFonts w:hint="default" w:ascii="Times New Roman" w:hAnsi="Times New Roman" w:eastAsia="宋体" w:cs="Times New Roman"/>
          <w:b/>
          <w:bCs/>
          <w:snapToGrid w:val="0"/>
          <w:color w:val="auto"/>
          <w:sz w:val="38"/>
          <w:szCs w:val="38"/>
        </w:rPr>
        <w:t>建设项目污染物排放量汇总表</w:t>
      </w:r>
      <w:bookmarkEnd w:id="44"/>
      <w:bookmarkEnd w:id="45"/>
      <w:bookmarkEnd w:id="46"/>
      <w:bookmarkEnd w:id="47"/>
    </w:p>
    <w:tbl>
      <w:tblPr>
        <w:tblStyle w:val="25"/>
        <w:tblW w:w="1370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388"/>
        <w:gridCol w:w="1537"/>
        <w:gridCol w:w="1275"/>
        <w:gridCol w:w="1650"/>
        <w:gridCol w:w="1563"/>
        <w:gridCol w:w="1575"/>
        <w:gridCol w:w="1730"/>
        <w:gridCol w:w="1582"/>
      </w:tblGrid>
      <w:tr w14:paraId="54E60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1403" w:type="dxa"/>
            <w:tcBorders>
              <w:tl2br w:val="single" w:color="auto" w:sz="4" w:space="0"/>
            </w:tcBorders>
            <w:tcMar>
              <w:left w:w="28" w:type="dxa"/>
              <w:right w:w="28" w:type="dxa"/>
            </w:tcMar>
            <w:vAlign w:val="center"/>
          </w:tcPr>
          <w:p w14:paraId="4B6D5BAE">
            <w:pPr>
              <w:pStyle w:val="53"/>
              <w:spacing w:beforeLines="0" w:afterLines="0" w:line="240" w:lineRule="auto"/>
              <w:ind w:firstLine="398"/>
              <w:jc w:val="righ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14:paraId="3D630903">
            <w:pPr>
              <w:pStyle w:val="53"/>
              <w:spacing w:beforeLines="0" w:afterLines="0" w:line="240" w:lineRule="auto"/>
              <w:ind w:firstLine="0" w:firstLineChars="0"/>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1388" w:type="dxa"/>
            <w:tcMar>
              <w:left w:w="28" w:type="dxa"/>
              <w:right w:w="28" w:type="dxa"/>
            </w:tcMar>
            <w:vAlign w:val="center"/>
          </w:tcPr>
          <w:p w14:paraId="1B5D9A06">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1537" w:type="dxa"/>
            <w:tcMar>
              <w:left w:w="28" w:type="dxa"/>
              <w:right w:w="28" w:type="dxa"/>
            </w:tcMar>
            <w:vAlign w:val="center"/>
          </w:tcPr>
          <w:p w14:paraId="70EA9B2A">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734F82EE">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①</w:t>
            </w:r>
            <w:r>
              <w:rPr>
                <w:rFonts w:hint="default" w:ascii="Times New Roman" w:hAnsi="Times New Roman" w:eastAsia="宋体" w:cs="Times New Roman"/>
                <w:snapToGrid w:val="0"/>
                <w:color w:val="auto"/>
                <w:spacing w:val="-6"/>
                <w:kern w:val="21"/>
                <w:szCs w:val="21"/>
              </w:rPr>
              <w:fldChar w:fldCharType="end"/>
            </w:r>
          </w:p>
        </w:tc>
        <w:tc>
          <w:tcPr>
            <w:tcW w:w="1275" w:type="dxa"/>
            <w:tcMar>
              <w:left w:w="28" w:type="dxa"/>
              <w:right w:w="28" w:type="dxa"/>
            </w:tcMar>
            <w:vAlign w:val="center"/>
          </w:tcPr>
          <w:p w14:paraId="4C5EDB39">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14:paraId="6E0CEFCC">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许可排放量</w:t>
            </w:r>
          </w:p>
          <w:p w14:paraId="01585A00">
            <w:pPr>
              <w:pStyle w:val="53"/>
              <w:spacing w:beforeLines="0" w:afterLines="0"/>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1650" w:type="dxa"/>
            <w:tcMar>
              <w:left w:w="28" w:type="dxa"/>
              <w:right w:w="28" w:type="dxa"/>
            </w:tcMar>
            <w:vAlign w:val="center"/>
          </w:tcPr>
          <w:p w14:paraId="35817343">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w:t>
            </w:r>
          </w:p>
          <w:p w14:paraId="422FB333">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③</w:t>
            </w:r>
            <w:r>
              <w:rPr>
                <w:rFonts w:hint="default" w:ascii="Times New Roman" w:hAnsi="Times New Roman" w:eastAsia="宋体" w:cs="Times New Roman"/>
                <w:snapToGrid w:val="0"/>
                <w:color w:val="auto"/>
                <w:spacing w:val="-6"/>
                <w:kern w:val="21"/>
                <w:szCs w:val="21"/>
              </w:rPr>
              <w:fldChar w:fldCharType="end"/>
            </w:r>
          </w:p>
        </w:tc>
        <w:tc>
          <w:tcPr>
            <w:tcW w:w="1563" w:type="dxa"/>
            <w:tcMar>
              <w:left w:w="28" w:type="dxa"/>
              <w:right w:w="28" w:type="dxa"/>
            </w:tcMar>
            <w:vAlign w:val="center"/>
          </w:tcPr>
          <w:p w14:paraId="3AFA7302">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w:t>
            </w:r>
          </w:p>
          <w:p w14:paraId="351AF882">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④</w:t>
            </w:r>
            <w:r>
              <w:rPr>
                <w:rFonts w:hint="default" w:ascii="Times New Roman" w:hAnsi="Times New Roman" w:eastAsia="宋体" w:cs="Times New Roman"/>
                <w:snapToGrid w:val="0"/>
                <w:color w:val="auto"/>
                <w:spacing w:val="-6"/>
                <w:kern w:val="21"/>
                <w:szCs w:val="21"/>
              </w:rPr>
              <w:fldChar w:fldCharType="end"/>
            </w:r>
          </w:p>
        </w:tc>
        <w:tc>
          <w:tcPr>
            <w:tcW w:w="1575" w:type="dxa"/>
            <w:tcMar>
              <w:left w:w="28" w:type="dxa"/>
              <w:right w:w="28" w:type="dxa"/>
            </w:tcMar>
            <w:vAlign w:val="center"/>
          </w:tcPr>
          <w:p w14:paraId="66BC5277">
            <w:pPr>
              <w:pStyle w:val="53"/>
              <w:spacing w:beforeLines="0" w:afterLines="0" w:line="240" w:lineRule="auto"/>
              <w:ind w:firstLine="0" w:firstLineChars="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w:t>
            </w:r>
          </w:p>
          <w:p w14:paraId="61B484C2">
            <w:pPr>
              <w:pStyle w:val="53"/>
              <w:spacing w:beforeLines="0" w:afterLines="0" w:line="240" w:lineRule="auto"/>
              <w:ind w:firstLine="0" w:firstLineChars="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⑤</w:t>
            </w:r>
            <w:r>
              <w:rPr>
                <w:rFonts w:hint="default" w:ascii="Times New Roman" w:hAnsi="Times New Roman" w:eastAsia="宋体" w:cs="Times New Roman"/>
                <w:snapToGrid w:val="0"/>
                <w:color w:val="auto"/>
                <w:spacing w:val="-16"/>
                <w:kern w:val="21"/>
                <w:szCs w:val="21"/>
              </w:rPr>
              <w:fldChar w:fldCharType="end"/>
            </w:r>
          </w:p>
        </w:tc>
        <w:tc>
          <w:tcPr>
            <w:tcW w:w="1730" w:type="dxa"/>
            <w:tcMar>
              <w:left w:w="28" w:type="dxa"/>
              <w:right w:w="28" w:type="dxa"/>
            </w:tcMar>
            <w:vAlign w:val="center"/>
          </w:tcPr>
          <w:p w14:paraId="6555E509">
            <w:pPr>
              <w:pStyle w:val="53"/>
              <w:spacing w:beforeLines="0" w:afterLines="0" w:line="240" w:lineRule="auto"/>
              <w:ind w:firstLine="0" w:firstLineChars="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w:t>
            </w:r>
          </w:p>
          <w:p w14:paraId="2B406CF4">
            <w:pPr>
              <w:pStyle w:val="53"/>
              <w:spacing w:beforeLines="0" w:afterLines="0" w:line="240" w:lineRule="auto"/>
              <w:ind w:firstLine="0" w:firstLineChars="0"/>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全厂排放量（固体废物产生量）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⑥</w:t>
            </w:r>
            <w:r>
              <w:rPr>
                <w:rFonts w:hint="default" w:ascii="Times New Roman" w:hAnsi="Times New Roman" w:eastAsia="宋体" w:cs="Times New Roman"/>
                <w:snapToGrid w:val="0"/>
                <w:color w:val="auto"/>
                <w:spacing w:val="-16"/>
                <w:kern w:val="21"/>
                <w:szCs w:val="21"/>
              </w:rPr>
              <w:fldChar w:fldCharType="end"/>
            </w:r>
          </w:p>
        </w:tc>
        <w:tc>
          <w:tcPr>
            <w:tcW w:w="1582" w:type="dxa"/>
            <w:tcMar>
              <w:left w:w="28" w:type="dxa"/>
              <w:right w:w="28" w:type="dxa"/>
            </w:tcMar>
            <w:vAlign w:val="center"/>
          </w:tcPr>
          <w:p w14:paraId="61A08895">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w:t>
            </w:r>
          </w:p>
          <w:p w14:paraId="66A4A1F4">
            <w:pPr>
              <w:pStyle w:val="53"/>
              <w:spacing w:beforeLines="0" w:afterLines="0" w:line="240" w:lineRule="auto"/>
              <w:ind w:firstLine="0" w:firstLineChar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⑦</w:t>
            </w:r>
            <w:r>
              <w:rPr>
                <w:rFonts w:hint="default" w:ascii="Times New Roman" w:hAnsi="Times New Roman" w:eastAsia="宋体" w:cs="Times New Roman"/>
                <w:snapToGrid w:val="0"/>
                <w:color w:val="auto"/>
                <w:spacing w:val="-6"/>
                <w:kern w:val="21"/>
                <w:szCs w:val="21"/>
              </w:rPr>
              <w:fldChar w:fldCharType="end"/>
            </w:r>
          </w:p>
        </w:tc>
      </w:tr>
      <w:tr w14:paraId="63F13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restart"/>
            <w:vAlign w:val="center"/>
          </w:tcPr>
          <w:p w14:paraId="17D0931A">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废气</w:t>
            </w:r>
          </w:p>
        </w:tc>
        <w:tc>
          <w:tcPr>
            <w:tcW w:w="1388" w:type="dxa"/>
            <w:vAlign w:val="center"/>
          </w:tcPr>
          <w:p w14:paraId="37A809E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颗粒物</w:t>
            </w:r>
          </w:p>
        </w:tc>
        <w:tc>
          <w:tcPr>
            <w:tcW w:w="1537" w:type="dxa"/>
            <w:vAlign w:val="center"/>
          </w:tcPr>
          <w:p w14:paraId="4490213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4.128</w:t>
            </w:r>
            <w:r>
              <w:rPr>
                <w:rFonts w:hint="default" w:ascii="Times New Roman" w:hAnsi="Times New Roman" w:eastAsia="宋体" w:cs="Times New Roman"/>
                <w:b w:val="0"/>
                <w:bCs/>
                <w:color w:val="auto"/>
                <w:sz w:val="21"/>
                <w:szCs w:val="21"/>
                <w:lang w:val="en-US" w:eastAsia="zh-CN"/>
              </w:rPr>
              <w:t>t/a</w:t>
            </w:r>
          </w:p>
        </w:tc>
        <w:tc>
          <w:tcPr>
            <w:tcW w:w="1275" w:type="dxa"/>
            <w:vAlign w:val="center"/>
          </w:tcPr>
          <w:p w14:paraId="6856BCA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628F462D">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2D84167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0.46t/a</w:t>
            </w:r>
          </w:p>
        </w:tc>
        <w:tc>
          <w:tcPr>
            <w:tcW w:w="1575" w:type="dxa"/>
            <w:vAlign w:val="center"/>
          </w:tcPr>
          <w:p w14:paraId="3F5DF50C">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3.94</w:t>
            </w:r>
            <w:r>
              <w:rPr>
                <w:rFonts w:hint="default" w:ascii="Times New Roman" w:hAnsi="Times New Roman" w:eastAsia="宋体" w:cs="Times New Roman"/>
                <w:b w:val="0"/>
                <w:bCs/>
                <w:color w:val="auto"/>
                <w:sz w:val="21"/>
                <w:szCs w:val="21"/>
                <w:lang w:val="en-US" w:eastAsia="zh-CN"/>
              </w:rPr>
              <w:t>t/a</w:t>
            </w:r>
          </w:p>
        </w:tc>
        <w:tc>
          <w:tcPr>
            <w:tcW w:w="1730" w:type="dxa"/>
            <w:vAlign w:val="center"/>
          </w:tcPr>
          <w:p w14:paraId="128E9AD7">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0.46t/a</w:t>
            </w:r>
          </w:p>
        </w:tc>
        <w:tc>
          <w:tcPr>
            <w:tcW w:w="1582" w:type="dxa"/>
            <w:vAlign w:val="center"/>
          </w:tcPr>
          <w:p w14:paraId="03D6D68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-3.668t/a</w:t>
            </w:r>
          </w:p>
        </w:tc>
      </w:tr>
      <w:tr w14:paraId="68603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386FA624">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2E45847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二氧化硫</w:t>
            </w:r>
          </w:p>
        </w:tc>
        <w:tc>
          <w:tcPr>
            <w:tcW w:w="1537" w:type="dxa"/>
            <w:vAlign w:val="center"/>
          </w:tcPr>
          <w:p w14:paraId="3BF713A8">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1.248</w:t>
            </w:r>
            <w:r>
              <w:rPr>
                <w:rFonts w:hint="default" w:ascii="Times New Roman" w:hAnsi="Times New Roman" w:eastAsia="宋体" w:cs="Times New Roman"/>
                <w:b w:val="0"/>
                <w:bCs/>
                <w:color w:val="auto"/>
                <w:sz w:val="21"/>
                <w:szCs w:val="21"/>
                <w:lang w:val="en-US" w:eastAsia="zh-CN"/>
              </w:rPr>
              <w:t>t/a</w:t>
            </w:r>
          </w:p>
        </w:tc>
        <w:tc>
          <w:tcPr>
            <w:tcW w:w="1275" w:type="dxa"/>
            <w:vAlign w:val="center"/>
          </w:tcPr>
          <w:p w14:paraId="10B9F2B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48A22D47">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10AFD6D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rPr>
              <w:t>0.27</w:t>
            </w:r>
            <w:r>
              <w:rPr>
                <w:rFonts w:hint="default" w:ascii="Times New Roman" w:hAnsi="Times New Roman" w:eastAsia="宋体" w:cs="Times New Roman"/>
                <w:color w:val="auto"/>
                <w:sz w:val="21"/>
                <w:szCs w:val="21"/>
                <w:lang w:val="en-US" w:eastAsia="zh-CN"/>
              </w:rPr>
              <w:t>t/a</w:t>
            </w:r>
          </w:p>
        </w:tc>
        <w:tc>
          <w:tcPr>
            <w:tcW w:w="1575" w:type="dxa"/>
            <w:vAlign w:val="center"/>
          </w:tcPr>
          <w:p w14:paraId="44D27623">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2.37</w:t>
            </w:r>
            <w:r>
              <w:rPr>
                <w:rFonts w:hint="default" w:ascii="Times New Roman" w:hAnsi="Times New Roman" w:eastAsia="宋体" w:cs="Times New Roman"/>
                <w:b w:val="0"/>
                <w:bCs/>
                <w:color w:val="auto"/>
                <w:sz w:val="21"/>
                <w:szCs w:val="21"/>
                <w:lang w:val="en-US" w:eastAsia="zh-CN"/>
              </w:rPr>
              <w:t>t/a</w:t>
            </w:r>
          </w:p>
        </w:tc>
        <w:tc>
          <w:tcPr>
            <w:tcW w:w="1730" w:type="dxa"/>
            <w:vAlign w:val="center"/>
          </w:tcPr>
          <w:p w14:paraId="590AE9B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rPr>
              <w:t>0.27</w:t>
            </w:r>
            <w:r>
              <w:rPr>
                <w:rFonts w:hint="default" w:ascii="Times New Roman" w:hAnsi="Times New Roman" w:eastAsia="宋体" w:cs="Times New Roman"/>
                <w:color w:val="auto"/>
                <w:sz w:val="21"/>
                <w:szCs w:val="21"/>
                <w:lang w:val="en-US" w:eastAsia="zh-CN"/>
              </w:rPr>
              <w:t>t/a</w:t>
            </w:r>
          </w:p>
        </w:tc>
        <w:tc>
          <w:tcPr>
            <w:tcW w:w="1582" w:type="dxa"/>
            <w:vAlign w:val="center"/>
          </w:tcPr>
          <w:p w14:paraId="12B5ED6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-0.978t/a</w:t>
            </w:r>
          </w:p>
        </w:tc>
      </w:tr>
      <w:tr w14:paraId="472E0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63B02055">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1FCC883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氮氧化物</w:t>
            </w:r>
          </w:p>
        </w:tc>
        <w:tc>
          <w:tcPr>
            <w:tcW w:w="1537" w:type="dxa"/>
            <w:vAlign w:val="center"/>
          </w:tcPr>
          <w:p w14:paraId="669BA795">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13.344</w:t>
            </w:r>
            <w:r>
              <w:rPr>
                <w:rFonts w:hint="default" w:ascii="Times New Roman" w:hAnsi="Times New Roman" w:eastAsia="宋体" w:cs="Times New Roman"/>
                <w:b w:val="0"/>
                <w:bCs/>
                <w:color w:val="auto"/>
                <w:sz w:val="21"/>
                <w:szCs w:val="21"/>
                <w:lang w:val="en-US" w:eastAsia="zh-CN"/>
              </w:rPr>
              <w:t>t/a</w:t>
            </w:r>
          </w:p>
        </w:tc>
        <w:tc>
          <w:tcPr>
            <w:tcW w:w="1275" w:type="dxa"/>
            <w:vAlign w:val="center"/>
          </w:tcPr>
          <w:p w14:paraId="285773B6">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5AF5819F">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59AA46F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rPr>
              <w:t>1.81</w:t>
            </w:r>
            <w:r>
              <w:rPr>
                <w:rFonts w:hint="default" w:ascii="Times New Roman" w:hAnsi="Times New Roman" w:eastAsia="宋体" w:cs="Times New Roman"/>
                <w:color w:val="auto"/>
                <w:sz w:val="21"/>
                <w:szCs w:val="21"/>
                <w:lang w:val="en-US" w:eastAsia="zh-CN"/>
              </w:rPr>
              <w:t>t/a</w:t>
            </w:r>
          </w:p>
        </w:tc>
        <w:tc>
          <w:tcPr>
            <w:tcW w:w="1575" w:type="dxa"/>
            <w:vAlign w:val="center"/>
          </w:tcPr>
          <w:p w14:paraId="6ED7CF3E">
            <w:pPr>
              <w:pStyle w:val="32"/>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9.39</w:t>
            </w:r>
            <w:r>
              <w:rPr>
                <w:rFonts w:hint="default" w:ascii="Times New Roman" w:hAnsi="Times New Roman" w:eastAsia="宋体" w:cs="Times New Roman"/>
                <w:b w:val="0"/>
                <w:bCs/>
                <w:color w:val="auto"/>
                <w:sz w:val="21"/>
                <w:szCs w:val="21"/>
                <w:lang w:val="en-US" w:eastAsia="zh-CN"/>
              </w:rPr>
              <w:t>t/a</w:t>
            </w:r>
          </w:p>
        </w:tc>
        <w:tc>
          <w:tcPr>
            <w:tcW w:w="1730" w:type="dxa"/>
            <w:vAlign w:val="center"/>
          </w:tcPr>
          <w:p w14:paraId="43BBB3B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rPr>
              <w:t>1.81</w:t>
            </w:r>
            <w:r>
              <w:rPr>
                <w:rFonts w:hint="default" w:ascii="Times New Roman" w:hAnsi="Times New Roman" w:eastAsia="宋体" w:cs="Times New Roman"/>
                <w:color w:val="auto"/>
                <w:sz w:val="21"/>
                <w:szCs w:val="21"/>
                <w:lang w:val="en-US" w:eastAsia="zh-CN"/>
              </w:rPr>
              <w:t>t/a</w:t>
            </w:r>
          </w:p>
        </w:tc>
        <w:tc>
          <w:tcPr>
            <w:tcW w:w="1582" w:type="dxa"/>
            <w:vAlign w:val="center"/>
          </w:tcPr>
          <w:p w14:paraId="33806B3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-11.534t/a</w:t>
            </w:r>
          </w:p>
        </w:tc>
      </w:tr>
      <w:tr w14:paraId="1DD24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2E0B8154">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588070D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非甲烷总烃</w:t>
            </w:r>
          </w:p>
        </w:tc>
        <w:tc>
          <w:tcPr>
            <w:tcW w:w="1537" w:type="dxa"/>
            <w:vAlign w:val="center"/>
          </w:tcPr>
          <w:p w14:paraId="604F1B75">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0.0</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3t/a</w:t>
            </w:r>
          </w:p>
        </w:tc>
        <w:tc>
          <w:tcPr>
            <w:tcW w:w="1275" w:type="dxa"/>
            <w:vAlign w:val="center"/>
          </w:tcPr>
          <w:p w14:paraId="019EB870">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1C1905A6">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027378CA">
            <w:pPr>
              <w:spacing w:before="60" w:beforeLines="25" w:after="60" w:afterLines="25"/>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p>
        </w:tc>
        <w:tc>
          <w:tcPr>
            <w:tcW w:w="1575" w:type="dxa"/>
            <w:vAlign w:val="center"/>
          </w:tcPr>
          <w:p w14:paraId="0756D9B5">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730" w:type="dxa"/>
            <w:vAlign w:val="center"/>
          </w:tcPr>
          <w:p w14:paraId="4A6DB52C">
            <w:pPr>
              <w:spacing w:before="60" w:beforeLines="25" w:after="60" w:afterLines="25"/>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3t/a</w:t>
            </w:r>
          </w:p>
        </w:tc>
        <w:tc>
          <w:tcPr>
            <w:tcW w:w="1582" w:type="dxa"/>
            <w:vAlign w:val="center"/>
          </w:tcPr>
          <w:p w14:paraId="248FCD36">
            <w:pPr>
              <w:spacing w:before="60" w:beforeLines="25" w:after="60" w:afterLines="25"/>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lang w:val="en-US" w:eastAsia="zh-CN"/>
              </w:rPr>
              <w:t>/</w:t>
            </w:r>
          </w:p>
        </w:tc>
      </w:tr>
      <w:tr w14:paraId="20828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restart"/>
            <w:vAlign w:val="center"/>
          </w:tcPr>
          <w:p w14:paraId="60E6A5F5">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w:t>
            </w:r>
          </w:p>
        </w:tc>
        <w:tc>
          <w:tcPr>
            <w:tcW w:w="1388" w:type="dxa"/>
            <w:vAlign w:val="center"/>
          </w:tcPr>
          <w:p w14:paraId="0B798717">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水量</w:t>
            </w:r>
          </w:p>
        </w:tc>
        <w:tc>
          <w:tcPr>
            <w:tcW w:w="1537" w:type="dxa"/>
            <w:vAlign w:val="center"/>
          </w:tcPr>
          <w:p w14:paraId="5040441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275" w:type="dxa"/>
            <w:vAlign w:val="center"/>
          </w:tcPr>
          <w:p w14:paraId="4C80EBD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08E3730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18C01BE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m³/a</w:t>
            </w:r>
          </w:p>
        </w:tc>
        <w:tc>
          <w:tcPr>
            <w:tcW w:w="1575" w:type="dxa"/>
            <w:vAlign w:val="center"/>
          </w:tcPr>
          <w:p w14:paraId="1CFA156D">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730" w:type="dxa"/>
            <w:vAlign w:val="center"/>
          </w:tcPr>
          <w:p w14:paraId="4114C127">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m³/a</w:t>
            </w:r>
          </w:p>
        </w:tc>
        <w:tc>
          <w:tcPr>
            <w:tcW w:w="1582" w:type="dxa"/>
            <w:vAlign w:val="center"/>
          </w:tcPr>
          <w:p w14:paraId="5442C4B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r>
      <w:tr w14:paraId="07F3B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55ACC887">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45DEF46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CODcr</w:t>
            </w:r>
          </w:p>
        </w:tc>
        <w:tc>
          <w:tcPr>
            <w:tcW w:w="1537" w:type="dxa"/>
            <w:vAlign w:val="center"/>
          </w:tcPr>
          <w:p w14:paraId="5CA9890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0.0891kg/a</w:t>
            </w:r>
          </w:p>
        </w:tc>
        <w:tc>
          <w:tcPr>
            <w:tcW w:w="1275" w:type="dxa"/>
            <w:vAlign w:val="center"/>
          </w:tcPr>
          <w:p w14:paraId="42ED05F7">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4C93E607">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2C1AE709">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75" w:type="dxa"/>
            <w:vAlign w:val="center"/>
          </w:tcPr>
          <w:p w14:paraId="3DE24F6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0.0891kg/a</w:t>
            </w:r>
          </w:p>
        </w:tc>
        <w:tc>
          <w:tcPr>
            <w:tcW w:w="1730" w:type="dxa"/>
            <w:vAlign w:val="center"/>
          </w:tcPr>
          <w:p w14:paraId="04445E77">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82" w:type="dxa"/>
            <w:vAlign w:val="center"/>
          </w:tcPr>
          <w:p w14:paraId="4BE0B91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-0.0891kg/a</w:t>
            </w:r>
          </w:p>
        </w:tc>
      </w:tr>
      <w:tr w14:paraId="33C52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5E4BEA00">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221E151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色度</w:t>
            </w:r>
          </w:p>
        </w:tc>
        <w:tc>
          <w:tcPr>
            <w:tcW w:w="1537" w:type="dxa"/>
            <w:vAlign w:val="center"/>
          </w:tcPr>
          <w:p w14:paraId="6B1E84A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c>
          <w:tcPr>
            <w:tcW w:w="1275" w:type="dxa"/>
            <w:vAlign w:val="center"/>
          </w:tcPr>
          <w:p w14:paraId="09D3453A">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2912CC0D">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22385909">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75" w:type="dxa"/>
            <w:vAlign w:val="center"/>
          </w:tcPr>
          <w:p w14:paraId="38D0B4D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c>
          <w:tcPr>
            <w:tcW w:w="1730" w:type="dxa"/>
            <w:vAlign w:val="center"/>
          </w:tcPr>
          <w:p w14:paraId="4F71201D">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82" w:type="dxa"/>
            <w:vAlign w:val="center"/>
          </w:tcPr>
          <w:p w14:paraId="50B2597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/（无量纲）</w:t>
            </w:r>
          </w:p>
        </w:tc>
      </w:tr>
      <w:tr w14:paraId="5BC96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1ACA93E3">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6734598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SS</w:t>
            </w:r>
          </w:p>
        </w:tc>
        <w:tc>
          <w:tcPr>
            <w:tcW w:w="1537" w:type="dxa"/>
            <w:vAlign w:val="center"/>
          </w:tcPr>
          <w:p w14:paraId="47D5B94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0.2584kg/a</w:t>
            </w:r>
          </w:p>
        </w:tc>
        <w:tc>
          <w:tcPr>
            <w:tcW w:w="1275" w:type="dxa"/>
            <w:vAlign w:val="center"/>
          </w:tcPr>
          <w:p w14:paraId="0635AAA4">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5610C9B1">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697F89CF">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75" w:type="dxa"/>
            <w:vAlign w:val="center"/>
          </w:tcPr>
          <w:p w14:paraId="14E21E6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0.2584kg/a</w:t>
            </w:r>
          </w:p>
        </w:tc>
        <w:tc>
          <w:tcPr>
            <w:tcW w:w="1730" w:type="dxa"/>
            <w:vAlign w:val="center"/>
          </w:tcPr>
          <w:p w14:paraId="0601683D">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82" w:type="dxa"/>
            <w:vAlign w:val="center"/>
          </w:tcPr>
          <w:p w14:paraId="45FA4A8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-0.2584kg/a</w:t>
            </w:r>
          </w:p>
        </w:tc>
      </w:tr>
      <w:tr w14:paraId="5F2FF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71BD122C">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25EABE9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S</w:t>
            </w:r>
            <w:r>
              <w:rPr>
                <w:rFonts w:hint="default" w:ascii="Times New Roman" w:hAnsi="Times New Roman" w:eastAsia="宋体" w:cs="Times New Roman"/>
                <w:b w:val="0"/>
                <w:bCs w:val="0"/>
                <w:color w:val="auto"/>
                <w:kern w:val="2"/>
                <w:sz w:val="21"/>
                <w:szCs w:val="21"/>
                <w:vertAlign w:val="superscript"/>
                <w:lang w:val="en-US" w:eastAsia="zh-CN" w:bidi="ar-SA"/>
              </w:rPr>
              <w:t>2-</w:t>
            </w:r>
          </w:p>
        </w:tc>
        <w:tc>
          <w:tcPr>
            <w:tcW w:w="1537" w:type="dxa"/>
            <w:vAlign w:val="center"/>
          </w:tcPr>
          <w:p w14:paraId="0B2FFD5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0.00006kg/a</w:t>
            </w:r>
          </w:p>
        </w:tc>
        <w:tc>
          <w:tcPr>
            <w:tcW w:w="1275" w:type="dxa"/>
            <w:vAlign w:val="center"/>
          </w:tcPr>
          <w:p w14:paraId="1A5EB5D4">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11C9DEEC">
            <w:pPr>
              <w:spacing w:before="60" w:after="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7D7003F1">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75" w:type="dxa"/>
            <w:vAlign w:val="center"/>
          </w:tcPr>
          <w:p w14:paraId="2D536E2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kern w:val="2"/>
                <w:sz w:val="21"/>
                <w:szCs w:val="21"/>
                <w:vertAlign w:val="baseline"/>
                <w:lang w:val="en-US" w:eastAsia="zh-CN" w:bidi="ar-SA"/>
              </w:rPr>
              <w:t>0.00006kg/a</w:t>
            </w:r>
          </w:p>
        </w:tc>
        <w:tc>
          <w:tcPr>
            <w:tcW w:w="1730" w:type="dxa"/>
            <w:vAlign w:val="center"/>
          </w:tcPr>
          <w:p w14:paraId="05B822D0">
            <w:pPr>
              <w:spacing w:before="60" w:after="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82" w:type="dxa"/>
            <w:vAlign w:val="center"/>
          </w:tcPr>
          <w:p w14:paraId="7DA0227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1"/>
                <w:szCs w:val="21"/>
                <w:vertAlign w:val="baseline"/>
                <w:lang w:val="en-US" w:eastAsia="zh-CN" w:bidi="ar-SA"/>
              </w:rPr>
              <w:t>-0.00006kg/a</w:t>
            </w:r>
          </w:p>
        </w:tc>
      </w:tr>
      <w:tr w14:paraId="47C2D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791" w:type="dxa"/>
            <w:gridSpan w:val="2"/>
            <w:vAlign w:val="center"/>
          </w:tcPr>
          <w:p w14:paraId="7F041A7D">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1537" w:type="dxa"/>
            <w:vAlign w:val="center"/>
          </w:tcPr>
          <w:p w14:paraId="5B793674">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t/a</w:t>
            </w:r>
          </w:p>
        </w:tc>
        <w:tc>
          <w:tcPr>
            <w:tcW w:w="1275" w:type="dxa"/>
            <w:vAlign w:val="center"/>
          </w:tcPr>
          <w:p w14:paraId="542AE285">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0C40F51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3308297C">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c>
          <w:tcPr>
            <w:tcW w:w="1575" w:type="dxa"/>
            <w:vAlign w:val="center"/>
          </w:tcPr>
          <w:p w14:paraId="5B2C4C9E">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730" w:type="dxa"/>
            <w:vAlign w:val="center"/>
          </w:tcPr>
          <w:p w14:paraId="4D8429AE">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t/a</w:t>
            </w:r>
          </w:p>
        </w:tc>
        <w:tc>
          <w:tcPr>
            <w:tcW w:w="1582" w:type="dxa"/>
            <w:vAlign w:val="center"/>
          </w:tcPr>
          <w:p w14:paraId="623FE1B5">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r>
      <w:tr w14:paraId="65747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restart"/>
            <w:vAlign w:val="center"/>
          </w:tcPr>
          <w:p w14:paraId="1833853B">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一般工业</w:t>
            </w:r>
          </w:p>
          <w:p w14:paraId="0B8AF83C">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固体废物</w:t>
            </w:r>
          </w:p>
        </w:tc>
        <w:tc>
          <w:tcPr>
            <w:tcW w:w="1388" w:type="dxa"/>
            <w:vAlign w:val="center"/>
          </w:tcPr>
          <w:p w14:paraId="6D61DA6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水膜除尘渣和沉淀池污泥</w:t>
            </w:r>
          </w:p>
        </w:tc>
        <w:tc>
          <w:tcPr>
            <w:tcW w:w="1537" w:type="dxa"/>
            <w:vAlign w:val="center"/>
          </w:tcPr>
          <w:p w14:paraId="5E05967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val="0"/>
                <w:bCs/>
                <w:color w:val="auto"/>
                <w:sz w:val="21"/>
                <w:szCs w:val="21"/>
                <w:lang w:val="en-US" w:eastAsia="zh-CN"/>
              </w:rPr>
              <w:t>43t/a</w:t>
            </w:r>
          </w:p>
        </w:tc>
        <w:tc>
          <w:tcPr>
            <w:tcW w:w="1275" w:type="dxa"/>
            <w:vAlign w:val="center"/>
          </w:tcPr>
          <w:p w14:paraId="176AFBE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7E4D7845">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7D0BDC3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0t/a</w:t>
            </w:r>
          </w:p>
        </w:tc>
        <w:tc>
          <w:tcPr>
            <w:tcW w:w="1575" w:type="dxa"/>
            <w:vAlign w:val="center"/>
          </w:tcPr>
          <w:p w14:paraId="4B0CDCA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val="0"/>
                <w:bCs/>
                <w:color w:val="auto"/>
                <w:sz w:val="21"/>
                <w:szCs w:val="21"/>
                <w:lang w:val="en-US" w:eastAsia="zh-CN"/>
              </w:rPr>
              <w:t>43t/a</w:t>
            </w:r>
          </w:p>
        </w:tc>
        <w:tc>
          <w:tcPr>
            <w:tcW w:w="1730" w:type="dxa"/>
            <w:vAlign w:val="center"/>
          </w:tcPr>
          <w:p w14:paraId="477A2AC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0t/a</w:t>
            </w:r>
          </w:p>
        </w:tc>
        <w:tc>
          <w:tcPr>
            <w:tcW w:w="1582" w:type="dxa"/>
            <w:vAlign w:val="center"/>
          </w:tcPr>
          <w:p w14:paraId="34C7863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-43t/a</w:t>
            </w:r>
          </w:p>
        </w:tc>
      </w:tr>
      <w:tr w14:paraId="10A5D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5D2B0FDD">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702DF22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炉渣</w:t>
            </w:r>
          </w:p>
        </w:tc>
        <w:tc>
          <w:tcPr>
            <w:tcW w:w="1537" w:type="dxa"/>
            <w:vAlign w:val="center"/>
          </w:tcPr>
          <w:p w14:paraId="32B548D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36t/a</w:t>
            </w:r>
          </w:p>
        </w:tc>
        <w:tc>
          <w:tcPr>
            <w:tcW w:w="1275" w:type="dxa"/>
            <w:vAlign w:val="center"/>
          </w:tcPr>
          <w:p w14:paraId="3EC1FC4E">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2945DA45">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6B18A02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0t/a</w:t>
            </w:r>
          </w:p>
        </w:tc>
        <w:tc>
          <w:tcPr>
            <w:tcW w:w="1575" w:type="dxa"/>
            <w:vAlign w:val="center"/>
          </w:tcPr>
          <w:p w14:paraId="6F8ACED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36t/a</w:t>
            </w:r>
          </w:p>
        </w:tc>
        <w:tc>
          <w:tcPr>
            <w:tcW w:w="1730" w:type="dxa"/>
            <w:vAlign w:val="center"/>
          </w:tcPr>
          <w:p w14:paraId="4850B4D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0t/a</w:t>
            </w:r>
          </w:p>
        </w:tc>
        <w:tc>
          <w:tcPr>
            <w:tcW w:w="1582" w:type="dxa"/>
            <w:vAlign w:val="center"/>
          </w:tcPr>
          <w:p w14:paraId="2CF220F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-36t/a</w:t>
            </w:r>
          </w:p>
        </w:tc>
      </w:tr>
      <w:tr w14:paraId="20D11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34F88BA0">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339DC80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多管除尘渣、布袋除尘渣</w:t>
            </w:r>
          </w:p>
        </w:tc>
        <w:tc>
          <w:tcPr>
            <w:tcW w:w="1537" w:type="dxa"/>
            <w:vAlign w:val="center"/>
          </w:tcPr>
          <w:p w14:paraId="1C6C9E0A">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275" w:type="dxa"/>
            <w:vAlign w:val="center"/>
          </w:tcPr>
          <w:p w14:paraId="10297224">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6F7F7BD5">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54E4604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lang w:val="en-US" w:eastAsia="zh-CN" w:bidi="ar-SA"/>
              </w:rPr>
              <w:t>44.04t/a</w:t>
            </w:r>
          </w:p>
        </w:tc>
        <w:tc>
          <w:tcPr>
            <w:tcW w:w="1575" w:type="dxa"/>
            <w:vAlign w:val="center"/>
          </w:tcPr>
          <w:p w14:paraId="304D7C6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w:t>
            </w:r>
          </w:p>
        </w:tc>
        <w:tc>
          <w:tcPr>
            <w:tcW w:w="1730" w:type="dxa"/>
            <w:vAlign w:val="center"/>
          </w:tcPr>
          <w:p w14:paraId="0C15B09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lang w:val="en-US" w:eastAsia="zh-CN" w:bidi="ar-SA"/>
              </w:rPr>
              <w:t>44.04t/a</w:t>
            </w:r>
          </w:p>
        </w:tc>
        <w:tc>
          <w:tcPr>
            <w:tcW w:w="1582" w:type="dxa"/>
            <w:vAlign w:val="center"/>
          </w:tcPr>
          <w:p w14:paraId="6F2B9EE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color w:val="auto"/>
                <w:kern w:val="2"/>
                <w:sz w:val="21"/>
                <w:szCs w:val="21"/>
                <w:highlight w:val="none"/>
                <w:lang w:val="en-US" w:eastAsia="zh-CN" w:bidi="ar-SA"/>
              </w:rPr>
              <w:t>44.04t/a</w:t>
            </w:r>
          </w:p>
        </w:tc>
      </w:tr>
      <w:tr w14:paraId="6771A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21A1DDE4">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61D8BBDE">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废包装材料</w:t>
            </w:r>
          </w:p>
        </w:tc>
        <w:tc>
          <w:tcPr>
            <w:tcW w:w="1537" w:type="dxa"/>
            <w:vAlign w:val="center"/>
          </w:tcPr>
          <w:p w14:paraId="2F7B0727">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w:t>
            </w:r>
            <w:r>
              <w:rPr>
                <w:rFonts w:hint="default" w:ascii="Times New Roman" w:hAnsi="Times New Roman" w:eastAsia="宋体" w:cs="Times New Roman"/>
                <w:b w:val="0"/>
                <w:bCs/>
                <w:color w:val="auto"/>
                <w:sz w:val="21"/>
                <w:szCs w:val="21"/>
                <w:lang w:val="en-US" w:eastAsia="zh-CN"/>
              </w:rPr>
              <w:t>t/a</w:t>
            </w:r>
          </w:p>
        </w:tc>
        <w:tc>
          <w:tcPr>
            <w:tcW w:w="1275" w:type="dxa"/>
            <w:vAlign w:val="center"/>
          </w:tcPr>
          <w:p w14:paraId="72980B09">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5CEE0634">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4040F08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8t/a</w:t>
            </w:r>
          </w:p>
        </w:tc>
        <w:tc>
          <w:tcPr>
            <w:tcW w:w="1575" w:type="dxa"/>
            <w:vAlign w:val="center"/>
          </w:tcPr>
          <w:p w14:paraId="1397658A">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t/a</w:t>
            </w:r>
          </w:p>
        </w:tc>
        <w:tc>
          <w:tcPr>
            <w:tcW w:w="1730" w:type="dxa"/>
            <w:vAlign w:val="center"/>
          </w:tcPr>
          <w:p w14:paraId="7AE585F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14t/a</w:t>
            </w:r>
          </w:p>
        </w:tc>
        <w:tc>
          <w:tcPr>
            <w:tcW w:w="1582" w:type="dxa"/>
            <w:vAlign w:val="center"/>
          </w:tcPr>
          <w:p w14:paraId="697E7F8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+8t/a</w:t>
            </w:r>
          </w:p>
        </w:tc>
      </w:tr>
      <w:tr w14:paraId="7B5A0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331665B8">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145A12D8">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highlight w:val="none"/>
                <w:lang w:val="en-US" w:eastAsia="zh-CN"/>
              </w:rPr>
              <w:t>废乳胶渣</w:t>
            </w:r>
          </w:p>
        </w:tc>
        <w:tc>
          <w:tcPr>
            <w:tcW w:w="1537" w:type="dxa"/>
            <w:vAlign w:val="center"/>
          </w:tcPr>
          <w:p w14:paraId="61F81C2E">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0.035</w:t>
            </w:r>
            <w:r>
              <w:rPr>
                <w:rFonts w:hint="default" w:ascii="Times New Roman" w:hAnsi="Times New Roman" w:eastAsia="宋体" w:cs="Times New Roman"/>
                <w:color w:val="auto"/>
                <w:sz w:val="21"/>
                <w:szCs w:val="21"/>
              </w:rPr>
              <w:t>t/a</w:t>
            </w:r>
          </w:p>
        </w:tc>
        <w:tc>
          <w:tcPr>
            <w:tcW w:w="1275" w:type="dxa"/>
            <w:vAlign w:val="center"/>
          </w:tcPr>
          <w:p w14:paraId="3FA467E9">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77669F3D">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7EF25D9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t/a</w:t>
            </w:r>
          </w:p>
        </w:tc>
        <w:tc>
          <w:tcPr>
            <w:tcW w:w="1575" w:type="dxa"/>
            <w:vAlign w:val="center"/>
          </w:tcPr>
          <w:p w14:paraId="5942D03C">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t/a</w:t>
            </w:r>
          </w:p>
        </w:tc>
        <w:tc>
          <w:tcPr>
            <w:tcW w:w="1730" w:type="dxa"/>
            <w:vAlign w:val="center"/>
          </w:tcPr>
          <w:p w14:paraId="77D9C64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0.035</w:t>
            </w:r>
            <w:r>
              <w:rPr>
                <w:rFonts w:hint="default" w:ascii="Times New Roman" w:hAnsi="Times New Roman" w:eastAsia="宋体" w:cs="Times New Roman"/>
                <w:color w:val="auto"/>
                <w:sz w:val="21"/>
                <w:szCs w:val="21"/>
              </w:rPr>
              <w:t>t/a</w:t>
            </w:r>
          </w:p>
        </w:tc>
        <w:tc>
          <w:tcPr>
            <w:tcW w:w="1582" w:type="dxa"/>
            <w:vAlign w:val="center"/>
          </w:tcPr>
          <w:p w14:paraId="13394DC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r w14:paraId="74EEA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05D4528E">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586A1008">
            <w:pPr>
              <w:pStyle w:val="32"/>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废淀粉胶渣</w:t>
            </w:r>
          </w:p>
        </w:tc>
        <w:tc>
          <w:tcPr>
            <w:tcW w:w="1537" w:type="dxa"/>
            <w:vAlign w:val="center"/>
          </w:tcPr>
          <w:p w14:paraId="6F80AAC1">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10t/a</w:t>
            </w:r>
          </w:p>
        </w:tc>
        <w:tc>
          <w:tcPr>
            <w:tcW w:w="1275" w:type="dxa"/>
            <w:vAlign w:val="center"/>
          </w:tcPr>
          <w:p w14:paraId="54FB005E">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650" w:type="dxa"/>
            <w:vAlign w:val="center"/>
          </w:tcPr>
          <w:p w14:paraId="54A248EB">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63" w:type="dxa"/>
            <w:vAlign w:val="center"/>
          </w:tcPr>
          <w:p w14:paraId="3E8FD64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8t/a</w:t>
            </w:r>
          </w:p>
        </w:tc>
        <w:tc>
          <w:tcPr>
            <w:tcW w:w="1575" w:type="dxa"/>
            <w:vAlign w:val="center"/>
          </w:tcPr>
          <w:p w14:paraId="00036D22">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w:t>
            </w:r>
          </w:p>
        </w:tc>
        <w:tc>
          <w:tcPr>
            <w:tcW w:w="1730" w:type="dxa"/>
            <w:vAlign w:val="center"/>
          </w:tcPr>
          <w:p w14:paraId="58842DE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8t/a</w:t>
            </w:r>
          </w:p>
        </w:tc>
        <w:tc>
          <w:tcPr>
            <w:tcW w:w="1582" w:type="dxa"/>
            <w:vAlign w:val="center"/>
          </w:tcPr>
          <w:p w14:paraId="20A0557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-2t/a</w:t>
            </w:r>
          </w:p>
        </w:tc>
      </w:tr>
      <w:tr w14:paraId="44B8A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46BDADA5">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7F01B8B5">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边角料和不合格产品</w:t>
            </w:r>
          </w:p>
        </w:tc>
        <w:tc>
          <w:tcPr>
            <w:tcW w:w="1537" w:type="dxa"/>
            <w:vAlign w:val="center"/>
          </w:tcPr>
          <w:p w14:paraId="16FB6B8A">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540</w:t>
            </w:r>
            <w:r>
              <w:rPr>
                <w:rFonts w:hint="default" w:ascii="Times New Roman" w:hAnsi="Times New Roman" w:eastAsia="宋体" w:cs="Times New Roman"/>
                <w:color w:val="auto"/>
              </w:rPr>
              <w:t>t/a</w:t>
            </w:r>
          </w:p>
        </w:tc>
        <w:tc>
          <w:tcPr>
            <w:tcW w:w="1275" w:type="dxa"/>
            <w:vAlign w:val="center"/>
          </w:tcPr>
          <w:p w14:paraId="3957792A">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650" w:type="dxa"/>
            <w:vAlign w:val="center"/>
          </w:tcPr>
          <w:p w14:paraId="3AA16D32">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c>
          <w:tcPr>
            <w:tcW w:w="1563" w:type="dxa"/>
            <w:vAlign w:val="center"/>
          </w:tcPr>
          <w:p w14:paraId="5EBBDF7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240t/a</w:t>
            </w:r>
          </w:p>
        </w:tc>
        <w:tc>
          <w:tcPr>
            <w:tcW w:w="1575" w:type="dxa"/>
            <w:vAlign w:val="center"/>
          </w:tcPr>
          <w:p w14:paraId="3F9279B0">
            <w:pPr>
              <w:pStyle w:val="32"/>
              <w:spacing w:before="60" w:after="6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sz w:val="21"/>
                <w:szCs w:val="21"/>
              </w:rPr>
              <w:t>t/a</w:t>
            </w:r>
          </w:p>
        </w:tc>
        <w:tc>
          <w:tcPr>
            <w:tcW w:w="1730" w:type="dxa"/>
            <w:vAlign w:val="center"/>
          </w:tcPr>
          <w:p w14:paraId="3F944AE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480t/a</w:t>
            </w:r>
          </w:p>
        </w:tc>
        <w:tc>
          <w:tcPr>
            <w:tcW w:w="1582" w:type="dxa"/>
            <w:vAlign w:val="center"/>
          </w:tcPr>
          <w:p w14:paraId="1D0394C6">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-60t/a</w:t>
            </w:r>
          </w:p>
        </w:tc>
      </w:tr>
      <w:tr w14:paraId="10524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39507D0E">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1B23C9E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val="en-US" w:eastAsia="zh-CN"/>
              </w:rPr>
              <w:t>软水制备产生的废石英砂和活性炭</w:t>
            </w:r>
          </w:p>
        </w:tc>
        <w:tc>
          <w:tcPr>
            <w:tcW w:w="1537" w:type="dxa"/>
            <w:vAlign w:val="center"/>
          </w:tcPr>
          <w:p w14:paraId="1B14A52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0.8t/a</w:t>
            </w:r>
          </w:p>
        </w:tc>
        <w:tc>
          <w:tcPr>
            <w:tcW w:w="1275" w:type="dxa"/>
            <w:vAlign w:val="center"/>
          </w:tcPr>
          <w:p w14:paraId="365E8D6A">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15BA4A71">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3F975F6E">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0.5t/a</w:t>
            </w:r>
          </w:p>
        </w:tc>
        <w:tc>
          <w:tcPr>
            <w:tcW w:w="1575" w:type="dxa"/>
            <w:vAlign w:val="center"/>
          </w:tcPr>
          <w:p w14:paraId="626DF48B">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0.8t/a</w:t>
            </w:r>
          </w:p>
        </w:tc>
        <w:tc>
          <w:tcPr>
            <w:tcW w:w="1730" w:type="dxa"/>
            <w:vAlign w:val="center"/>
          </w:tcPr>
          <w:p w14:paraId="1D2E6A9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0.5t/a</w:t>
            </w:r>
          </w:p>
        </w:tc>
        <w:tc>
          <w:tcPr>
            <w:tcW w:w="1582" w:type="dxa"/>
            <w:vAlign w:val="center"/>
          </w:tcPr>
          <w:p w14:paraId="1C1BABA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-0.3t/a</w:t>
            </w:r>
          </w:p>
        </w:tc>
      </w:tr>
      <w:tr w14:paraId="735C5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0AE3374C">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p>
        </w:tc>
        <w:tc>
          <w:tcPr>
            <w:tcW w:w="1388" w:type="dxa"/>
            <w:vAlign w:val="center"/>
          </w:tcPr>
          <w:p w14:paraId="0FAEE90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val="0"/>
                <w:color w:val="auto"/>
                <w:sz w:val="21"/>
                <w:szCs w:val="21"/>
                <w:lang w:val="en-US" w:eastAsia="zh-CN"/>
              </w:rPr>
              <w:t>软水制备产生的</w:t>
            </w:r>
            <w:r>
              <w:rPr>
                <w:rFonts w:hint="default" w:ascii="Times New Roman" w:hAnsi="Times New Roman" w:eastAsia="宋体" w:cs="Times New Roman"/>
                <w:b w:val="0"/>
                <w:bCs/>
                <w:color w:val="auto"/>
                <w:sz w:val="21"/>
                <w:szCs w:val="21"/>
                <w:lang w:val="en-US" w:eastAsia="zh-CN"/>
              </w:rPr>
              <w:t>废离子交换树脂</w:t>
            </w:r>
          </w:p>
        </w:tc>
        <w:tc>
          <w:tcPr>
            <w:tcW w:w="1537" w:type="dxa"/>
            <w:vAlign w:val="center"/>
          </w:tcPr>
          <w:p w14:paraId="442E89A9">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lang w:val="en-US" w:eastAsia="zh-CN"/>
              </w:rPr>
              <w:t>0.8t/a</w:t>
            </w:r>
          </w:p>
        </w:tc>
        <w:tc>
          <w:tcPr>
            <w:tcW w:w="1275" w:type="dxa"/>
            <w:vAlign w:val="center"/>
          </w:tcPr>
          <w:p w14:paraId="4863E33F">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3B11D35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35E54FD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0.5t/a</w:t>
            </w:r>
          </w:p>
        </w:tc>
        <w:tc>
          <w:tcPr>
            <w:tcW w:w="1575" w:type="dxa"/>
            <w:vAlign w:val="center"/>
          </w:tcPr>
          <w:p w14:paraId="39352E3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0.8t/a</w:t>
            </w:r>
          </w:p>
        </w:tc>
        <w:tc>
          <w:tcPr>
            <w:tcW w:w="1730" w:type="dxa"/>
            <w:vAlign w:val="center"/>
          </w:tcPr>
          <w:p w14:paraId="483AF3E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0.5t/a</w:t>
            </w:r>
          </w:p>
        </w:tc>
        <w:tc>
          <w:tcPr>
            <w:tcW w:w="1582" w:type="dxa"/>
            <w:vAlign w:val="center"/>
          </w:tcPr>
          <w:p w14:paraId="18AB0144">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-0.3t/a</w:t>
            </w:r>
          </w:p>
        </w:tc>
      </w:tr>
      <w:tr w14:paraId="66CA0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restart"/>
            <w:vAlign w:val="center"/>
          </w:tcPr>
          <w:p w14:paraId="760DACC8">
            <w:pPr>
              <w:pStyle w:val="53"/>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危险废物</w:t>
            </w:r>
          </w:p>
        </w:tc>
        <w:tc>
          <w:tcPr>
            <w:tcW w:w="1388" w:type="dxa"/>
            <w:vAlign w:val="center"/>
          </w:tcPr>
          <w:p w14:paraId="05AA756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val="0"/>
                <w:bCs/>
                <w:color w:val="auto"/>
                <w:sz w:val="21"/>
                <w:szCs w:val="21"/>
                <w:lang w:eastAsia="zh-CN"/>
              </w:rPr>
              <w:t>废润滑油</w:t>
            </w:r>
            <w:r>
              <w:rPr>
                <w:rFonts w:hint="default" w:ascii="Times New Roman" w:hAnsi="Times New Roman" w:eastAsia="宋体" w:cs="Times New Roman"/>
                <w:b w:val="0"/>
                <w:bCs/>
                <w:color w:val="auto"/>
                <w:sz w:val="21"/>
                <w:szCs w:val="21"/>
                <w:lang w:val="en-US" w:eastAsia="zh-CN"/>
              </w:rPr>
              <w:t>及废润滑油桶</w:t>
            </w:r>
          </w:p>
        </w:tc>
        <w:tc>
          <w:tcPr>
            <w:tcW w:w="1537" w:type="dxa"/>
            <w:vAlign w:val="center"/>
          </w:tcPr>
          <w:p w14:paraId="77660CD6">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0.35</w:t>
            </w:r>
            <w:r>
              <w:rPr>
                <w:rFonts w:hint="default" w:ascii="Times New Roman" w:hAnsi="Times New Roman" w:eastAsia="宋体" w:cs="Times New Roman"/>
                <w:color w:val="auto"/>
              </w:rPr>
              <w:t>t/a</w:t>
            </w:r>
          </w:p>
        </w:tc>
        <w:tc>
          <w:tcPr>
            <w:tcW w:w="1275" w:type="dxa"/>
            <w:vAlign w:val="center"/>
          </w:tcPr>
          <w:p w14:paraId="21075E96">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32C46940">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34067E0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0.15t/a</w:t>
            </w:r>
          </w:p>
        </w:tc>
        <w:tc>
          <w:tcPr>
            <w:tcW w:w="1575" w:type="dxa"/>
            <w:vAlign w:val="center"/>
          </w:tcPr>
          <w:p w14:paraId="781E0B8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0.2t/a</w:t>
            </w:r>
          </w:p>
        </w:tc>
        <w:tc>
          <w:tcPr>
            <w:tcW w:w="1730" w:type="dxa"/>
            <w:vAlign w:val="center"/>
          </w:tcPr>
          <w:p w14:paraId="33AD990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0.3t/a</w:t>
            </w:r>
          </w:p>
        </w:tc>
        <w:tc>
          <w:tcPr>
            <w:tcW w:w="1582" w:type="dxa"/>
            <w:vAlign w:val="center"/>
          </w:tcPr>
          <w:p w14:paraId="25D490F7">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+0.05t/a</w:t>
            </w:r>
          </w:p>
        </w:tc>
      </w:tr>
      <w:tr w14:paraId="440A4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7015E754">
            <w:pPr>
              <w:pStyle w:val="53"/>
              <w:spacing w:beforeLines="0" w:afterLines="0" w:line="240" w:lineRule="auto"/>
              <w:ind w:firstLine="422"/>
              <w:rPr>
                <w:rFonts w:hint="default" w:ascii="Times New Roman" w:hAnsi="Times New Roman" w:eastAsia="宋体" w:cs="Times New Roman"/>
                <w:snapToGrid w:val="0"/>
                <w:color w:val="auto"/>
                <w:kern w:val="21"/>
                <w:szCs w:val="21"/>
              </w:rPr>
            </w:pPr>
          </w:p>
        </w:tc>
        <w:tc>
          <w:tcPr>
            <w:tcW w:w="1388" w:type="dxa"/>
            <w:vAlign w:val="center"/>
          </w:tcPr>
          <w:p w14:paraId="13586EE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废油墨及废油墨桶</w:t>
            </w:r>
          </w:p>
        </w:tc>
        <w:tc>
          <w:tcPr>
            <w:tcW w:w="1537" w:type="dxa"/>
            <w:vAlign w:val="center"/>
          </w:tcPr>
          <w:p w14:paraId="42A3C1FA">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0.26</w:t>
            </w:r>
            <w:r>
              <w:rPr>
                <w:rFonts w:hint="default" w:ascii="Times New Roman" w:hAnsi="Times New Roman" w:eastAsia="宋体" w:cs="Times New Roman"/>
                <w:color w:val="auto"/>
              </w:rPr>
              <w:t>t/a</w:t>
            </w:r>
          </w:p>
        </w:tc>
        <w:tc>
          <w:tcPr>
            <w:tcW w:w="1275" w:type="dxa"/>
            <w:vAlign w:val="center"/>
          </w:tcPr>
          <w:p w14:paraId="1F556BCA">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2B14E14D">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5B14144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0t/a</w:t>
            </w:r>
          </w:p>
        </w:tc>
        <w:tc>
          <w:tcPr>
            <w:tcW w:w="1575" w:type="dxa"/>
            <w:vAlign w:val="center"/>
          </w:tcPr>
          <w:p w14:paraId="2C5B92D5">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0.1t/a</w:t>
            </w:r>
          </w:p>
        </w:tc>
        <w:tc>
          <w:tcPr>
            <w:tcW w:w="1730" w:type="dxa"/>
            <w:vAlign w:val="center"/>
          </w:tcPr>
          <w:p w14:paraId="501CCC7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0.16</w:t>
            </w:r>
            <w:r>
              <w:rPr>
                <w:rFonts w:hint="default" w:ascii="Times New Roman" w:hAnsi="Times New Roman" w:eastAsia="宋体" w:cs="Times New Roman"/>
                <w:color w:val="auto"/>
                <w:sz w:val="21"/>
                <w:szCs w:val="21"/>
              </w:rPr>
              <w:t>t/a</w:t>
            </w:r>
          </w:p>
        </w:tc>
        <w:tc>
          <w:tcPr>
            <w:tcW w:w="1582" w:type="dxa"/>
            <w:vAlign w:val="center"/>
          </w:tcPr>
          <w:p w14:paraId="7BDC0DCC">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+0.06t/a</w:t>
            </w:r>
          </w:p>
        </w:tc>
      </w:tr>
      <w:tr w14:paraId="041E4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59C17031">
            <w:pPr>
              <w:pStyle w:val="53"/>
              <w:spacing w:beforeLines="0" w:afterLines="0" w:line="240" w:lineRule="auto"/>
              <w:ind w:firstLine="422"/>
              <w:rPr>
                <w:rFonts w:hint="default" w:ascii="Times New Roman" w:hAnsi="Times New Roman" w:eastAsia="宋体" w:cs="Times New Roman"/>
                <w:snapToGrid w:val="0"/>
                <w:color w:val="auto"/>
                <w:kern w:val="21"/>
                <w:szCs w:val="21"/>
              </w:rPr>
            </w:pPr>
            <w:bookmarkStart w:id="48" w:name="_Toc24032"/>
            <w:bookmarkStart w:id="49" w:name="_Toc4809"/>
            <w:bookmarkStart w:id="50" w:name="_Toc16586"/>
            <w:bookmarkStart w:id="51" w:name="_Toc23276"/>
          </w:p>
        </w:tc>
        <w:tc>
          <w:tcPr>
            <w:tcW w:w="1388" w:type="dxa"/>
            <w:vAlign w:val="center"/>
          </w:tcPr>
          <w:p w14:paraId="6CF9E2C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废活性炭</w:t>
            </w:r>
          </w:p>
        </w:tc>
        <w:tc>
          <w:tcPr>
            <w:tcW w:w="1537" w:type="dxa"/>
            <w:vAlign w:val="center"/>
          </w:tcPr>
          <w:p w14:paraId="497D404F">
            <w:pPr>
              <w:pStyle w:val="32"/>
              <w:spacing w:before="60" w:after="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t/a</w:t>
            </w:r>
          </w:p>
        </w:tc>
        <w:tc>
          <w:tcPr>
            <w:tcW w:w="1275" w:type="dxa"/>
            <w:vAlign w:val="center"/>
          </w:tcPr>
          <w:p w14:paraId="6518FF13">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0AFE56B8">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5A518A0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1.5t/a</w:t>
            </w:r>
          </w:p>
        </w:tc>
        <w:tc>
          <w:tcPr>
            <w:tcW w:w="1575" w:type="dxa"/>
            <w:vAlign w:val="center"/>
          </w:tcPr>
          <w:p w14:paraId="052885A3">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730" w:type="dxa"/>
            <w:vAlign w:val="center"/>
          </w:tcPr>
          <w:p w14:paraId="7E9B6AF2">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1.5t/a</w:t>
            </w:r>
          </w:p>
        </w:tc>
        <w:tc>
          <w:tcPr>
            <w:tcW w:w="1582" w:type="dxa"/>
            <w:vAlign w:val="center"/>
          </w:tcPr>
          <w:p w14:paraId="2B62B09D">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r w14:paraId="7B0FE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03" w:type="dxa"/>
            <w:vMerge w:val="continue"/>
            <w:vAlign w:val="center"/>
          </w:tcPr>
          <w:p w14:paraId="05D42A4B">
            <w:pPr>
              <w:pStyle w:val="53"/>
              <w:spacing w:beforeLines="0" w:afterLines="0" w:line="240" w:lineRule="auto"/>
              <w:ind w:firstLine="422"/>
              <w:rPr>
                <w:rFonts w:hint="default" w:ascii="Times New Roman" w:hAnsi="Times New Roman" w:eastAsia="宋体" w:cs="Times New Roman"/>
                <w:snapToGrid w:val="0"/>
                <w:color w:val="auto"/>
                <w:kern w:val="21"/>
                <w:szCs w:val="21"/>
              </w:rPr>
            </w:pPr>
          </w:p>
        </w:tc>
        <w:tc>
          <w:tcPr>
            <w:tcW w:w="1388" w:type="dxa"/>
            <w:vAlign w:val="center"/>
          </w:tcPr>
          <w:p w14:paraId="37673DD0">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b w:val="0"/>
                <w:bCs/>
                <w:color w:val="auto"/>
                <w:sz w:val="21"/>
                <w:szCs w:val="21"/>
                <w:lang w:val="en-US" w:eastAsia="zh-CN"/>
              </w:rPr>
              <w:t>废乳胶桶</w:t>
            </w:r>
          </w:p>
        </w:tc>
        <w:tc>
          <w:tcPr>
            <w:tcW w:w="1537" w:type="dxa"/>
            <w:vAlign w:val="center"/>
          </w:tcPr>
          <w:p w14:paraId="0EBB21BE">
            <w:pPr>
              <w:pStyle w:val="32"/>
              <w:spacing w:before="60" w:after="6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0.42</w:t>
            </w:r>
            <w:r>
              <w:rPr>
                <w:rFonts w:hint="default" w:ascii="Times New Roman" w:hAnsi="Times New Roman" w:eastAsia="宋体" w:cs="Times New Roman"/>
                <w:color w:val="auto"/>
              </w:rPr>
              <w:t>t/a</w:t>
            </w:r>
          </w:p>
        </w:tc>
        <w:tc>
          <w:tcPr>
            <w:tcW w:w="1275" w:type="dxa"/>
            <w:vAlign w:val="center"/>
          </w:tcPr>
          <w:p w14:paraId="3C0A2CF2">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650" w:type="dxa"/>
            <w:vAlign w:val="center"/>
          </w:tcPr>
          <w:p w14:paraId="6D6B1F38">
            <w:pPr>
              <w:pStyle w:val="32"/>
              <w:spacing w:before="60" w:after="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563" w:type="dxa"/>
            <w:vAlign w:val="center"/>
          </w:tcPr>
          <w:p w14:paraId="4199A95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0.42t/a</w:t>
            </w:r>
          </w:p>
        </w:tc>
        <w:tc>
          <w:tcPr>
            <w:tcW w:w="1575" w:type="dxa"/>
            <w:vAlign w:val="center"/>
          </w:tcPr>
          <w:p w14:paraId="3F027481">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c>
          <w:tcPr>
            <w:tcW w:w="1730" w:type="dxa"/>
            <w:vAlign w:val="center"/>
          </w:tcPr>
          <w:p w14:paraId="5C3C430A">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0.42t/a</w:t>
            </w:r>
          </w:p>
        </w:tc>
        <w:tc>
          <w:tcPr>
            <w:tcW w:w="1582" w:type="dxa"/>
            <w:vAlign w:val="center"/>
          </w:tcPr>
          <w:p w14:paraId="0EE4D018">
            <w:pPr>
              <w:pStyle w:val="7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t/a</w:t>
            </w:r>
          </w:p>
        </w:tc>
      </w:tr>
    </w:tbl>
    <w:p w14:paraId="6D481B3F">
      <w:pPr>
        <w:pStyle w:val="53"/>
        <w:spacing w:before="192" w:beforeLines="80" w:after="24"/>
        <w:ind w:firstLine="422"/>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bookmarkEnd w:id="48"/>
      <w:bookmarkEnd w:id="49"/>
      <w:bookmarkEnd w:id="50"/>
      <w:bookmarkEnd w:id="51"/>
      <w:r>
        <w:rPr>
          <w:rFonts w:hint="default" w:ascii="Times New Roman" w:hAnsi="Times New Roman" w:eastAsia="宋体" w:cs="Times New Roman"/>
          <w:snapToGrid w:val="0"/>
          <w:color w:val="auto"/>
          <w:spacing w:val="-6"/>
          <w:kern w:val="21"/>
          <w:szCs w:val="21"/>
          <w:lang w:eastAsia="zh-CN"/>
        </w:rPr>
        <w:t>；</w:t>
      </w:r>
      <w:r>
        <w:rPr>
          <w:rFonts w:hint="default" w:ascii="Times New Roman" w:hAnsi="Times New Roman" w:eastAsia="宋体" w:cs="Times New Roman"/>
          <w:snapToGrid w:val="0"/>
          <w:color w:val="auto"/>
          <w:spacing w:val="-6"/>
          <w:kern w:val="21"/>
          <w:szCs w:val="21"/>
          <w:lang w:val="en-US" w:eastAsia="zh-CN"/>
        </w:rPr>
        <w:t>现有工程排放量</w:t>
      </w:r>
      <w:r>
        <w:rPr>
          <w:rFonts w:hint="default" w:ascii="Times New Roman" w:hAnsi="Times New Roman" w:eastAsia="宋体" w:cs="Times New Roman"/>
          <w:snapToGrid w:val="0"/>
          <w:color w:val="auto"/>
          <w:spacing w:val="-6"/>
          <w:kern w:val="21"/>
          <w:szCs w:val="21"/>
        </w:rPr>
        <w:t>（固体废物产生量）</w:t>
      </w:r>
      <w:r>
        <w:rPr>
          <w:rFonts w:hint="default" w:ascii="Times New Roman" w:hAnsi="Times New Roman" w:eastAsia="宋体" w:cs="Times New Roman"/>
          <w:snapToGrid w:val="0"/>
          <w:color w:val="auto"/>
          <w:spacing w:val="-6"/>
          <w:kern w:val="21"/>
          <w:szCs w:val="21"/>
          <w:lang w:val="en-US" w:eastAsia="zh-CN"/>
        </w:rPr>
        <w:t>包括原有瓦楞纸板生产线的污染物产生量及现有瓦楞纸箱生产线项目的污染物产生量。</w:t>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D42B3C46-5602-42A2-81C7-17B88EEA9261}"/>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2" w:fontKey="{4C151641-7994-40B5-8482-7582E68CD848}"/>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C023">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37140">
    <w:pPr>
      <w:pStyle w:val="17"/>
      <w:framePr w:wrap="around" w:vAnchor="text" w:hAnchor="margin" w:xAlign="center" w:y="1"/>
      <w:rPr>
        <w:rStyle w:val="29"/>
      </w:rPr>
    </w:pPr>
    <w:r>
      <w:fldChar w:fldCharType="begin"/>
    </w:r>
    <w:r>
      <w:rPr>
        <w:rStyle w:val="29"/>
      </w:rPr>
      <w:instrText xml:space="preserve">PAGE  </w:instrText>
    </w:r>
    <w:r>
      <w:fldChar w:fldCharType="end"/>
    </w:r>
  </w:p>
  <w:p w14:paraId="4E1C9EC2">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D9D90">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54569">
    <w:pPr>
      <w:pStyle w:val="17"/>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9</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5F6486C3">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8F09">
    <w:pPr>
      <w:pStyle w:val="17"/>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11</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704B298D">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E8EBE">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1E336">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FD7004"/>
    <w:multiLevelType w:val="singleLevel"/>
    <w:tmpl w:val="7FFD7004"/>
    <w:lvl w:ilvl="0" w:tentative="0">
      <w:start w:val="19"/>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hNTNhYWIyYjc2NDMwYjM5NzAzYTI2Nzk1NzQ0NTk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734"/>
    <w:rsid w:val="00140FA8"/>
    <w:rsid w:val="00142FEB"/>
    <w:rsid w:val="00143A2D"/>
    <w:rsid w:val="00145A41"/>
    <w:rsid w:val="00151675"/>
    <w:rsid w:val="00157435"/>
    <w:rsid w:val="0016780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1E55"/>
    <w:rsid w:val="0023280E"/>
    <w:rsid w:val="002335C1"/>
    <w:rsid w:val="002377D1"/>
    <w:rsid w:val="002506BC"/>
    <w:rsid w:val="00254345"/>
    <w:rsid w:val="00256444"/>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7CF"/>
    <w:rsid w:val="003B420D"/>
    <w:rsid w:val="003C6C16"/>
    <w:rsid w:val="003D794D"/>
    <w:rsid w:val="003E3058"/>
    <w:rsid w:val="003E76A9"/>
    <w:rsid w:val="003F0809"/>
    <w:rsid w:val="003F6A8C"/>
    <w:rsid w:val="003F755C"/>
    <w:rsid w:val="00403695"/>
    <w:rsid w:val="00406F01"/>
    <w:rsid w:val="00416D50"/>
    <w:rsid w:val="00416FD5"/>
    <w:rsid w:val="00417772"/>
    <w:rsid w:val="00420E6A"/>
    <w:rsid w:val="00425A9E"/>
    <w:rsid w:val="00426D6B"/>
    <w:rsid w:val="00431E6C"/>
    <w:rsid w:val="00433CE7"/>
    <w:rsid w:val="00452738"/>
    <w:rsid w:val="004551C5"/>
    <w:rsid w:val="00456091"/>
    <w:rsid w:val="00466321"/>
    <w:rsid w:val="00484B9B"/>
    <w:rsid w:val="004855F6"/>
    <w:rsid w:val="0048661E"/>
    <w:rsid w:val="00494670"/>
    <w:rsid w:val="004A3823"/>
    <w:rsid w:val="004E6946"/>
    <w:rsid w:val="004F1AD8"/>
    <w:rsid w:val="0050207E"/>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B348C"/>
    <w:rsid w:val="005D36AB"/>
    <w:rsid w:val="00617CC3"/>
    <w:rsid w:val="006377A6"/>
    <w:rsid w:val="00637A3D"/>
    <w:rsid w:val="006411EF"/>
    <w:rsid w:val="006748B8"/>
    <w:rsid w:val="006775C3"/>
    <w:rsid w:val="0069290A"/>
    <w:rsid w:val="00695BAA"/>
    <w:rsid w:val="0069775A"/>
    <w:rsid w:val="00697813"/>
    <w:rsid w:val="006A3EE8"/>
    <w:rsid w:val="006A72BF"/>
    <w:rsid w:val="006B03F2"/>
    <w:rsid w:val="006B37DC"/>
    <w:rsid w:val="006B4F68"/>
    <w:rsid w:val="006C0592"/>
    <w:rsid w:val="006C272E"/>
    <w:rsid w:val="006C5479"/>
    <w:rsid w:val="006D07A9"/>
    <w:rsid w:val="006D11FA"/>
    <w:rsid w:val="006D13B5"/>
    <w:rsid w:val="006E12FF"/>
    <w:rsid w:val="006E607E"/>
    <w:rsid w:val="00706C5D"/>
    <w:rsid w:val="007131CB"/>
    <w:rsid w:val="00726300"/>
    <w:rsid w:val="00732922"/>
    <w:rsid w:val="007502C1"/>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96B4C"/>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3F90"/>
    <w:rsid w:val="0093037A"/>
    <w:rsid w:val="0094154D"/>
    <w:rsid w:val="0095155F"/>
    <w:rsid w:val="00954429"/>
    <w:rsid w:val="009563CE"/>
    <w:rsid w:val="00971706"/>
    <w:rsid w:val="00976328"/>
    <w:rsid w:val="0097680D"/>
    <w:rsid w:val="00981959"/>
    <w:rsid w:val="00982438"/>
    <w:rsid w:val="0098404C"/>
    <w:rsid w:val="00985283"/>
    <w:rsid w:val="00995992"/>
    <w:rsid w:val="009A03E5"/>
    <w:rsid w:val="009A0F3B"/>
    <w:rsid w:val="009A1BB4"/>
    <w:rsid w:val="009A2628"/>
    <w:rsid w:val="009A3200"/>
    <w:rsid w:val="009B0897"/>
    <w:rsid w:val="009B7BD9"/>
    <w:rsid w:val="009C7DD5"/>
    <w:rsid w:val="009D0B9F"/>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53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43E36"/>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170F6"/>
    <w:rsid w:val="00C2596A"/>
    <w:rsid w:val="00C27537"/>
    <w:rsid w:val="00C328FE"/>
    <w:rsid w:val="00C33507"/>
    <w:rsid w:val="00C4409D"/>
    <w:rsid w:val="00C44E72"/>
    <w:rsid w:val="00C45A06"/>
    <w:rsid w:val="00C47E5B"/>
    <w:rsid w:val="00C61E4B"/>
    <w:rsid w:val="00C64BFF"/>
    <w:rsid w:val="00C704E9"/>
    <w:rsid w:val="00C743C2"/>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1DE3"/>
    <w:rsid w:val="00D428AA"/>
    <w:rsid w:val="00D50A34"/>
    <w:rsid w:val="00D53EFA"/>
    <w:rsid w:val="00D94A7C"/>
    <w:rsid w:val="00D95896"/>
    <w:rsid w:val="00DB138A"/>
    <w:rsid w:val="00DB2983"/>
    <w:rsid w:val="00DC1257"/>
    <w:rsid w:val="00DC3DC0"/>
    <w:rsid w:val="00DC5B2B"/>
    <w:rsid w:val="00DD318D"/>
    <w:rsid w:val="00DF2E12"/>
    <w:rsid w:val="00DF514A"/>
    <w:rsid w:val="00DF6690"/>
    <w:rsid w:val="00DF6804"/>
    <w:rsid w:val="00E0358D"/>
    <w:rsid w:val="00E04323"/>
    <w:rsid w:val="00E070A2"/>
    <w:rsid w:val="00E07E46"/>
    <w:rsid w:val="00E2656A"/>
    <w:rsid w:val="00E412D0"/>
    <w:rsid w:val="00E56322"/>
    <w:rsid w:val="00E60982"/>
    <w:rsid w:val="00E62C62"/>
    <w:rsid w:val="00E654C1"/>
    <w:rsid w:val="00E65D97"/>
    <w:rsid w:val="00E72A5A"/>
    <w:rsid w:val="00E73354"/>
    <w:rsid w:val="00E9242D"/>
    <w:rsid w:val="00EA7179"/>
    <w:rsid w:val="00EB3BAF"/>
    <w:rsid w:val="00EB5255"/>
    <w:rsid w:val="00EB5C47"/>
    <w:rsid w:val="00EC5340"/>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867511"/>
    <w:rsid w:val="01BD67DF"/>
    <w:rsid w:val="025519C1"/>
    <w:rsid w:val="025F03AF"/>
    <w:rsid w:val="02697903"/>
    <w:rsid w:val="02F96569"/>
    <w:rsid w:val="033509AD"/>
    <w:rsid w:val="033C4C19"/>
    <w:rsid w:val="0393044A"/>
    <w:rsid w:val="03EA7B21"/>
    <w:rsid w:val="044A26F6"/>
    <w:rsid w:val="049C7D66"/>
    <w:rsid w:val="04C3537C"/>
    <w:rsid w:val="051068A1"/>
    <w:rsid w:val="051A15A8"/>
    <w:rsid w:val="05656433"/>
    <w:rsid w:val="05F83EAE"/>
    <w:rsid w:val="063E7D85"/>
    <w:rsid w:val="06525DE6"/>
    <w:rsid w:val="066532F1"/>
    <w:rsid w:val="06BF7DC5"/>
    <w:rsid w:val="07253617"/>
    <w:rsid w:val="07293586"/>
    <w:rsid w:val="07295285"/>
    <w:rsid w:val="07636392"/>
    <w:rsid w:val="07770C56"/>
    <w:rsid w:val="0777244E"/>
    <w:rsid w:val="07923EC2"/>
    <w:rsid w:val="079A59D4"/>
    <w:rsid w:val="08483E8A"/>
    <w:rsid w:val="08F55420"/>
    <w:rsid w:val="090A69EE"/>
    <w:rsid w:val="092217DD"/>
    <w:rsid w:val="092D3BCF"/>
    <w:rsid w:val="093A7294"/>
    <w:rsid w:val="09A40B2C"/>
    <w:rsid w:val="0A0631CF"/>
    <w:rsid w:val="0A263993"/>
    <w:rsid w:val="0A2D3AC2"/>
    <w:rsid w:val="0AA755DF"/>
    <w:rsid w:val="0B120D44"/>
    <w:rsid w:val="0BB21EE1"/>
    <w:rsid w:val="0BC35F30"/>
    <w:rsid w:val="0BD27BF6"/>
    <w:rsid w:val="0C09009F"/>
    <w:rsid w:val="0C3B3C7D"/>
    <w:rsid w:val="0C63006A"/>
    <w:rsid w:val="0CAB2EAE"/>
    <w:rsid w:val="0CEF0CD8"/>
    <w:rsid w:val="0D621C7D"/>
    <w:rsid w:val="0D957AD2"/>
    <w:rsid w:val="0DDE3227"/>
    <w:rsid w:val="0E73034D"/>
    <w:rsid w:val="0F13775A"/>
    <w:rsid w:val="0F3E0FA4"/>
    <w:rsid w:val="0F5F45FE"/>
    <w:rsid w:val="0F964AF8"/>
    <w:rsid w:val="0F9A112B"/>
    <w:rsid w:val="0FC05A42"/>
    <w:rsid w:val="106D2F64"/>
    <w:rsid w:val="10B63710"/>
    <w:rsid w:val="10F10820"/>
    <w:rsid w:val="111C2F7A"/>
    <w:rsid w:val="113C55C4"/>
    <w:rsid w:val="11534F75"/>
    <w:rsid w:val="11665CA1"/>
    <w:rsid w:val="11DB1C68"/>
    <w:rsid w:val="122F3BA0"/>
    <w:rsid w:val="12E34E3B"/>
    <w:rsid w:val="13951726"/>
    <w:rsid w:val="14263231"/>
    <w:rsid w:val="14303C43"/>
    <w:rsid w:val="14396509"/>
    <w:rsid w:val="147321EF"/>
    <w:rsid w:val="14907CF6"/>
    <w:rsid w:val="14DD2C3C"/>
    <w:rsid w:val="155D7127"/>
    <w:rsid w:val="16046426"/>
    <w:rsid w:val="16062299"/>
    <w:rsid w:val="16087E1D"/>
    <w:rsid w:val="162E3C56"/>
    <w:rsid w:val="1655394E"/>
    <w:rsid w:val="166678A4"/>
    <w:rsid w:val="174F0863"/>
    <w:rsid w:val="17701D14"/>
    <w:rsid w:val="17735226"/>
    <w:rsid w:val="181051F5"/>
    <w:rsid w:val="189F624C"/>
    <w:rsid w:val="18F05323"/>
    <w:rsid w:val="19277E27"/>
    <w:rsid w:val="19436E9F"/>
    <w:rsid w:val="19F3005A"/>
    <w:rsid w:val="1A053709"/>
    <w:rsid w:val="1A19767E"/>
    <w:rsid w:val="1A1C66C0"/>
    <w:rsid w:val="1A314D96"/>
    <w:rsid w:val="1A327A57"/>
    <w:rsid w:val="1A42393B"/>
    <w:rsid w:val="1A6E6DB3"/>
    <w:rsid w:val="1AAD45DE"/>
    <w:rsid w:val="1AEE5613"/>
    <w:rsid w:val="1AF114B8"/>
    <w:rsid w:val="1AF47142"/>
    <w:rsid w:val="1B046F80"/>
    <w:rsid w:val="1B3267B5"/>
    <w:rsid w:val="1B40161D"/>
    <w:rsid w:val="1B441859"/>
    <w:rsid w:val="1B6606B1"/>
    <w:rsid w:val="1C016820"/>
    <w:rsid w:val="1C023E0B"/>
    <w:rsid w:val="1C28432F"/>
    <w:rsid w:val="1C340201"/>
    <w:rsid w:val="1C5053AD"/>
    <w:rsid w:val="1C5E7925"/>
    <w:rsid w:val="1CA05B4B"/>
    <w:rsid w:val="1CC77945"/>
    <w:rsid w:val="1CFD070F"/>
    <w:rsid w:val="1D5F6196"/>
    <w:rsid w:val="1D6132A5"/>
    <w:rsid w:val="1D7761DB"/>
    <w:rsid w:val="1D894994"/>
    <w:rsid w:val="1D8E56D5"/>
    <w:rsid w:val="1DC62145"/>
    <w:rsid w:val="1E1260FA"/>
    <w:rsid w:val="1E127902"/>
    <w:rsid w:val="1E4E669A"/>
    <w:rsid w:val="1E7A43DA"/>
    <w:rsid w:val="1EEF7B23"/>
    <w:rsid w:val="1F071EB1"/>
    <w:rsid w:val="1FE7539E"/>
    <w:rsid w:val="20082CB1"/>
    <w:rsid w:val="20463C90"/>
    <w:rsid w:val="20671BE0"/>
    <w:rsid w:val="20963CB8"/>
    <w:rsid w:val="20A81A1B"/>
    <w:rsid w:val="20B07FB6"/>
    <w:rsid w:val="20B646FB"/>
    <w:rsid w:val="20BF2471"/>
    <w:rsid w:val="20CF1C1E"/>
    <w:rsid w:val="20D504B9"/>
    <w:rsid w:val="213B74B1"/>
    <w:rsid w:val="215A2310"/>
    <w:rsid w:val="21B04A3E"/>
    <w:rsid w:val="21DE318A"/>
    <w:rsid w:val="21EF5B80"/>
    <w:rsid w:val="220623C8"/>
    <w:rsid w:val="22552F34"/>
    <w:rsid w:val="22576990"/>
    <w:rsid w:val="22903AF4"/>
    <w:rsid w:val="22F47480"/>
    <w:rsid w:val="23DE1C48"/>
    <w:rsid w:val="240210CD"/>
    <w:rsid w:val="24635DDC"/>
    <w:rsid w:val="24BF09F7"/>
    <w:rsid w:val="24F44773"/>
    <w:rsid w:val="252D53FE"/>
    <w:rsid w:val="2550422F"/>
    <w:rsid w:val="25EC2D81"/>
    <w:rsid w:val="25FF45B1"/>
    <w:rsid w:val="260B2027"/>
    <w:rsid w:val="26215F4F"/>
    <w:rsid w:val="264315B1"/>
    <w:rsid w:val="264D36CD"/>
    <w:rsid w:val="26A22DD4"/>
    <w:rsid w:val="272E09E5"/>
    <w:rsid w:val="27346598"/>
    <w:rsid w:val="2757078C"/>
    <w:rsid w:val="277057A2"/>
    <w:rsid w:val="27BE3CFB"/>
    <w:rsid w:val="29206EB8"/>
    <w:rsid w:val="29595666"/>
    <w:rsid w:val="29874881"/>
    <w:rsid w:val="29E325E0"/>
    <w:rsid w:val="2A452503"/>
    <w:rsid w:val="2A5062F8"/>
    <w:rsid w:val="2A54176F"/>
    <w:rsid w:val="2A8E16D9"/>
    <w:rsid w:val="2AF31486"/>
    <w:rsid w:val="2AF82542"/>
    <w:rsid w:val="2B4C581C"/>
    <w:rsid w:val="2BA936A8"/>
    <w:rsid w:val="2C315A5A"/>
    <w:rsid w:val="2C4B1C25"/>
    <w:rsid w:val="2D456DFB"/>
    <w:rsid w:val="2D9E56F5"/>
    <w:rsid w:val="2E192DFF"/>
    <w:rsid w:val="2E293F9C"/>
    <w:rsid w:val="2E667F96"/>
    <w:rsid w:val="2E8226AB"/>
    <w:rsid w:val="2F0539EE"/>
    <w:rsid w:val="2F7075FF"/>
    <w:rsid w:val="2FD065E6"/>
    <w:rsid w:val="2FD96870"/>
    <w:rsid w:val="303C34C3"/>
    <w:rsid w:val="30562C99"/>
    <w:rsid w:val="30580BC9"/>
    <w:rsid w:val="30B53383"/>
    <w:rsid w:val="31104BF6"/>
    <w:rsid w:val="311E2ED7"/>
    <w:rsid w:val="312809C3"/>
    <w:rsid w:val="314E73CD"/>
    <w:rsid w:val="315619EE"/>
    <w:rsid w:val="315C449C"/>
    <w:rsid w:val="31B82709"/>
    <w:rsid w:val="31D05482"/>
    <w:rsid w:val="322D2670"/>
    <w:rsid w:val="323E5792"/>
    <w:rsid w:val="32400B34"/>
    <w:rsid w:val="329E6876"/>
    <w:rsid w:val="333015F2"/>
    <w:rsid w:val="334B6320"/>
    <w:rsid w:val="33D934D4"/>
    <w:rsid w:val="33E55DBB"/>
    <w:rsid w:val="33FE2F6A"/>
    <w:rsid w:val="340029F1"/>
    <w:rsid w:val="340E07E5"/>
    <w:rsid w:val="34235BF7"/>
    <w:rsid w:val="348778C5"/>
    <w:rsid w:val="34CB4956"/>
    <w:rsid w:val="34CB759C"/>
    <w:rsid w:val="34E9240C"/>
    <w:rsid w:val="35150A2C"/>
    <w:rsid w:val="355D65DB"/>
    <w:rsid w:val="358C5FA8"/>
    <w:rsid w:val="359106FB"/>
    <w:rsid w:val="35C15DF1"/>
    <w:rsid w:val="36074A7F"/>
    <w:rsid w:val="36923549"/>
    <w:rsid w:val="36AE1CBE"/>
    <w:rsid w:val="36B75FBF"/>
    <w:rsid w:val="36BD0C45"/>
    <w:rsid w:val="37720FBB"/>
    <w:rsid w:val="37E00298"/>
    <w:rsid w:val="38B302F9"/>
    <w:rsid w:val="38F12CD3"/>
    <w:rsid w:val="38F4791E"/>
    <w:rsid w:val="38F94775"/>
    <w:rsid w:val="392971ED"/>
    <w:rsid w:val="39325651"/>
    <w:rsid w:val="39AD235A"/>
    <w:rsid w:val="39BA354D"/>
    <w:rsid w:val="39F46E2A"/>
    <w:rsid w:val="3A451DB4"/>
    <w:rsid w:val="3A872856"/>
    <w:rsid w:val="3ADC1085"/>
    <w:rsid w:val="3B3763D1"/>
    <w:rsid w:val="3B5D312D"/>
    <w:rsid w:val="3BE63123"/>
    <w:rsid w:val="3C2F6E1E"/>
    <w:rsid w:val="3C4F64BA"/>
    <w:rsid w:val="3C84588F"/>
    <w:rsid w:val="3CDA245A"/>
    <w:rsid w:val="3CDF2D00"/>
    <w:rsid w:val="3D1E06B7"/>
    <w:rsid w:val="3E21155E"/>
    <w:rsid w:val="3ED94FDE"/>
    <w:rsid w:val="3EDA0523"/>
    <w:rsid w:val="3FD9522D"/>
    <w:rsid w:val="3FFF4C94"/>
    <w:rsid w:val="407A6407"/>
    <w:rsid w:val="408074DD"/>
    <w:rsid w:val="40834227"/>
    <w:rsid w:val="40A21818"/>
    <w:rsid w:val="40D45C40"/>
    <w:rsid w:val="41072AB1"/>
    <w:rsid w:val="41275288"/>
    <w:rsid w:val="41286550"/>
    <w:rsid w:val="413A07A2"/>
    <w:rsid w:val="414D154E"/>
    <w:rsid w:val="41AB5C07"/>
    <w:rsid w:val="41BA27A1"/>
    <w:rsid w:val="41BB2F72"/>
    <w:rsid w:val="4200449D"/>
    <w:rsid w:val="423544BC"/>
    <w:rsid w:val="423A3BCC"/>
    <w:rsid w:val="424E57D2"/>
    <w:rsid w:val="427D3D9A"/>
    <w:rsid w:val="42B26C49"/>
    <w:rsid w:val="42BC4C78"/>
    <w:rsid w:val="433A6FE6"/>
    <w:rsid w:val="43480868"/>
    <w:rsid w:val="4350713C"/>
    <w:rsid w:val="436653E0"/>
    <w:rsid w:val="43C4431A"/>
    <w:rsid w:val="44B951CC"/>
    <w:rsid w:val="44CD14E0"/>
    <w:rsid w:val="44DD6082"/>
    <w:rsid w:val="44F20B0B"/>
    <w:rsid w:val="45264F82"/>
    <w:rsid w:val="452E5F4C"/>
    <w:rsid w:val="453F2D68"/>
    <w:rsid w:val="454B2E2A"/>
    <w:rsid w:val="45612018"/>
    <w:rsid w:val="458946E9"/>
    <w:rsid w:val="45A47C0E"/>
    <w:rsid w:val="461F2B08"/>
    <w:rsid w:val="464549AD"/>
    <w:rsid w:val="46577FD6"/>
    <w:rsid w:val="46D955A7"/>
    <w:rsid w:val="47133957"/>
    <w:rsid w:val="47A07E0C"/>
    <w:rsid w:val="4870272E"/>
    <w:rsid w:val="48A83223"/>
    <w:rsid w:val="49180548"/>
    <w:rsid w:val="49DC7715"/>
    <w:rsid w:val="49E05655"/>
    <w:rsid w:val="4A023139"/>
    <w:rsid w:val="4A7B576F"/>
    <w:rsid w:val="4A9A3204"/>
    <w:rsid w:val="4ACD6411"/>
    <w:rsid w:val="4AD43DD9"/>
    <w:rsid w:val="4AF561A9"/>
    <w:rsid w:val="4B3236F6"/>
    <w:rsid w:val="4C2F4720"/>
    <w:rsid w:val="4C4A0649"/>
    <w:rsid w:val="4C7E5ECA"/>
    <w:rsid w:val="4C876AA5"/>
    <w:rsid w:val="4D0E00FB"/>
    <w:rsid w:val="4D176606"/>
    <w:rsid w:val="4DEC4FB0"/>
    <w:rsid w:val="4E075D8A"/>
    <w:rsid w:val="4E1D0CB3"/>
    <w:rsid w:val="4E496957"/>
    <w:rsid w:val="4E934396"/>
    <w:rsid w:val="4EC00FAD"/>
    <w:rsid w:val="4F0F35D4"/>
    <w:rsid w:val="4F9843DC"/>
    <w:rsid w:val="4FC62A8C"/>
    <w:rsid w:val="4FD82111"/>
    <w:rsid w:val="4FE20F0D"/>
    <w:rsid w:val="4FE51552"/>
    <w:rsid w:val="500872C8"/>
    <w:rsid w:val="50504C4B"/>
    <w:rsid w:val="50561799"/>
    <w:rsid w:val="508358F4"/>
    <w:rsid w:val="509C6E7C"/>
    <w:rsid w:val="5162104E"/>
    <w:rsid w:val="52701D39"/>
    <w:rsid w:val="529214B7"/>
    <w:rsid w:val="53313AB3"/>
    <w:rsid w:val="53A039CC"/>
    <w:rsid w:val="53A1505A"/>
    <w:rsid w:val="53FE45C8"/>
    <w:rsid w:val="54063E08"/>
    <w:rsid w:val="543437E8"/>
    <w:rsid w:val="54357AEE"/>
    <w:rsid w:val="546E2609"/>
    <w:rsid w:val="54F73313"/>
    <w:rsid w:val="54F80955"/>
    <w:rsid w:val="555170A7"/>
    <w:rsid w:val="557958E4"/>
    <w:rsid w:val="5587536D"/>
    <w:rsid w:val="559B174B"/>
    <w:rsid w:val="55CE0CF4"/>
    <w:rsid w:val="565203AE"/>
    <w:rsid w:val="56B22A9C"/>
    <w:rsid w:val="57851FA6"/>
    <w:rsid w:val="578E252E"/>
    <w:rsid w:val="57A71560"/>
    <w:rsid w:val="57B72A76"/>
    <w:rsid w:val="57C3426C"/>
    <w:rsid w:val="57CE1F93"/>
    <w:rsid w:val="57DF45BE"/>
    <w:rsid w:val="580F5B8F"/>
    <w:rsid w:val="588743D1"/>
    <w:rsid w:val="5887701A"/>
    <w:rsid w:val="58BA640B"/>
    <w:rsid w:val="58C345FB"/>
    <w:rsid w:val="59160F5E"/>
    <w:rsid w:val="59835FFD"/>
    <w:rsid w:val="59C0439F"/>
    <w:rsid w:val="5A07278A"/>
    <w:rsid w:val="5A2367C0"/>
    <w:rsid w:val="5A247D5B"/>
    <w:rsid w:val="5A882172"/>
    <w:rsid w:val="5ABE2233"/>
    <w:rsid w:val="5AE44879"/>
    <w:rsid w:val="5BCE7A03"/>
    <w:rsid w:val="5BDF5D95"/>
    <w:rsid w:val="5BFE7528"/>
    <w:rsid w:val="5C477D38"/>
    <w:rsid w:val="5C8E3664"/>
    <w:rsid w:val="5CCA6076"/>
    <w:rsid w:val="5D1A3F40"/>
    <w:rsid w:val="5D9C143B"/>
    <w:rsid w:val="5DAC4447"/>
    <w:rsid w:val="5E2467F1"/>
    <w:rsid w:val="5E512226"/>
    <w:rsid w:val="5EC0474E"/>
    <w:rsid w:val="5EDE240A"/>
    <w:rsid w:val="5F121D8A"/>
    <w:rsid w:val="5F1A2B43"/>
    <w:rsid w:val="5F856A77"/>
    <w:rsid w:val="5FB837BB"/>
    <w:rsid w:val="5FC60D53"/>
    <w:rsid w:val="60BB607C"/>
    <w:rsid w:val="60CC405A"/>
    <w:rsid w:val="617526CF"/>
    <w:rsid w:val="61E215D8"/>
    <w:rsid w:val="62077A51"/>
    <w:rsid w:val="621B3775"/>
    <w:rsid w:val="62364782"/>
    <w:rsid w:val="624327CD"/>
    <w:rsid w:val="62460CC0"/>
    <w:rsid w:val="629C04CF"/>
    <w:rsid w:val="62ED068E"/>
    <w:rsid w:val="6394356A"/>
    <w:rsid w:val="63C61B2C"/>
    <w:rsid w:val="63D40BE9"/>
    <w:rsid w:val="64102431"/>
    <w:rsid w:val="64287ECD"/>
    <w:rsid w:val="64A5243A"/>
    <w:rsid w:val="64F531DE"/>
    <w:rsid w:val="64F643F9"/>
    <w:rsid w:val="652C3300"/>
    <w:rsid w:val="65373578"/>
    <w:rsid w:val="65E16585"/>
    <w:rsid w:val="66642F38"/>
    <w:rsid w:val="666B71D3"/>
    <w:rsid w:val="671F124A"/>
    <w:rsid w:val="672C6021"/>
    <w:rsid w:val="677A33C6"/>
    <w:rsid w:val="681F6961"/>
    <w:rsid w:val="68610A2F"/>
    <w:rsid w:val="68805514"/>
    <w:rsid w:val="68BD62C3"/>
    <w:rsid w:val="69316E2F"/>
    <w:rsid w:val="694E2071"/>
    <w:rsid w:val="69766163"/>
    <w:rsid w:val="697A3B33"/>
    <w:rsid w:val="699E5A5F"/>
    <w:rsid w:val="69A90040"/>
    <w:rsid w:val="69D44760"/>
    <w:rsid w:val="6A2543FC"/>
    <w:rsid w:val="6A2D698F"/>
    <w:rsid w:val="6A434D51"/>
    <w:rsid w:val="6A520EC7"/>
    <w:rsid w:val="6ACA0095"/>
    <w:rsid w:val="6AF87E20"/>
    <w:rsid w:val="6B322639"/>
    <w:rsid w:val="6BC04EF6"/>
    <w:rsid w:val="6BCB517A"/>
    <w:rsid w:val="6C5C6966"/>
    <w:rsid w:val="6C636C38"/>
    <w:rsid w:val="6DB34098"/>
    <w:rsid w:val="6DB545B6"/>
    <w:rsid w:val="6DE02FB4"/>
    <w:rsid w:val="6E2E60E0"/>
    <w:rsid w:val="6E514CED"/>
    <w:rsid w:val="6E9D5885"/>
    <w:rsid w:val="6EB563D5"/>
    <w:rsid w:val="6EBF35DF"/>
    <w:rsid w:val="6ED92677"/>
    <w:rsid w:val="6F225983"/>
    <w:rsid w:val="6F7351FF"/>
    <w:rsid w:val="6FFC5590"/>
    <w:rsid w:val="705D2CAC"/>
    <w:rsid w:val="706D1DD0"/>
    <w:rsid w:val="70856B87"/>
    <w:rsid w:val="70D527EE"/>
    <w:rsid w:val="70E03450"/>
    <w:rsid w:val="70F561E1"/>
    <w:rsid w:val="70F66B6D"/>
    <w:rsid w:val="715B5300"/>
    <w:rsid w:val="71BC7EA6"/>
    <w:rsid w:val="71D27F8A"/>
    <w:rsid w:val="71D76C40"/>
    <w:rsid w:val="72553024"/>
    <w:rsid w:val="72A9667D"/>
    <w:rsid w:val="73122968"/>
    <w:rsid w:val="731F5D5E"/>
    <w:rsid w:val="73572574"/>
    <w:rsid w:val="73AC3DBE"/>
    <w:rsid w:val="73C51AD5"/>
    <w:rsid w:val="7416389E"/>
    <w:rsid w:val="741C69DA"/>
    <w:rsid w:val="741E793C"/>
    <w:rsid w:val="74381C01"/>
    <w:rsid w:val="745E3944"/>
    <w:rsid w:val="74AF2DDE"/>
    <w:rsid w:val="75704B5A"/>
    <w:rsid w:val="75BE2C13"/>
    <w:rsid w:val="762E4B68"/>
    <w:rsid w:val="762F2256"/>
    <w:rsid w:val="7635099D"/>
    <w:rsid w:val="76C6476D"/>
    <w:rsid w:val="76FB4FCD"/>
    <w:rsid w:val="77762421"/>
    <w:rsid w:val="77B56B1F"/>
    <w:rsid w:val="780F09F4"/>
    <w:rsid w:val="78234247"/>
    <w:rsid w:val="78A90480"/>
    <w:rsid w:val="78AD60B5"/>
    <w:rsid w:val="791C5928"/>
    <w:rsid w:val="796C4022"/>
    <w:rsid w:val="79EF11C7"/>
    <w:rsid w:val="7A11778A"/>
    <w:rsid w:val="7A364017"/>
    <w:rsid w:val="7A3C1B84"/>
    <w:rsid w:val="7A8265E1"/>
    <w:rsid w:val="7B490669"/>
    <w:rsid w:val="7B686D42"/>
    <w:rsid w:val="7B841746"/>
    <w:rsid w:val="7BE02D06"/>
    <w:rsid w:val="7C6C5AC7"/>
    <w:rsid w:val="7CA3513F"/>
    <w:rsid w:val="7CC6544B"/>
    <w:rsid w:val="7D0239FF"/>
    <w:rsid w:val="7D5E40CD"/>
    <w:rsid w:val="7D6E0FD1"/>
    <w:rsid w:val="7D911438"/>
    <w:rsid w:val="7DCD56F2"/>
    <w:rsid w:val="7DE53A84"/>
    <w:rsid w:val="7EA128FE"/>
    <w:rsid w:val="7F001CE7"/>
    <w:rsid w:val="7F4708D7"/>
    <w:rsid w:val="7F4A434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autoRedefine/>
    <w:unhideWhenUsed/>
    <w:qFormat/>
    <w:locked/>
    <w:uiPriority w:val="0"/>
    <w:pPr>
      <w:keepNext/>
      <w:keepLines/>
      <w:spacing w:before="260" w:after="260" w:line="413" w:lineRule="auto"/>
      <w:outlineLvl w:val="2"/>
    </w:pPr>
    <w:rPr>
      <w:b/>
      <w:sz w:val="32"/>
    </w:rPr>
  </w:style>
  <w:style w:type="paragraph" w:styleId="5">
    <w:name w:val="heading 4"/>
    <w:basedOn w:val="1"/>
    <w:next w:val="1"/>
    <w:autoRedefine/>
    <w:semiHidden/>
    <w:unhideWhenUsed/>
    <w:qFormat/>
    <w:locked/>
    <w:uiPriority w:val="0"/>
    <w:pPr>
      <w:spacing w:beforeAutospacing="1" w:afterAutospacing="1"/>
      <w:jc w:val="left"/>
      <w:outlineLvl w:val="3"/>
    </w:pPr>
    <w:rPr>
      <w:rFonts w:hint="eastAsia" w:ascii="宋体" w:hAnsi="宋体"/>
      <w:b/>
      <w:bCs/>
      <w:kern w:val="0"/>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autoRedefine/>
    <w:qFormat/>
    <w:locked/>
    <w:uiPriority w:val="99"/>
    <w:pPr>
      <w:spacing w:line="240" w:lineRule="atLeast"/>
    </w:pPr>
    <w:rPr>
      <w:rFonts w:ascii="宋体" w:hAnsi="Courier New"/>
      <w:sz w:val="28"/>
      <w:szCs w:val="21"/>
    </w:rPr>
  </w:style>
  <w:style w:type="paragraph" w:styleId="6">
    <w:name w:val="List 3"/>
    <w:basedOn w:val="1"/>
    <w:autoRedefine/>
    <w:unhideWhenUsed/>
    <w:qFormat/>
    <w:locked/>
    <w:uiPriority w:val="99"/>
    <w:pPr>
      <w:ind w:left="1260" w:hanging="420"/>
    </w:pPr>
  </w:style>
  <w:style w:type="paragraph" w:styleId="7">
    <w:name w:val="Normal Indent"/>
    <w:basedOn w:val="1"/>
    <w:next w:val="8"/>
    <w:autoRedefine/>
    <w:qFormat/>
    <w:locked/>
    <w:uiPriority w:val="0"/>
    <w:pPr>
      <w:ind w:firstLine="420"/>
    </w:pPr>
    <w:rPr>
      <w:rFonts w:ascii="宋体" w:hAnsi="宋体"/>
    </w:rPr>
  </w:style>
  <w:style w:type="paragraph" w:styleId="8">
    <w:name w:val="toc 1"/>
    <w:basedOn w:val="1"/>
    <w:next w:val="1"/>
    <w:autoRedefine/>
    <w:qFormat/>
    <w:locked/>
    <w:uiPriority w:val="0"/>
  </w:style>
  <w:style w:type="paragraph" w:styleId="9">
    <w:name w:val="annotation text"/>
    <w:basedOn w:val="1"/>
    <w:link w:val="40"/>
    <w:autoRedefine/>
    <w:semiHidden/>
    <w:qFormat/>
    <w:uiPriority w:val="0"/>
    <w:pPr>
      <w:jc w:val="left"/>
    </w:pPr>
    <w:rPr>
      <w:kern w:val="0"/>
      <w:sz w:val="24"/>
      <w:szCs w:val="20"/>
    </w:rPr>
  </w:style>
  <w:style w:type="paragraph" w:styleId="10">
    <w:name w:val="Salutation"/>
    <w:basedOn w:val="1"/>
    <w:next w:val="1"/>
    <w:autoRedefine/>
    <w:qFormat/>
    <w:locked/>
    <w:uiPriority w:val="0"/>
    <w:rPr>
      <w:szCs w:val="20"/>
    </w:rPr>
  </w:style>
  <w:style w:type="paragraph" w:styleId="11">
    <w:name w:val="Body Text"/>
    <w:basedOn w:val="1"/>
    <w:next w:val="1"/>
    <w:link w:val="41"/>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link w:val="42"/>
    <w:autoRedefine/>
    <w:qFormat/>
    <w:uiPriority w:val="0"/>
    <w:pPr>
      <w:spacing w:after="120"/>
      <w:ind w:left="420" w:leftChars="200"/>
    </w:pPr>
    <w:rPr>
      <w:kern w:val="0"/>
      <w:sz w:val="24"/>
      <w:szCs w:val="20"/>
    </w:rPr>
  </w:style>
  <w:style w:type="paragraph" w:styleId="13">
    <w:name w:val="List 2"/>
    <w:basedOn w:val="1"/>
    <w:autoRedefine/>
    <w:qFormat/>
    <w:locked/>
    <w:uiPriority w:val="0"/>
    <w:pPr>
      <w:ind w:left="100" w:leftChars="200" w:hanging="200" w:hangingChars="200"/>
    </w:pPr>
  </w:style>
  <w:style w:type="paragraph" w:styleId="14">
    <w:name w:val="Block Text"/>
    <w:basedOn w:val="1"/>
    <w:autoRedefine/>
    <w:qFormat/>
    <w:locked/>
    <w:uiPriority w:val="0"/>
  </w:style>
  <w:style w:type="paragraph" w:styleId="15">
    <w:name w:val="Date"/>
    <w:basedOn w:val="1"/>
    <w:next w:val="1"/>
    <w:link w:val="43"/>
    <w:autoRedefine/>
    <w:qFormat/>
    <w:uiPriority w:val="0"/>
    <w:pPr>
      <w:ind w:left="100" w:leftChars="2500"/>
    </w:pPr>
    <w:rPr>
      <w:kern w:val="0"/>
      <w:sz w:val="24"/>
      <w:szCs w:val="20"/>
    </w:rPr>
  </w:style>
  <w:style w:type="paragraph" w:styleId="16">
    <w:name w:val="Balloon Text"/>
    <w:basedOn w:val="1"/>
    <w:link w:val="44"/>
    <w:autoRedefine/>
    <w:semiHidden/>
    <w:qFormat/>
    <w:uiPriority w:val="0"/>
    <w:rPr>
      <w:kern w:val="0"/>
      <w:sz w:val="18"/>
      <w:szCs w:val="20"/>
    </w:rPr>
  </w:style>
  <w:style w:type="paragraph" w:styleId="17">
    <w:name w:val="footer"/>
    <w:basedOn w:val="1"/>
    <w:next w:val="1"/>
    <w:link w:val="45"/>
    <w:autoRedefine/>
    <w:qFormat/>
    <w:uiPriority w:val="99"/>
    <w:pPr>
      <w:tabs>
        <w:tab w:val="center" w:pos="4153"/>
        <w:tab w:val="right" w:pos="8306"/>
      </w:tabs>
      <w:snapToGrid w:val="0"/>
      <w:jc w:val="left"/>
    </w:pPr>
    <w:rPr>
      <w:kern w:val="0"/>
      <w:sz w:val="18"/>
      <w:szCs w:val="20"/>
    </w:rPr>
  </w:style>
  <w:style w:type="paragraph" w:styleId="18">
    <w:name w:val="header"/>
    <w:basedOn w:val="1"/>
    <w:next w:val="14"/>
    <w:link w:val="4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List"/>
    <w:basedOn w:val="13"/>
    <w:next w:val="1"/>
    <w:autoRedefine/>
    <w:qFormat/>
    <w:locked/>
    <w:uiPriority w:val="0"/>
    <w:pPr>
      <w:snapToGrid w:val="0"/>
      <w:spacing w:line="240" w:lineRule="atLeast"/>
      <w:ind w:left="0" w:leftChars="0" w:firstLine="0" w:firstLineChars="0"/>
      <w:jc w:val="center"/>
    </w:pPr>
  </w:style>
  <w:style w:type="paragraph" w:styleId="20">
    <w:name w:val="table of figures"/>
    <w:basedOn w:val="1"/>
    <w:next w:val="1"/>
    <w:autoRedefine/>
    <w:qFormat/>
    <w:locked/>
    <w:uiPriority w:val="0"/>
    <w:pPr>
      <w:ind w:left="200" w:leftChars="200" w:hanging="200" w:hangingChars="200"/>
    </w:pPr>
  </w:style>
  <w:style w:type="paragraph" w:styleId="21">
    <w:name w:val="Normal (Web)"/>
    <w:basedOn w:val="1"/>
    <w:link w:val="47"/>
    <w:autoRedefine/>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48"/>
    <w:semiHidden/>
    <w:qFormat/>
    <w:uiPriority w:val="0"/>
    <w:rPr>
      <w:b/>
    </w:rPr>
  </w:style>
  <w:style w:type="paragraph" w:styleId="23">
    <w:name w:val="Body Text First Indent"/>
    <w:basedOn w:val="11"/>
    <w:next w:val="1"/>
    <w:autoRedefine/>
    <w:qFormat/>
    <w:locked/>
    <w:uiPriority w:val="0"/>
    <w:pPr>
      <w:ind w:firstLine="420" w:firstLineChars="100"/>
    </w:pPr>
  </w:style>
  <w:style w:type="paragraph" w:styleId="24">
    <w:name w:val="Body Text First Indent 2"/>
    <w:basedOn w:val="12"/>
    <w:qFormat/>
    <w:locked/>
    <w:uiPriority w:val="0"/>
    <w:pPr>
      <w:ind w:firstLine="420" w:firstLineChars="200"/>
    </w:p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annotation reference"/>
    <w:autoRedefine/>
    <w:semiHidden/>
    <w:qFormat/>
    <w:uiPriority w:val="0"/>
    <w:rPr>
      <w:sz w:val="21"/>
    </w:rPr>
  </w:style>
  <w:style w:type="paragraph" w:customStyle="1" w:styleId="31">
    <w:name w:val="初稿正文"/>
    <w:basedOn w:val="1"/>
    <w:link w:val="37"/>
    <w:qFormat/>
    <w:uiPriority w:val="0"/>
    <w:pPr>
      <w:spacing w:line="360" w:lineRule="auto"/>
      <w:ind w:firstLine="720" w:firstLineChars="200"/>
    </w:pPr>
    <w:rPr>
      <w:color w:val="FF0000"/>
      <w:szCs w:val="21"/>
    </w:rPr>
  </w:style>
  <w:style w:type="paragraph" w:customStyle="1" w:styleId="32">
    <w:name w:val="表格正文"/>
    <w:basedOn w:val="31"/>
    <w:qFormat/>
    <w:uiPriority w:val="0"/>
    <w:pPr>
      <w:spacing w:before="25" w:beforeLines="25" w:after="25" w:afterLines="25" w:line="240" w:lineRule="auto"/>
      <w:ind w:firstLine="0" w:firstLineChars="0"/>
      <w:jc w:val="center"/>
    </w:pPr>
    <w:rPr>
      <w:rFonts w:hint="eastAsia"/>
    </w:rPr>
  </w:style>
  <w:style w:type="paragraph" w:customStyle="1" w:styleId="33">
    <w:name w:val="正文标题"/>
    <w:basedOn w:val="31"/>
    <w:qFormat/>
    <w:uiPriority w:val="0"/>
    <w:pPr>
      <w:ind w:firstLine="0" w:firstLineChars="0"/>
      <w:jc w:val="left"/>
    </w:pPr>
    <w:rPr>
      <w:b/>
    </w:rPr>
  </w:style>
  <w:style w:type="paragraph" w:customStyle="1" w:styleId="34">
    <w:name w:val="表格标题"/>
    <w:basedOn w:val="31"/>
    <w:next w:val="1"/>
    <w:autoRedefine/>
    <w:qFormat/>
    <w:uiPriority w:val="0"/>
    <w:pPr>
      <w:jc w:val="center"/>
    </w:pPr>
    <w:rPr>
      <w:b/>
      <w:bCs/>
    </w:rPr>
  </w:style>
  <w:style w:type="paragraph" w:customStyle="1" w:styleId="35">
    <w:name w:val="Default"/>
    <w:basedOn w:val="36"/>
    <w:next w:val="6"/>
    <w:qFormat/>
    <w:uiPriority w:val="0"/>
    <w:pPr>
      <w:autoSpaceDE w:val="0"/>
      <w:autoSpaceDN w:val="0"/>
      <w:adjustRightInd w:val="0"/>
    </w:pPr>
    <w:rPr>
      <w:rFonts w:hAnsi="Times New Roman" w:cs="宋体"/>
      <w:color w:val="000000"/>
      <w:sz w:val="24"/>
      <w:szCs w:val="24"/>
    </w:rPr>
  </w:style>
  <w:style w:type="paragraph" w:customStyle="1" w:styleId="36">
    <w:name w:val="纯文本1"/>
    <w:basedOn w:val="1"/>
    <w:autoRedefine/>
    <w:qFormat/>
    <w:uiPriority w:val="0"/>
    <w:rPr>
      <w:rFonts w:ascii="宋体" w:hAnsi="Courier New"/>
      <w:szCs w:val="20"/>
    </w:rPr>
  </w:style>
  <w:style w:type="character" w:customStyle="1" w:styleId="37">
    <w:name w:val="初稿正文 Char"/>
    <w:link w:val="31"/>
    <w:autoRedefine/>
    <w:qFormat/>
    <w:uiPriority w:val="0"/>
    <w:rPr>
      <w:rFonts w:ascii="Times New Roman" w:hAnsi="Times New Roman" w:eastAsia="宋体" w:cs="Times New Roman"/>
      <w:color w:val="FF0000"/>
      <w:szCs w:val="21"/>
    </w:rPr>
  </w:style>
  <w:style w:type="paragraph" w:customStyle="1" w:styleId="38">
    <w:name w:val="标题名"/>
    <w:basedOn w:val="31"/>
    <w:autoRedefine/>
    <w:qFormat/>
    <w:uiPriority w:val="0"/>
    <w:pPr>
      <w:ind w:firstLine="0" w:firstLineChars="0"/>
      <w:jc w:val="left"/>
    </w:pPr>
    <w:rPr>
      <w:rFonts w:hint="eastAsia"/>
      <w:b/>
      <w:bCs/>
    </w:rPr>
  </w:style>
  <w:style w:type="paragraph" w:customStyle="1" w:styleId="3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0">
    <w:name w:val="批注文字 字符"/>
    <w:link w:val="9"/>
    <w:qFormat/>
    <w:locked/>
    <w:uiPriority w:val="0"/>
    <w:rPr>
      <w:rFonts w:ascii="Times New Roman" w:hAnsi="Times New Roman" w:eastAsia="宋体"/>
      <w:sz w:val="24"/>
    </w:rPr>
  </w:style>
  <w:style w:type="character" w:customStyle="1" w:styleId="41">
    <w:name w:val="正文文本 字符"/>
    <w:link w:val="11"/>
    <w:qFormat/>
    <w:locked/>
    <w:uiPriority w:val="0"/>
    <w:rPr>
      <w:sz w:val="18"/>
    </w:rPr>
  </w:style>
  <w:style w:type="character" w:customStyle="1" w:styleId="42">
    <w:name w:val="正文文本缩进 字符"/>
    <w:link w:val="12"/>
    <w:semiHidden/>
    <w:qFormat/>
    <w:locked/>
    <w:uiPriority w:val="0"/>
    <w:rPr>
      <w:rFonts w:ascii="Times New Roman" w:hAnsi="Times New Roman" w:eastAsia="宋体"/>
      <w:sz w:val="24"/>
    </w:rPr>
  </w:style>
  <w:style w:type="character" w:customStyle="1" w:styleId="43">
    <w:name w:val="日期 字符1"/>
    <w:link w:val="15"/>
    <w:qFormat/>
    <w:locked/>
    <w:uiPriority w:val="0"/>
    <w:rPr>
      <w:rFonts w:ascii="Times New Roman" w:hAnsi="Times New Roman" w:eastAsia="宋体"/>
      <w:sz w:val="24"/>
    </w:rPr>
  </w:style>
  <w:style w:type="character" w:customStyle="1" w:styleId="44">
    <w:name w:val="批注框文本 字符"/>
    <w:link w:val="16"/>
    <w:semiHidden/>
    <w:qFormat/>
    <w:locked/>
    <w:uiPriority w:val="0"/>
    <w:rPr>
      <w:rFonts w:ascii="Times New Roman" w:hAnsi="Times New Roman" w:eastAsia="宋体"/>
      <w:sz w:val="18"/>
    </w:rPr>
  </w:style>
  <w:style w:type="character" w:customStyle="1" w:styleId="45">
    <w:name w:val="页脚 字符1"/>
    <w:link w:val="17"/>
    <w:qFormat/>
    <w:locked/>
    <w:uiPriority w:val="99"/>
    <w:rPr>
      <w:sz w:val="18"/>
    </w:rPr>
  </w:style>
  <w:style w:type="character" w:customStyle="1" w:styleId="46">
    <w:name w:val="页眉 字符"/>
    <w:link w:val="18"/>
    <w:qFormat/>
    <w:locked/>
    <w:uiPriority w:val="0"/>
    <w:rPr>
      <w:sz w:val="18"/>
    </w:rPr>
  </w:style>
  <w:style w:type="character" w:customStyle="1" w:styleId="47">
    <w:name w:val="普通(网站) 字符"/>
    <w:link w:val="21"/>
    <w:qFormat/>
    <w:locked/>
    <w:uiPriority w:val="0"/>
    <w:rPr>
      <w:rFonts w:ascii="宋体" w:hAnsi="宋体" w:eastAsia="宋体"/>
      <w:sz w:val="24"/>
    </w:rPr>
  </w:style>
  <w:style w:type="character" w:customStyle="1" w:styleId="48">
    <w:name w:val="批注主题 字符"/>
    <w:link w:val="22"/>
    <w:semiHidden/>
    <w:qFormat/>
    <w:locked/>
    <w:uiPriority w:val="0"/>
    <w:rPr>
      <w:rFonts w:ascii="Times New Roman" w:hAnsi="Times New Roman" w:eastAsia="宋体"/>
      <w:b/>
      <w:kern w:val="2"/>
      <w:sz w:val="24"/>
    </w:rPr>
  </w:style>
  <w:style w:type="paragraph" w:customStyle="1" w:styleId="49">
    <w:name w:val="正文1"/>
    <w:basedOn w:val="1"/>
    <w:qFormat/>
    <w:uiPriority w:val="0"/>
  </w:style>
  <w:style w:type="character" w:customStyle="1" w:styleId="50">
    <w:name w:val="页脚 字符"/>
    <w:basedOn w:val="27"/>
    <w:qFormat/>
    <w:uiPriority w:val="99"/>
  </w:style>
  <w:style w:type="character" w:customStyle="1" w:styleId="51">
    <w:name w:val="正文文本 字符1"/>
    <w:semiHidden/>
    <w:qFormat/>
    <w:uiPriority w:val="0"/>
    <w:rPr>
      <w:rFonts w:ascii="Times New Roman" w:hAnsi="Times New Roman" w:eastAsia="宋体"/>
      <w:sz w:val="24"/>
    </w:rPr>
  </w:style>
  <w:style w:type="character" w:customStyle="1" w:styleId="52">
    <w:name w:val="表格 Char"/>
    <w:link w:val="53"/>
    <w:qFormat/>
    <w:locked/>
    <w:uiPriority w:val="0"/>
    <w:rPr>
      <w:rFonts w:ascii="宋体"/>
      <w:sz w:val="21"/>
    </w:rPr>
  </w:style>
  <w:style w:type="paragraph" w:customStyle="1" w:styleId="53">
    <w:name w:val="表格"/>
    <w:basedOn w:val="34"/>
    <w:next w:val="1"/>
    <w:link w:val="52"/>
    <w:qFormat/>
    <w:uiPriority w:val="0"/>
    <w:pPr>
      <w:adjustRightInd w:val="0"/>
      <w:snapToGrid w:val="0"/>
      <w:spacing w:beforeLines="10" w:afterLines="10" w:line="259" w:lineRule="auto"/>
    </w:pPr>
    <w:rPr>
      <w:rFonts w:ascii="宋体"/>
      <w:kern w:val="0"/>
      <w:szCs w:val="20"/>
    </w:rPr>
  </w:style>
  <w:style w:type="character" w:customStyle="1" w:styleId="54">
    <w:name w:val="日期 字符"/>
    <w:semiHidden/>
    <w:qFormat/>
    <w:uiPriority w:val="0"/>
    <w:rPr>
      <w:rFonts w:ascii="Times New Roman" w:hAnsi="Times New Roman" w:eastAsia="宋体"/>
      <w:sz w:val="24"/>
    </w:rPr>
  </w:style>
  <w:style w:type="character" w:customStyle="1" w:styleId="55">
    <w:name w:val="批注文字 字符1"/>
    <w:semiHidden/>
    <w:qFormat/>
    <w:uiPriority w:val="0"/>
    <w:rPr>
      <w:rFonts w:ascii="Times New Roman" w:hAnsi="Times New Roman" w:eastAsia="宋体"/>
      <w:sz w:val="24"/>
    </w:rPr>
  </w:style>
  <w:style w:type="paragraph" w:customStyle="1" w:styleId="5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样式 标题 1 + 四号 段前: 0 磅 段后: 0 磅 行距: 1.5 倍行距"/>
    <w:basedOn w:val="59"/>
    <w:qFormat/>
    <w:uiPriority w:val="0"/>
    <w:pPr>
      <w:spacing w:line="360" w:lineRule="auto"/>
      <w:jc w:val="center"/>
    </w:pPr>
    <w:rPr>
      <w:sz w:val="28"/>
    </w:rPr>
  </w:style>
  <w:style w:type="paragraph" w:customStyle="1" w:styleId="59">
    <w:name w:val="1正文"/>
    <w:basedOn w:val="1"/>
    <w:qFormat/>
    <w:uiPriority w:val="0"/>
    <w:pPr>
      <w:spacing w:line="500" w:lineRule="exact"/>
      <w:ind w:firstLine="588" w:firstLineChars="196"/>
    </w:pPr>
    <w:rPr>
      <w:rFonts w:eastAsia="楷体_GB2312"/>
      <w:sz w:val="30"/>
      <w:szCs w:val="30"/>
    </w:rPr>
  </w:style>
  <w:style w:type="paragraph" w:customStyle="1" w:styleId="60">
    <w:name w:val="文本正文"/>
    <w:basedOn w:val="1"/>
    <w:qFormat/>
    <w:uiPriority w:val="0"/>
    <w:pPr>
      <w:snapToGrid w:val="0"/>
      <w:spacing w:line="360" w:lineRule="auto"/>
      <w:ind w:firstLine="510"/>
      <w:jc w:val="left"/>
    </w:pPr>
    <w:rPr>
      <w:spacing w:val="4"/>
      <w:kern w:val="24"/>
      <w:lang w:val="zh-CN"/>
    </w:rPr>
  </w:style>
  <w:style w:type="paragraph" w:customStyle="1" w:styleId="61">
    <w:name w:val="表头"/>
    <w:basedOn w:val="62"/>
    <w:next w:val="1"/>
    <w:qFormat/>
    <w:uiPriority w:val="0"/>
    <w:pPr>
      <w:spacing w:line="360" w:lineRule="auto"/>
      <w:jc w:val="left"/>
    </w:pPr>
    <w:rPr>
      <w:sz w:val="24"/>
      <w:szCs w:val="24"/>
    </w:rPr>
  </w:style>
  <w:style w:type="paragraph" w:customStyle="1" w:styleId="62">
    <w:name w:val="表格文字"/>
    <w:basedOn w:val="63"/>
    <w:next w:val="1"/>
    <w:qFormat/>
    <w:uiPriority w:val="0"/>
    <w:pPr>
      <w:autoSpaceDE w:val="0"/>
      <w:autoSpaceDN w:val="0"/>
      <w:adjustRightInd w:val="0"/>
      <w:snapToGrid w:val="0"/>
      <w:spacing w:before="40" w:after="40"/>
      <w:jc w:val="center"/>
      <w:textAlignment w:val="baseline"/>
    </w:pPr>
    <w:rPr>
      <w:rFonts w:hAnsi="宋体"/>
      <w:b/>
      <w:kern w:val="24"/>
    </w:rPr>
  </w:style>
  <w:style w:type="paragraph" w:customStyle="1" w:styleId="63">
    <w:name w:val="样式1"/>
    <w:basedOn w:val="1"/>
    <w:autoRedefine/>
    <w:qFormat/>
    <w:uiPriority w:val="0"/>
    <w:pPr>
      <w:ind w:firstLine="510"/>
    </w:pPr>
    <w:rPr>
      <w:szCs w:val="20"/>
    </w:rPr>
  </w:style>
  <w:style w:type="paragraph" w:customStyle="1" w:styleId="64">
    <w:name w:val="Normal Indent1"/>
    <w:basedOn w:val="1"/>
    <w:qFormat/>
    <w:uiPriority w:val="0"/>
    <w:pPr>
      <w:ind w:firstLine="420" w:firstLineChars="200"/>
    </w:pPr>
  </w:style>
  <w:style w:type="paragraph" w:customStyle="1" w:styleId="65">
    <w:name w:val="正本"/>
    <w:basedOn w:val="1"/>
    <w:qFormat/>
    <w:uiPriority w:val="0"/>
    <w:pPr>
      <w:adjustRightInd w:val="0"/>
      <w:snapToGrid w:val="0"/>
      <w:spacing w:line="360" w:lineRule="auto"/>
      <w:ind w:firstLine="200" w:firstLineChars="200"/>
    </w:pPr>
    <w:rPr>
      <w:rFonts w:ascii="宋体"/>
      <w:sz w:val="24"/>
    </w:rPr>
  </w:style>
  <w:style w:type="paragraph" w:customStyle="1" w:styleId="66">
    <w:name w:val="Table Paragraph"/>
    <w:basedOn w:val="1"/>
    <w:qFormat/>
    <w:uiPriority w:val="1"/>
    <w:pPr>
      <w:autoSpaceDE w:val="0"/>
      <w:autoSpaceDN w:val="0"/>
      <w:spacing w:before="59"/>
      <w:jc w:val="center"/>
    </w:pPr>
    <w:rPr>
      <w:sz w:val="22"/>
      <w:szCs w:val="22"/>
    </w:rPr>
  </w:style>
  <w:style w:type="character" w:customStyle="1" w:styleId="67">
    <w:name w:val="font81"/>
    <w:qFormat/>
    <w:uiPriority w:val="0"/>
    <w:rPr>
      <w:rFonts w:hint="eastAsia" w:ascii="宋体" w:hAnsi="宋体" w:eastAsia="宋体" w:cs="宋体"/>
      <w:color w:val="000000"/>
      <w:sz w:val="22"/>
      <w:szCs w:val="22"/>
      <w:u w:val="none"/>
    </w:rPr>
  </w:style>
  <w:style w:type="paragraph" w:customStyle="1" w:styleId="68">
    <w:name w:val="WPSOffice手动目录 1"/>
    <w:qFormat/>
    <w:uiPriority w:val="0"/>
    <w:rPr>
      <w:rFonts w:ascii="Times New Roman" w:hAnsi="Times New Roman" w:eastAsia="宋体" w:cs="Times New Roman"/>
      <w:lang w:val="en-US" w:eastAsia="zh-CN" w:bidi="ar-SA"/>
    </w:rPr>
  </w:style>
  <w:style w:type="paragraph" w:styleId="69">
    <w:name w:val="List Paragraph"/>
    <w:basedOn w:val="1"/>
    <w:qFormat/>
    <w:uiPriority w:val="0"/>
    <w:pPr>
      <w:ind w:firstLine="420" w:firstLineChars="200"/>
    </w:pPr>
    <w:rPr>
      <w:szCs w:val="20"/>
    </w:rPr>
  </w:style>
  <w:style w:type="paragraph" w:customStyle="1" w:styleId="70">
    <w:name w:val="表标题"/>
    <w:basedOn w:val="1"/>
    <w:next w:val="1"/>
    <w:qFormat/>
    <w:uiPriority w:val="0"/>
    <w:pPr>
      <w:adjustRightInd w:val="0"/>
      <w:snapToGrid w:val="0"/>
      <w:jc w:val="center"/>
      <w:textAlignment w:val="baseline"/>
    </w:pPr>
    <w:rPr>
      <w:b/>
      <w:bCs/>
    </w:rPr>
  </w:style>
  <w:style w:type="paragraph" w:customStyle="1" w:styleId="71">
    <w:name w:val="表格下方正文"/>
    <w:basedOn w:val="1"/>
    <w:qFormat/>
    <w:uiPriority w:val="0"/>
    <w:pPr>
      <w:spacing w:before="300" w:line="460" w:lineRule="exact"/>
    </w:pPr>
  </w:style>
  <w:style w:type="paragraph" w:customStyle="1" w:styleId="72">
    <w:name w:val="正文01"/>
    <w:basedOn w:val="1"/>
    <w:qFormat/>
    <w:uiPriority w:val="0"/>
    <w:pPr>
      <w:spacing w:before="60" w:line="460" w:lineRule="exact"/>
      <w:ind w:firstLine="539"/>
    </w:pPr>
    <w:rPr>
      <w:sz w:val="27"/>
      <w:szCs w:val="20"/>
    </w:rPr>
  </w:style>
  <w:style w:type="paragraph" w:customStyle="1" w:styleId="73">
    <w:name w:val="【正文】"/>
    <w:basedOn w:val="1"/>
    <w:qFormat/>
    <w:uiPriority w:val="0"/>
    <w:pPr>
      <w:spacing w:line="360" w:lineRule="auto"/>
      <w:ind w:firstLine="200" w:firstLineChars="200"/>
      <w:jc w:val="left"/>
    </w:pPr>
    <w:rPr>
      <w:sz w:val="24"/>
    </w:rPr>
  </w:style>
  <w:style w:type="paragraph" w:customStyle="1" w:styleId="74">
    <w:name w:val="一级标题"/>
    <w:basedOn w:val="1"/>
    <w:qFormat/>
    <w:uiPriority w:val="0"/>
    <w:pPr>
      <w:widowControl/>
      <w:jc w:val="left"/>
    </w:pPr>
    <w:rPr>
      <w:b/>
    </w:rPr>
  </w:style>
  <w:style w:type="paragraph" w:customStyle="1" w:styleId="75">
    <w:name w:val="表格内容"/>
    <w:basedOn w:val="34"/>
    <w:next w:val="1"/>
    <w:qFormat/>
    <w:uiPriority w:val="0"/>
    <w:rPr>
      <w:b w:val="0"/>
    </w:rPr>
  </w:style>
  <w:style w:type="paragraph" w:customStyle="1" w:styleId="76">
    <w:name w:val="p0"/>
    <w:basedOn w:val="1"/>
    <w:qFormat/>
    <w:uiPriority w:val="0"/>
    <w:pPr>
      <w:widowControl/>
      <w:jc w:val="left"/>
    </w:pPr>
    <w:rPr>
      <w:sz w:val="20"/>
    </w:rPr>
  </w:style>
  <w:style w:type="paragraph" w:customStyle="1" w:styleId="77">
    <w:name w:val="7表格文字"/>
    <w:basedOn w:val="1"/>
    <w:next w:val="1"/>
    <w:qFormat/>
    <w:uiPriority w:val="0"/>
    <w:pPr>
      <w:adjustRightInd w:val="0"/>
      <w:snapToGrid w:val="0"/>
      <w:spacing w:before="10" w:beforeLines="10" w:after="10" w:afterLines="10" w:line="259" w:lineRule="auto"/>
      <w:jc w:val="center"/>
    </w:pPr>
    <w:rPr>
      <w:kern w:val="0"/>
      <w:szCs w:val="20"/>
    </w:rPr>
  </w:style>
  <w:style w:type="paragraph" w:customStyle="1" w:styleId="78">
    <w:name w:val="表中表"/>
    <w:basedOn w:val="1"/>
    <w:qFormat/>
    <w:uiPriority w:val="0"/>
    <w:pPr>
      <w:wordWrap w:val="0"/>
      <w:adjustRightInd w:val="0"/>
      <w:snapToGrid w:val="0"/>
      <w:jc w:val="center"/>
    </w:pPr>
    <w:rPr>
      <w:rFonts w:hint="eastAsia"/>
      <w:kern w:val="0"/>
      <w:szCs w:val="21"/>
    </w:rPr>
  </w:style>
  <w:style w:type="paragraph" w:customStyle="1" w:styleId="79">
    <w:name w:val="文本内容"/>
    <w:basedOn w:val="1"/>
    <w:qFormat/>
    <w:uiPriority w:val="0"/>
    <w:pPr>
      <w:widowControl/>
      <w:adjustRightInd w:val="0"/>
      <w:snapToGrid w:val="0"/>
      <w:spacing w:line="360" w:lineRule="auto"/>
      <w:ind w:firstLine="546" w:firstLineChars="200"/>
      <w:jc w:val="left"/>
    </w:pPr>
    <w:rPr>
      <w:sz w:val="28"/>
      <w:szCs w:val="28"/>
    </w:rPr>
  </w:style>
  <w:style w:type="paragraph" w:styleId="80">
    <w:name w:val="No Spacing"/>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1">
    <w:name w:val="2倍行距"/>
    <w:basedOn w:val="1"/>
    <w:qFormat/>
    <w:uiPriority w:val="0"/>
    <w:pPr>
      <w:spacing w:line="480" w:lineRule="auto"/>
      <w:jc w:val="left"/>
    </w:pPr>
    <w:rPr>
      <w:sz w:val="24"/>
      <w:szCs w:val="20"/>
    </w:rPr>
  </w:style>
  <w:style w:type="paragraph" w:customStyle="1" w:styleId="82">
    <w:name w:val="正文标题2"/>
    <w:basedOn w:val="1"/>
    <w:qFormat/>
    <w:uiPriority w:val="0"/>
    <w:pPr>
      <w:spacing w:line="360" w:lineRule="auto"/>
      <w:ind w:firstLine="200" w:firstLineChars="200"/>
    </w:pPr>
    <w:rPr>
      <w:sz w:val="24"/>
    </w:rPr>
  </w:style>
  <w:style w:type="paragraph" w:customStyle="1" w:styleId="83">
    <w:name w:val="报告表正文"/>
    <w:basedOn w:val="1"/>
    <w:autoRedefine/>
    <w:qFormat/>
    <w:uiPriority w:val="0"/>
    <w:pPr>
      <w:spacing w:line="360" w:lineRule="auto"/>
      <w:jc w:val="both"/>
    </w:pPr>
    <w:rPr>
      <w:rFonts w:ascii="Times New Roman" w:hAnsi="Times New Roman"/>
      <w:sz w:val="24"/>
      <w:szCs w:val="24"/>
    </w:rPr>
  </w:style>
  <w:style w:type="paragraph" w:customStyle="1" w:styleId="84">
    <w:name w:val="表格 内容"/>
    <w:basedOn w:val="1"/>
    <w:next w:val="1"/>
    <w:qFormat/>
    <w:uiPriority w:val="0"/>
    <w:pPr>
      <w:spacing w:line="240" w:lineRule="auto"/>
      <w:ind w:firstLine="0" w:firstLineChars="0"/>
      <w:jc w:val="center"/>
    </w:pPr>
    <w:rPr>
      <w:rFonts w:eastAsia="宋体" w:asciiTheme="minorAscii" w:hAnsiTheme="minorAscii"/>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wmf"/><Relationship Id="rId25" Type="http://schemas.openxmlformats.org/officeDocument/2006/relationships/oleObject" Target="embeddings/oleObject3.bin"/><Relationship Id="rId24" Type="http://schemas.openxmlformats.org/officeDocument/2006/relationships/image" Target="media/image12.wmf"/><Relationship Id="rId23" Type="http://schemas.openxmlformats.org/officeDocument/2006/relationships/oleObject" Target="embeddings/oleObject2.bin"/><Relationship Id="rId22" Type="http://schemas.openxmlformats.org/officeDocument/2006/relationships/image" Target="media/image11.wmf"/><Relationship Id="rId21" Type="http://schemas.openxmlformats.org/officeDocument/2006/relationships/oleObject" Target="embeddings/oleObject1.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wmf"/><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e112e5d7-f2b7-485c-ae76-1de072bef45f</errorID>
      <errorWord>[2000]338号</errorWord>
      <group>L1_Knowledge</group>
      <groupName>知识性问题</groupName>
      <ability>L2_Knowledge</ability>
      <abilityName>其他知识</abilityName>
      <candidateList>
        <item>〔2000〕338号</item>
      </candidateList>
      <explain>发文字号格式错误。</explain>
      <paraID>6ECBBDE6</paraID>
      <start>89</start>
      <end>99</end>
      <status>unmodified</status>
      <modifiedWord/>
      <trackRevisions>false</trackRevisions>
    </reviewItem>
    <reviewItem>
      <errorID>2206225d-191f-4d81-833d-97dd55e5cdae</errorID>
      <errorWord>(</errorWord>
      <group>L1_Format</group>
      <groupName>格式问题</groupName>
      <ability>L2_HalfPunc</ability>
      <abilityName>全半角检查</abilityName>
      <candidateList>
        <item>（</item>
      </candidateList>
      <explain>文本全半角错误。</explain>
      <paraID>698F10DD</paraID>
      <start>40</start>
      <end>41</end>
      <status>unmodified</status>
      <modifiedWord/>
      <trackRevisions>false</trackRevisions>
    </reviewItem>
    <reviewItem>
      <errorID>35bc3699-6174-47ca-93e6-d091be5b14a4</errorID>
      <errorWord>)</errorWord>
      <group>L1_Format</group>
      <groupName>格式问题</groupName>
      <ability>L2_HalfPunc</ability>
      <abilityName>全半角检查</abilityName>
      <candidateList>
        <item>）</item>
      </candidateList>
      <explain>文本全半角错误。</explain>
      <paraID>698F10DD</paraID>
      <start>46</start>
      <end>47</end>
      <status>unmodified</status>
      <modifiedWord/>
      <trackRevisions>false</trackRevisions>
    </reviewItem>
    <reviewItem>
      <errorID>e0794932-c196-44b3-81fa-e68282dbb555</errorID>
      <errorWord>[2000]338号</errorWord>
      <group>L1_Knowledge</group>
      <groupName>知识性问题</groupName>
      <ability>L2_Knowledge</ability>
      <abilityName>其他知识</abilityName>
      <candidateList>
        <item>〔2000〕338号</item>
      </candidateList>
      <explain>发文字号格式错误。</explain>
      <paraID>35BE1729</paraID>
      <start>25</start>
      <end>35</end>
      <status>unmodified</status>
      <modifiedWord/>
      <trackRevisions>false</trackRevisions>
    </reviewItem>
    <reviewItem>
      <errorID>d2addeb0-e5bb-46bd-a18f-0d87f442713e</errorID>
      <errorWord>"</errorWord>
      <group>L1_Format</group>
      <groupName>格式问题</groupName>
      <ability>L2_HalfPunc</ability>
      <abilityName>全半角检查</abilityName>
      <candidateList>
        <item>”</item>
      </candidateList>
      <explain>文本全半角错误。</explain>
      <paraID>31E77942</paraID>
      <start>16</start>
      <end>17</end>
      <status>unmodified</status>
      <modifiedWord/>
      <trackRevisions>false</trackRevisions>
    </reviewItem>
    <reviewItem>
      <errorID>96bdffa0-9c58-4829-b6ef-a5389fa19ec6</errorID>
      <errorWord>-</errorWord>
      <group>L1_Format</group>
      <groupName>格式问题</groupName>
      <ability>L2_HalfPunc</ability>
      <abilityName>全半角检查</abilityName>
      <candidateList>
        <item>－</item>
      </candidateList>
      <explain>文本全半角错误。</explain>
      <paraID>3ACE1A99</paraID>
      <start>7</start>
      <end>8</end>
      <status>unmodified</status>
      <modifiedWord/>
      <trackRevisions>false</trackRevisions>
    </reviewItem>
    <reviewItem>
      <errorID>0d1f269b-d576-4beb-ac92-65904d237e83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66109AD7</paraID>
      <start>0</start>
      <end>2</end>
      <status>unmodified</status>
      <modifiedWord/>
      <trackRevisions>false</trackRevisions>
    </reviewItem>
    <reviewItem>
      <errorID>d0cfe6b6-d5ef-4d4f-8fae-8dd24ab00563</errorID>
      <errorWord>(</errorWord>
      <group>L1_Format</group>
      <groupName>格式问题</groupName>
      <ability>L2_HalfPunc</ability>
      <abilityName>全半角检查</abilityName>
      <candidateList>
        <item>（</item>
      </candidateList>
      <explain>文本全半角错误。</explain>
      <paraID>261116E7</paraID>
      <start>11</start>
      <end>12</end>
      <status>unmodified</status>
      <modifiedWord/>
      <trackRevisions>false</trackRevisions>
    </reviewItem>
    <reviewItem>
      <errorID>1fb142c0-97af-4ce0-a484-0f6d933b60e1</errorID>
      <errorWord>)</errorWord>
      <group>L1_Format</group>
      <groupName>格式问题</groupName>
      <ability>L2_HalfPunc</ability>
      <abilityName>全半角检查</abilityName>
      <candidateList>
        <item>）</item>
      </candidateList>
      <explain>文本全半角错误。</explain>
      <paraID>261116E7</paraID>
      <start>24</start>
      <end>25</end>
      <status>unmodified</status>
      <modifiedWord/>
      <trackRevisions>false</trackRevisions>
    </reviewItem>
    <reviewItem>
      <errorID>bd1db2a7-4c70-44aa-a655-1b8e305e14f9</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261116E7</paraID>
      <start>57</start>
      <end>77</end>
      <status>unmodified</status>
      <modifiedWord/>
      <trackRevisions>false</trackRevisions>
    </reviewItem>
    <reviewItem>
      <errorID>52598164-616d-4659-a62a-ebe95c48de79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261116E7</paraID>
      <start>164</start>
      <end>167</end>
      <status>unmodified</status>
      <modifiedWord/>
      <trackRevisions>false</trackRevisions>
    </reviewItem>
    <reviewItem>
      <errorID>7b0940b6-176d-4d64-9163-f4e4a8717f3f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261116E7</paraID>
      <start>234</start>
      <end>237</end>
      <status>unmodified</status>
      <modifiedWord/>
      <trackRevisions>false</trackRevisions>
    </reviewItem>
    <reviewItem>
      <errorID>69b9646b-0691-4c12-b040-fc282aa217c6</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1073C956</paraID>
      <start>20</start>
      <end>40</end>
      <status>unmodified</status>
      <modifiedWord/>
      <trackRevisions>false</trackRevisions>
    </reviewItem>
    <reviewItem>
      <errorID>abab230e-e85d-46eb-80a9-455ac5052870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1073C956</paraID>
      <start>114</start>
      <end>117</end>
      <status>unmodified</status>
      <modifiedWord/>
      <trackRevisions>false</trackRevisions>
    </reviewItem>
    <reviewItem>
      <errorID>45a22ee1-5253-4182-9c4c-a28aa0ae306b</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13EEAF43</paraID>
      <start>26</start>
      <end>28</end>
      <status>unmodified</status>
      <modifiedWord/>
      <trackRevisions>false</trackRevisions>
    </reviewItem>
    <reviewItem>
      <errorID>13d0943a-e6da-4cb0-8c60-60da264a2257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50286694</paraID>
      <start>0</start>
      <end>2</end>
      <status>unmodified</status>
      <modifiedWord/>
      <trackRevisions>false</trackRevisions>
    </reviewItem>
    <reviewItem>
      <errorID>a9c6fc9a-4f95-4a26-afef-12e8a21658af</errorID>
      <errorWord>保</errorWord>
      <group>L1_Word</group>
      <groupName>字词问题</groupName>
      <ability>L2_Typo</ability>
      <abilityName>字词错误</abilityName>
      <candidateList>
        <item>保护</item>
      </candidateList>
      <explain/>
      <paraID>38F4232B</paraID>
      <start>130</start>
      <end>131</end>
      <status>unmodified</status>
      <modifiedWord/>
      <trackRevisions>false</trackRevisions>
    </reviewItem>
    <reviewItem>
      <errorID>08bddd30-e97a-4479-b7bd-f3933cd209d7</errorID>
      <errorWord>东南测</errorWord>
      <group>L1_Word</group>
      <groupName>字词问题</groupName>
      <ability>L2_Typo</ability>
      <abilityName>字词错误</abilityName>
      <candidateList>
        <item>东南侧</item>
      </candidateList>
      <explain/>
      <paraID>38F4232B</paraID>
      <start>300</start>
      <end>303</end>
      <status>unmodified</status>
      <modifiedWord/>
      <trackRevisions>false</trackRevisions>
    </reviewItem>
    <reviewItem>
      <errorID>ba422de7-942f-4b77-8d65-eb77be03107f</errorID>
      <errorWord>较</errorWord>
      <group>L1_Word</group>
      <groupName>字词问题</groupName>
      <ability>L2_Typo</ability>
      <abilityName>字词错误</abilityName>
      <candidateList>
        <item>较大</item>
      </candidateList>
      <explain/>
      <paraID>38F4232B</paraID>
      <start>430</start>
      <end>431</end>
      <status>unmodified</status>
      <modifiedWord/>
      <trackRevisions>false</trackRevisions>
    </reviewItem>
    <reviewItem>
      <errorID>e649a4c2-384e-4f1a-b93c-b053c4b7180b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8F5F593</paraID>
      <start>0</start>
      <end>2</end>
      <status>unmodified</status>
      <modifiedWord/>
      <trackRevisions>false</trackRevisions>
    </reviewItem>
    <reviewItem>
      <errorID>5437d446-4b44-4b68-a03f-c5da17e23b94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B887455</paraID>
      <start>0</start>
      <end>2</end>
      <status>unmodified</status>
      <modifiedWord/>
      <trackRevisions>false</trackRevisions>
    </reviewItem>
    <reviewItem>
      <errorID>6e4a0afb-021f-4f02-ae7b-9f9427121401</errorID>
      <errorWord>溪</errorWord>
      <group>L1_Word</group>
      <groupName>字词问题</groupName>
      <ability>L2_Typo</ability>
      <abilityName>字词错误</abilityName>
      <candidateList>
        <item>溪市</item>
      </candidateList>
      <explain/>
      <paraID>342C885D</paraID>
      <start>9</start>
      <end>10</end>
      <status>unmodified</status>
      <modifiedWord/>
      <trackRevisions>false</trackRevisions>
    </reviewItem>
    <reviewItem>
      <errorID>142cc3c3-f843-4f2e-aa77-dbfc8253a54e</errorID>
      <errorWord>-</errorWord>
      <group>L1_Format</group>
      <groupName>格式问题</groupName>
      <ability>L2_HalfPunc</ability>
      <abilityName>全半角检查</abilityName>
      <candidateList>
        <item>－</item>
      </candidateList>
      <explain>文本全半角错误。</explain>
      <paraID> B3ABB30</paraID>
      <start>79</start>
      <end>80</end>
      <status>unmodified</status>
      <modifiedWord/>
      <trackRevisions>false</trackRevisions>
    </reviewItem>
    <reviewItem>
      <errorID>3771a14e-0367-4355-95cd-f3164874dda6</errorID>
      <errorWord>高新区</errorWord>
      <group>L1_Word</group>
      <groupName>字词问题</groupName>
      <ability>L2_Typo</ability>
      <abilityName>字词错误</abilityName>
      <candidateList>
        <item>高新</item>
      </candidateList>
      <explain/>
      <paraID> B3ABB30</paraID>
      <start>140</start>
      <end>143</end>
      <status>unmodified</status>
      <modifiedWord/>
      <trackRevisions>false</trackRevisions>
    </reviewItem>
    <reviewItem>
      <errorID>01c0ad5b-7949-4330-831f-2cf895735110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B3ABB30</paraID>
      <start>161</start>
      <end>162</end>
      <status>unmodified</status>
      <modifiedWord/>
      <trackRevisions>false</trackRevisions>
    </reviewItem>
    <reviewItem>
      <errorID>636be20a-5e11-4cdc-81a0-6e00537d9f49</errorID>
      <errorWord>-</errorWord>
      <group>L1_Format</group>
      <groupName>格式问题</groupName>
      <ability>L2_HalfPunc</ability>
      <abilityName>全半角检查</abilityName>
      <candidateList>
        <item>－</item>
      </candidateList>
      <explain>文本全半角错误。</explain>
      <paraID> B3ABB30</paraID>
      <start>222</start>
      <end>223</end>
      <status>unmodified</status>
      <modifiedWord/>
      <trackRevisions>false</trackRevisions>
    </reviewItem>
    <reviewItem>
      <errorID>5a56bb4c-0cb7-4021-a851-a2cc13e5d242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B3ABB30</paraID>
      <start>284</start>
      <end>285</end>
      <status>unmodified</status>
      <modifiedWord/>
      <trackRevisions>false</trackRevisions>
    </reviewItem>
    <reviewItem>
      <errorID>e3c14e3a-14a0-48e8-af53-2860317dca39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5CC68E96</paraID>
      <start>79</start>
      <end>80</end>
      <status>unmodified</status>
      <modifiedWord/>
      <trackRevisions>false</trackRevisions>
    </reviewItem>
    <reviewItem>
      <errorID>560268ac-0789-4ca8-962c-551cc2816de2</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5CC68E96</paraID>
      <start>117</start>
      <end>120</end>
      <status>unmodified</status>
      <modifiedWord/>
      <trackRevisions>false</trackRevisions>
    </reviewItem>
    <reviewItem>
      <errorID>7e625de7-7cc7-442e-992a-89c08ab6c4f3</errorID>
      <errorWord>上线</errorWord>
      <group>L1_Word</group>
      <groupName>字词问题</groupName>
      <ability>L2_Typo</ability>
      <abilityName>字词错误</abilityName>
      <candidateList>
        <item>上限</item>
      </candidateList>
      <explain/>
      <paraID>7534BBA4</paraID>
      <start>45</start>
      <end>47</end>
      <status>unmodified</status>
      <modifiedWord/>
      <trackRevisions>false</trackRevisions>
    </reviewItem>
    <reviewItem>
      <errorID>8809ad9a-df36-4d1b-b389-123bceb6e13d</errorID>
      <errorWord>溪</errorWord>
      <group>L1_Word</group>
      <groupName>字词问题</groupName>
      <ability>L2_Typo</ability>
      <abilityName>字词错误</abilityName>
      <candidateList>
        <item>溪市</item>
      </candidateList>
      <explain/>
      <paraID>56AEF602</paraID>
      <start>9</start>
      <end>10</end>
      <status>unmodified</status>
      <modifiedWord/>
      <trackRevisions>false</trackRevisions>
    </reviewItem>
    <reviewItem>
      <errorID>c7c60ac4-58b1-4b65-9c8a-ef4ca4aa0505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45EC1718</paraID>
      <start>0</start>
      <end>2</end>
      <status>unmodified</status>
      <modifiedWord/>
      <trackRevisions>false</trackRevisions>
    </reviewItem>
    <reviewItem>
      <errorID>2ef322c6-9942-423a-b35f-a4ac8d5b3aef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3DBD5097</paraID>
      <start>0</start>
      <end>2</end>
      <status>unmodified</status>
      <modifiedWord/>
      <trackRevisions>false</trackRevisions>
    </reviewItem>
    <reviewItem>
      <errorID>1712c7b2-c192-4bf8-9c83-8cda8e4138f9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7F141E05</paraID>
      <start>0</start>
      <end>2</end>
      <status>unmodified</status>
      <modifiedWord/>
      <trackRevisions>false</trackRevisions>
    </reviewItem>
    <reviewItem>
      <errorID>b4aa8a66-bd82-4e0c-8ba7-cffe1eb4c12d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44BA9D27</paraID>
      <start>0</start>
      <end>2</end>
      <status>unmodified</status>
      <modifiedWord/>
      <trackRevisions>false</trackRevisions>
    </reviewItem>
    <reviewItem>
      <errorID>ec90062c-1df4-42b0-b744-e6da88055f87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46726B14</paraID>
      <start>0</start>
      <end>2</end>
      <status>unmodified</status>
      <modifiedWord/>
      <trackRevisions>false</trackRevisions>
    </reviewItem>
    <reviewItem>
      <errorID>c41c1762-72b5-4730-a307-021993568a9d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479CEAF7</paraID>
      <start>0</start>
      <end>2</end>
      <status>unmodified</status>
      <modifiedWord/>
      <trackRevisions>false</trackRevisions>
    </reviewItem>
    <reviewItem>
      <errorID>c27feed4-4738-4f55-ae9e-4a2f4aa00e96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7563EF65</paraID>
      <start>0</start>
      <end>2</end>
      <status>unmodified</status>
      <modifiedWord/>
      <trackRevisions>false</trackRevisions>
    </reviewItem>
    <reviewItem>
      <errorID>194a8b0d-f6b0-4411-9e96-1cf58b4ed777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535EC8F0</paraID>
      <start>0</start>
      <end>2</end>
      <status>unmodified</status>
      <modifiedWord/>
      <trackRevisions>false</trackRevisions>
    </reviewItem>
    <reviewItem>
      <errorID>1cec8827-f79c-49ec-8786-40689a00f0e9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346D9355</paraID>
      <start>0</start>
      <end>2</end>
      <status>unmodified</status>
      <modifiedWord/>
      <trackRevisions>false</trackRevisions>
    </reviewItem>
    <reviewItem>
      <errorID>4ff4dcb5-ba88-43b2-be36-0254ca595669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29B547C1</paraID>
      <start>0</start>
      <end>2</end>
      <status>unmodified</status>
      <modifiedWord/>
      <trackRevisions>false</trackRevisions>
    </reviewItem>
    <reviewItem>
      <errorID>3f6c3b86-48eb-404d-94c5-905b41cc133b</errorID>
      <errorWord>，</errorWord>
      <group>L1_Word</group>
      <groupName>字词问题</groupName>
      <ability>L2_Typo</ability>
      <abilityName>字词错误</abilityName>
      <candidateList>
        <item>，对</item>
      </candidateList>
      <explain/>
      <paraID>29B547C1</paraID>
      <start>19</start>
      <end>20</end>
      <status>unmodified</status>
      <modifiedWord/>
      <trackRevisions>false</trackRevisions>
    </reviewItem>
    <reviewItem>
      <errorID>0d64c6c9-5218-4223-b6d5-01368672ce3e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2328DE83</paraID>
      <start>0</start>
      <end>2</end>
      <status>unmodified</status>
      <modifiedWord/>
      <trackRevisions>false</trackRevisions>
    </reviewItem>
    <reviewItem>
      <errorID>082ee566-ee6e-44fe-8a49-917fa1c772e5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6164560A</paraID>
      <start>0</start>
      <end>2</end>
      <status>unmodified</status>
      <modifiedWord/>
      <trackRevisions>false</trackRevisions>
    </reviewItem>
    <reviewItem>
      <errorID>9c98b961-47f3-41b1-8968-e47616ce3e8b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793A2E63</paraID>
      <start>0</start>
      <end>2</end>
      <status>unmodified</status>
      <modifiedWord/>
      <trackRevisions>false</trackRevisions>
    </reviewItem>
    <reviewItem>
      <errorID>490bfcc1-1bdd-4f9e-ac57-0013d441c0f0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22004E61</paraID>
      <start>8</start>
      <end>11</end>
      <status>unmodified</status>
      <modifiedWord/>
      <trackRevisions>false</trackRevisions>
    </reviewItem>
    <reviewItem>
      <errorID>e5611755-630b-4ab7-b5a2-18b333cf1dee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6B002A5E</paraID>
      <start>0</start>
      <end>2</end>
      <status>unmodified</status>
      <modifiedWord/>
      <trackRevisions>false</trackRevisions>
    </reviewItem>
    <reviewItem>
      <errorID>e352c798-ebc6-417a-9db0-41bc81bdfba5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E90AA2</paraID>
      <start>0</start>
      <end>2</end>
      <status>unmodified</status>
      <modifiedWord/>
      <trackRevisions>false</trackRevisions>
    </reviewItem>
    <reviewItem>
      <errorID>0b1d5c6f-6d7b-4a59-8d1f-63c474df55c6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2A6F2E05</paraID>
      <start>0</start>
      <end>2</end>
      <status>unmodified</status>
      <modifiedWord/>
      <trackRevisions>false</trackRevisions>
    </reviewItem>
    <reviewItem>
      <errorID>b963842b-5f8e-4618-8c9b-b682e69d6bd4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5BCA9507</paraID>
      <start>0</start>
      <end>2</end>
      <status>unmodified</status>
      <modifiedWord/>
      <trackRevisions>false</trackRevisions>
    </reviewItem>
    <reviewItem>
      <errorID>2cd2c1a1-832d-41eb-9696-902fa24f5f51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464EC93D</paraID>
      <start>0</start>
      <end>2</end>
      <status>unmodified</status>
      <modifiedWord/>
      <trackRevisions>false</trackRevisions>
    </reviewItem>
    <reviewItem>
      <errorID>fbd10113-4e4c-4249-985b-30555c68f1f2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DF0A8BF</paraID>
      <start>0</start>
      <end>2</end>
      <status>unmodified</status>
      <modifiedWord/>
      <trackRevisions>false</trackRevisions>
    </reviewItem>
    <reviewItem>
      <errorID>2839c57f-701d-4aa5-8edf-2f28131d50b0</errorID>
      <errorWord>2025年07月22日</errorWord>
      <group>L1_Knowledge</group>
      <groupName>知识性问题</groupName>
      <ability>L2_Time</ability>
      <abilityName>日期时间</abilityName>
      <candidateList>
        <item>2025年7月22日</item>
      </candidateList>
      <explain>根据日常书写习惯，月份一般会省略前导零。</explain>
      <paraID>3519DC9B</paraID>
      <start>47</start>
      <end>58</end>
      <status>unmodified</status>
      <modifiedWord/>
      <trackRevisions>false</trackRevisions>
    </reviewItem>
    <reviewItem>
      <errorID>4aa59154-ecb7-429f-898d-8aa00ecfa9a7</errorID>
      <errorWord>2030年07月21日</errorWord>
      <group>L1_Knowledge</group>
      <groupName>知识性问题</groupName>
      <ability>L2_Time</ability>
      <abilityName>日期时间</abilityName>
      <candidateList>
        <item>2030年7月21日</item>
      </candidateList>
      <explain>根据日常书写习惯，月份一般会省略前导零。</explain>
      <paraID>3519DC9B</paraID>
      <start>59</start>
      <end>70</end>
      <status>unmodified</status>
      <modifiedWord/>
      <trackRevisions>false</trackRevisions>
    </reviewItem>
    <reviewItem>
      <errorID>840782ba-e33d-4a75-899f-a002c4fd92e7</errorID>
      <errorWord>像</errorWord>
      <group>L1_Word</group>
      <groupName>字词问题</groupName>
      <ability>L2_Typo</ability>
      <abilityName>字词错误</abilityName>
      <candidateList>
        <item>向</item>
      </candidateList>
      <explain>〈副〉向来：～有研究｜～无此例。</explain>
      <paraID>3519DC9B</paraID>
      <start>109</start>
      <end>110</end>
      <status>unmodified</status>
      <modifiedWord/>
      <trackRevisions>false</trackRevisions>
    </reviewItem>
    <reviewItem>
      <errorID>a9b5eead-9d3c-42fa-9a4b-679f798568ee</errorID>
      <errorWord>(</errorWord>
      <group>L1_Format</group>
      <groupName>格式问题</groupName>
      <ability>L2_HalfPunc</ability>
      <abilityName>全半角检查</abilityName>
      <candidateList>
        <item>（</item>
      </candidateList>
      <explain>文本全半角错误。</explain>
      <paraID>721F67BD</paraID>
      <start>45</start>
      <end>46</end>
      <status>unmodified</status>
      <modifiedWord/>
      <trackRevisions>false</trackRevisions>
    </reviewItem>
    <reviewItem>
      <errorID>2adc01cc-c4ab-405d-a55e-fd49261fd98b</errorID>
      <errorWord>)</errorWord>
      <group>L1_Format</group>
      <groupName>格式问题</groupName>
      <ability>L2_HalfPunc</ability>
      <abilityName>全半角检查</abilityName>
      <candidateList>
        <item>）</item>
      </candidateList>
      <explain>文本全半角错误。</explain>
      <paraID>721F67BD</paraID>
      <start>56</start>
      <end>57</end>
      <status>unmodified</status>
      <modifiedWord/>
      <trackRevisions>false</trackRevisions>
    </reviewItem>
    <reviewItem>
      <errorID>5b6602be-c24c-45dc-9b15-f96190f9ac12</errorID>
      <errorWord>(</errorWord>
      <group>L1_Format</group>
      <groupName>格式问题</groupName>
      <ability>L2_HalfPunc</ability>
      <abilityName>全半角检查</abilityName>
      <candidateList>
        <item>（</item>
      </candidateList>
      <explain>文本全半角错误。</explain>
      <paraID>721F67BD</paraID>
      <start>79</start>
      <end>80</end>
      <status>unmodified</status>
      <modifiedWord/>
      <trackRevisions>false</trackRevisions>
    </reviewItem>
    <reviewItem>
      <errorID>8048a42b-1542-47f9-a979-02eabea6f4b0</errorID>
      <errorWord>)</errorWord>
      <group>L1_Format</group>
      <groupName>格式问题</groupName>
      <ability>L2_HalfPunc</ability>
      <abilityName>全半角检查</abilityName>
      <candidateList>
        <item>）</item>
      </candidateList>
      <explain>文本全半角错误。</explain>
      <paraID>721F67BD</paraID>
      <start>90</start>
      <end>91</end>
      <status>unmodified</status>
      <modifiedWord/>
      <trackRevisions>false</trackRevisions>
    </reviewItem>
    <reviewItem>
      <errorID>688506e6-8349-4a86-b512-29582a2e1a6c</errorID>
      <errorWord>-</errorWord>
      <group>L1_Format</group>
      <groupName>格式问题</groupName>
      <ability>L2_HalfPunc</ability>
      <abilityName>全半角检查</abilityName>
      <candidateList>
        <item>－</item>
      </candidateList>
      <explain>文本全半角错误。</explain>
      <paraID>721F67BD</paraID>
      <start>166</start>
      <end>167</end>
      <status>unmodified</status>
      <modifiedWord/>
      <trackRevisions>false</trackRevisions>
    </reviewItem>
    <reviewItem>
      <errorID>a54976dd-e5f5-4e3a-b18e-f0ae56dffab2</errorID>
      <errorWord>主要为</errorWord>
      <group>L1_Word</group>
      <groupName>字词问题</groupName>
      <ability>L2_Typo</ability>
      <abilityName>字词错误</abilityName>
      <candidateList>
        <item>主要</item>
      </candidateList>
      <explain>〈形〉属性词。有关事物中最重要的；起决定作用的：～原因｜～目的｜～人物。</explain>
      <paraID>1BAB7DE7</paraID>
      <start>3</start>
      <end>6</end>
      <status>unmodified</status>
      <modifiedWord/>
      <trackRevisions>false</trackRevisions>
    </reviewItem>
    <reviewItem>
      <errorID>53f2cbd1-9501-49b4-b430-388d7ce0c295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3F45AEC7</paraID>
      <start>0</start>
      <end>2</end>
      <status>unmodified</status>
      <modifiedWord/>
      <trackRevisions>false</trackRevisions>
    </reviewItem>
    <reviewItem>
      <errorID>a735b436-0735-4de1-89b8-cf03064e38be</errorID>
      <errorWord>减少多</errorWord>
      <group>L1_Word</group>
      <groupName>字词问题</groupName>
      <ability>L2_Typo</ability>
      <abilityName>字词错误</abilityName>
      <candidateList>
        <item>减少</item>
      </candidateList>
      <explain>〈动〉减去一部分：～人员｜～麻烦｜工作中的缺点～了。</explain>
      <paraID>448A03C2</paraID>
      <start>11</start>
      <end>14</end>
      <status>unmodified</status>
      <modifiedWord/>
      <trackRevisions>false</trackRevisions>
    </reviewItem>
    <reviewItem>
      <errorID>5fba9405-e3d8-4a30-bfd5-a6518ac23fef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448A03C2</paraID>
      <start>58</start>
      <end>61</end>
      <status>unmodified</status>
      <modifiedWord/>
      <trackRevisions>false</trackRevisions>
    </reviewItem>
    <reviewItem>
      <errorID>412e08d1-0f63-4fe0-893d-15815c1b7400</errorID>
      <errorWord>[2005]40号</errorWord>
      <group>L1_Knowledge</group>
      <groupName>知识性问题</groupName>
      <ability>L2_Knowledge</ability>
      <abilityName>其他知识</abilityName>
      <candidateList>
        <item>〔2005〕40号</item>
      </candidateList>
      <explain>发文字号格式错误。</explain>
      <paraID>4A143310</paraID>
      <start>88</start>
      <end>97</end>
      <status>unmodified</status>
      <modifiedWord/>
      <trackRevisions>false</trackRevisions>
    </reviewItem>
    <reviewItem>
      <errorID>e1806648-73e6-4709-b0e1-8efa5c9badb1</errorID>
      <errorWord>法律、法规</errorWord>
      <group>L1_Word</group>
      <groupName>字词问题</groupName>
      <ability>L2_Typo</ability>
      <abilityName>字词错误</abilityName>
      <candidateList>
        <item>法律法规</item>
      </candidateList>
      <explain/>
      <paraID>4A143310</paraID>
      <start>125</start>
      <end>130</end>
      <status>unmodified</status>
      <modifiedWord/>
      <trackRevisions>false</trackRevisions>
    </reviewItem>
    <reviewItem>
      <errorID>5c520098-eeca-422d-b28f-32ff9a32b65f</errorID>
      <errorWord>其它</errorWord>
      <group>L1_Word</group>
      <groupName>字词问题</groupName>
      <ability>L2_Alias</ability>
      <abilityName>也作/曾用词</abilityName>
      <candidateList>
        <item>其他</item>
      </candidateList>
      <explain>词汇[其它]为不规范表述或旧称，其规范书面表述为[其他]。</explain>
      <paraID>4607D316</paraID>
      <start>3</start>
      <end>5</end>
      <status>unmodified</status>
      <modifiedWord/>
      <trackRevisions>false</trackRevisions>
    </reviewItem>
    <reviewItem>
      <errorID>c24acb1e-3cc8-42f5-8674-fe848afe519e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36193C3D</paraID>
      <start>0</start>
      <end>2</end>
      <status>unmodified</status>
      <modifiedWord/>
      <trackRevisions>false</trackRevisions>
    </reviewItem>
    <reviewItem>
      <errorID>c0629154-f947-4299-bca3-e160ba232cac</errorID>
      <errorWord>[2018]44号</errorWord>
      <group>L1_Knowledge</group>
      <groupName>知识性问题</groupName>
      <ability>L2_Knowledge</ability>
      <abilityName>其他知识</abilityName>
      <candidateList>
        <item>〔2018〕44号</item>
      </candidateList>
      <explain>发文字号格式错误。</explain>
      <paraID>36193C3D</paraID>
      <start>7</start>
      <end>16</end>
      <status>unmodified</status>
      <modifiedWord/>
      <trackRevisions>false</trackRevisions>
    </reviewItem>
    <reviewItem>
      <errorID>affd894b-4267-4cc4-b25a-c9ac2ec571a3</errorID>
      <errorWord>2018年09月19日</errorWord>
      <group>L1_Knowledge</group>
      <groupName>知识性问题</groupName>
      <ability>L2_Time</ability>
      <abilityName>日期时间</abilityName>
      <candidateList>
        <item>2018年9月19日</item>
      </candidateList>
      <explain>根据日常书写习惯，月份一般会省略前导零。</explain>
      <paraID>42AF3393</paraID>
      <start>0</start>
      <end>11</end>
      <status>unmodified</status>
      <modifiedWord/>
      <trackRevisions>false</trackRevisions>
    </reviewItem>
    <reviewItem>
      <errorID>4e5f951c-0798-424d-9f1d-f9ac821344ed</errorID>
      <errorWord>[2018]44号</errorWord>
      <group>L1_Knowledge</group>
      <groupName>知识性问题</groupName>
      <ability>L2_Knowledge</ability>
      <abilityName>其他知识</abilityName>
      <candidateList>
        <item>〔2018〕44号</item>
      </candidateList>
      <explain>发文字号格式错误。</explain>
      <paraID>42AF3393</paraID>
      <start>49</start>
      <end>58</end>
      <status>unmodified</status>
      <modifiedWord/>
      <trackRevisions>false</trackRevisions>
    </reviewItem>
    <reviewItem>
      <errorID>287c3b1a-17c4-4368-91da-7a35016ca56e</errorID>
      <errorWord>，</errorWord>
      <group>L1_Word</group>
      <groupName>字词问题</groupName>
      <ability>L2_Typo</ability>
      <abilityName>字词错误</abilityName>
      <candidateList>
        <item>，要</item>
      </candidateList>
      <explain/>
      <paraID>79E47121</paraID>
      <start>217</start>
      <end>218</end>
      <status>unmodified</status>
      <modifiedWord/>
      <trackRevisions>false</trackRevisions>
    </reviewItem>
    <reviewItem>
      <errorID>34a1cfa2-ec5e-43f2-aad8-4a9c5e769643</errorID>
      <errorWord>车</errorWord>
      <group>L1_Word</group>
      <groupName>字词问题</groupName>
      <ability>L2_Typo</ability>
      <abilityName>字词错误</abilityName>
      <candidateList>
        <item>车辆</item>
      </candidateList>
      <explain>〈名〉各种车的总称。</explain>
      <paraID>6F409531</paraID>
      <start>333</start>
      <end>334</end>
      <status>unmodified</status>
      <modifiedWord/>
      <trackRevisions>false</trackRevisions>
    </reviewItem>
    <reviewItem>
      <errorID>e29868f4-c7aa-44f2-b79f-b7b2cc170add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7A769B11</paraID>
      <start>0</start>
      <end>2</end>
      <status>unmodified</status>
      <modifiedWord/>
      <trackRevisions>false</trackRevisions>
    </reviewItem>
    <reviewItem>
      <errorID>a539095e-7a15-4e40-811d-61f91ece1b41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4CE2C0E2</paraID>
      <start>0</start>
      <end>2</end>
      <status>unmodified</status>
      <modifiedWord/>
      <trackRevisions>false</trackRevisions>
    </reviewItem>
    <reviewItem>
      <errorID>39687e9d-3eaa-49c5-a1dc-70edfc02e4d5</errorID>
      <errorWord>溪</errorWord>
      <group>L1_Word</group>
      <groupName>字词问题</groupName>
      <ability>L2_Typo</ability>
      <abilityName>字词错误</abilityName>
      <candidateList>
        <item>溪市</item>
      </candidateList>
      <explain/>
      <paraID>14AB4681</paraID>
      <start>8</start>
      <end>9</end>
      <status>unmodified</status>
      <modifiedWord/>
      <trackRevisions>false</trackRevisions>
    </reviewItem>
    <reviewItem>
      <errorID>5113bccc-205c-4894-9d45-18cc9493385c</errorID>
      <errorWord>[2005]40号</errorWord>
      <group>L1_Knowledge</group>
      <groupName>知识性问题</groupName>
      <ability>L2_Knowledge</ability>
      <abilityName>其他知识</abilityName>
      <candidateList>
        <item>〔2005〕40号</item>
      </candidateList>
      <explain>发文字号格式错误。</explain>
      <paraID>16DFB120</paraID>
      <start>85</start>
      <end>94</end>
      <status>unmodified</status>
      <modifiedWord/>
      <trackRevisions>false</trackRevisions>
    </reviewItem>
    <reviewItem>
      <errorID>82880565-8640-4afb-ad0b-7362496951c3</errorID>
      <errorWord>法律、法规</errorWord>
      <group>L1_Word</group>
      <groupName>字词问题</groupName>
      <ability>L2_Typo</ability>
      <abilityName>字词错误</abilityName>
      <candidateList>
        <item>法律法规</item>
      </candidateList>
      <explain/>
      <paraID>16DFB120</paraID>
      <start>122</start>
      <end>127</end>
      <status>unmodified</status>
      <modifiedWord/>
      <trackRevisions>false</trackRevisions>
    </reviewItem>
    <reviewItem>
      <errorID>b72fded5-24ae-4496-a215-8ee20c46264c</errorID>
      <errorWord>：:</errorWord>
      <group>L1_Punc</group>
      <groupName>标点问题</groupName>
      <ability>L2_Punc</ability>
      <abilityName>标点符号检查</abilityName>
      <candidateList>
        <item>：</item>
      </candidateList>
      <explain/>
      <paraID>4BD47EE0</paraID>
      <start>8</start>
      <end>10</end>
      <status>unmodified</status>
      <modifiedWord/>
      <trackRevisions>false</trackRevisions>
    </reviewItem>
    <reviewItem>
      <errorID>d02690f3-8d16-44d2-bc12-2d00242ac724</errorID>
      <errorWord>(</errorWord>
      <group>L1_Format</group>
      <groupName>格式问题</groupName>
      <ability>L2_HalfPunc</ability>
      <abilityName>全半角检查</abilityName>
      <candidateList>
        <item>（</item>
      </candidateList>
      <explain>文本全半角错误。</explain>
      <paraID>4BD47EE0</paraID>
      <start>117</start>
      <end>118</end>
      <status>unmodified</status>
      <modifiedWord/>
      <trackRevisions>false</trackRevisions>
    </reviewItem>
    <reviewItem>
      <errorID>6083eb9e-22dd-42ee-a3da-4b6915e7ac2d</errorID>
      <errorWord>)</errorWord>
      <group>L1_Format</group>
      <groupName>格式问题</groupName>
      <ability>L2_HalfPunc</ability>
      <abilityName>全半角检查</abilityName>
      <candidateList>
        <item>）</item>
      </candidateList>
      <explain>文本全半角错误。</explain>
      <paraID>4BD47EE0</paraID>
      <start>124</start>
      <end>125</end>
      <status>unmodified</status>
      <modifiedWord/>
      <trackRevisions>false</trackRevisions>
    </reviewItem>
    <reviewItem>
      <errorID>2ddaf8fd-402c-42fe-96c2-aea624f4afbb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4BD47EE0</paraID>
      <start>125</start>
      <end>128</end>
      <status>unmodified</status>
      <modifiedWord/>
      <trackRevisions>false</trackRevisions>
    </reviewItem>
    <reviewItem>
      <errorID>006e844f-7d81-4270-b802-78a6071f8c43</errorID>
      <errorWord>(</errorWord>
      <group>L1_Format</group>
      <groupName>格式问题</groupName>
      <ability>L2_HalfPunc</ability>
      <abilityName>全半角检查</abilityName>
      <candidateList>
        <item>（</item>
      </candidateList>
      <explain>文本全半角错误。</explain>
      <paraID>4BD47EE0</paraID>
      <start>138</start>
      <end>139</end>
      <status>unmodified</status>
      <modifiedWord/>
      <trackRevisions>false</trackRevisions>
    </reviewItem>
    <reviewItem>
      <errorID>983824eb-c924-4865-943e-02e76e95401b</errorID>
      <errorWord>)(</errorWord>
      <group>L1_Format</group>
      <groupName>格式问题</groupName>
      <ability>L2_HalfPunc</ability>
      <abilityName>全半角检查</abilityName>
      <candidateList>
        <item>）（</item>
      </candidateList>
      <explain>文本全半角错误。</explain>
      <paraID>4BD47EE0</paraID>
      <start>145</start>
      <end>147</end>
      <status>unmodified</status>
      <modifiedWord/>
      <trackRevisions>false</trackRevisions>
    </reviewItem>
    <reviewItem>
      <errorID>a66f539b-ebfa-4a5f-b489-3339d94c28d4</errorID>
      <errorWord>)</errorWord>
      <group>L1_Format</group>
      <groupName>格式问题</groupName>
      <ability>L2_HalfPunc</ability>
      <abilityName>全半角检查</abilityName>
      <candidateList>
        <item>）</item>
      </candidateList>
      <explain>文本全半角错误。</explain>
      <paraID>4BD47EE0</paraID>
      <start>149</start>
      <end>150</end>
      <status>unmodified</status>
      <modifiedWord/>
      <trackRevisions>false</trackRevisions>
    </reviewItem>
    <reviewItem>
      <errorID>8831a38d-6ea9-4557-b436-e1d1803783d5</errorID>
      <errorWord>(</errorWord>
      <group>L1_Format</group>
      <groupName>格式问题</groupName>
      <ability>L2_HalfPunc</ability>
      <abilityName>全半角检查</abilityName>
      <candidateList>
        <item>（</item>
      </candidateList>
      <explain>文本全半角错误。</explain>
      <paraID>492E498E</paraID>
      <start>261</start>
      <end>262</end>
      <status>unmodified</status>
      <modifiedWord/>
      <trackRevisions>false</trackRevisions>
    </reviewItem>
    <reviewItem>
      <errorID>ed39d21b-a6ee-4d00-b310-04d023c95102</errorID>
      <errorWord>)</errorWord>
      <group>L1_Format</group>
      <groupName>格式问题</groupName>
      <ability>L2_HalfPunc</ability>
      <abilityName>全半角检查</abilityName>
      <candidateList>
        <item>）</item>
      </candidateList>
      <explain>文本全半角错误。</explain>
      <paraID>492E498E</paraID>
      <start>263</start>
      <end>264</end>
      <status>unmodified</status>
      <modifiedWord/>
      <trackRevisions>false</trackRevisions>
    </reviewItem>
    <reviewItem>
      <errorID>88e59f33-eb80-4b57-a47a-143b14d47662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2D5930F3</paraID>
      <start>228</start>
      <end>229</end>
      <status>unmodified</status>
      <modifiedWord/>
      <trackRevisions>false</trackRevisions>
    </reviewItem>
    <reviewItem>
      <errorID>491129cc-8644-4158-944b-5df0cadcd569</errorID>
      <errorWord>其它</errorWord>
      <group>L1_Word</group>
      <groupName>字词问题</groupName>
      <ability>L2_Alias</ability>
      <abilityName>也作/曾用词</abilityName>
      <candidateList>
        <item>其他</item>
      </candidateList>
      <explain>词汇[其它]为不规范表述或旧称，其规范书面表述为[其他]。</explain>
      <paraID>22113C96</paraID>
      <start>3</start>
      <end>5</end>
      <status>unmodified</status>
      <modifiedWord/>
      <trackRevisions>false</trackRevisions>
    </reviewItem>
    <reviewItem>
      <errorID>2e8bc441-21f1-489f-945c-4fe9d676867e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148D99F2</paraID>
      <start>0</start>
      <end>3</end>
      <status>unmodified</status>
      <modifiedWord/>
      <trackRevisions>false</trackRevisions>
    </reviewItem>
    <reviewItem>
      <errorID>cc8d8c7d-5584-4890-8868-eb39688a517d</errorID>
      <errorWord>工地</errorWord>
      <group>L1_Word</group>
      <groupName>字词问题</groupName>
      <ability>L2_Typo</ability>
      <abilityName>字词错误</abilityName>
      <candidateList>
        <item>场地</item>
      </candidateList>
      <explain/>
      <paraID>26F79558</paraID>
      <start>147</start>
      <end>149</end>
      <status>unmodified</status>
      <modifiedWord/>
      <trackRevisions>false</trackRevisions>
    </reviewItem>
    <reviewItem>
      <errorID>d5e20dea-68e6-413b-b4b0-5df046c2b939</errorID>
      <errorWord>程</errorWord>
      <group>L1_Word</group>
      <groupName>字词问题</groupName>
      <ability>L2_Typo</ability>
      <abilityName>字词错误</abilityName>
      <candidateList>
        <item>程中</item>
      </candidateList>
      <explain/>
      <paraID>26F79558</paraID>
      <start>158</start>
      <end>159</end>
      <status>unmodified</status>
      <modifiedWord/>
      <trackRevisions>false</trackRevisions>
    </reviewItem>
    <reviewItem>
      <errorID>758913bf-3786-4c0f-869d-188ada604bd2</errorID>
      <errorWord>其它</errorWord>
      <group>L1_Word</group>
      <groupName>字词问题</groupName>
      <ability>L2_Alias</ability>
      <abilityName>也作/曾用词</abilityName>
      <candidateList>
        <item>其他</item>
      </candidateList>
      <explain>词汇[其它]为不规范表述或旧称，其规范书面表述为[其他]。</explain>
      <paraID>2A590A31</paraID>
      <start>3</start>
      <end>5</end>
      <status>unmodified</status>
      <modifiedWord/>
      <trackRevisions>false</trackRevisions>
    </reviewItem>
    <reviewItem>
      <errorID>dc7951f9-c6f8-4de2-9dc3-a46692236da1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FF85F50</paraID>
      <start>0</start>
      <end>3</end>
      <status>unmodified</status>
      <modifiedWord/>
      <trackRevisions>false</trackRevisions>
    </reviewItem>
    <reviewItem>
      <errorID>c9066e61-8b6e-4e3a-9212-73de99577ec0</errorID>
      <errorWord>《中共中央、国务院</errorWord>
      <group>L1_Political</group>
      <groupName>政治性问题</groupName>
      <ability>L2_Unpolitical</ability>
      <abilityName>政治敏感错误</abilityName>
      <candidateList>
        <item>《中共中央 国务院</item>
      </candidateList>
      <explain/>
      <paraID>7844F7B3</paraID>
      <start>5</start>
      <end>14</end>
      <status>unmodified</status>
      <modifiedWord/>
      <trackRevisions>false</trackRevisions>
    </reviewItem>
    <reviewItem>
      <errorID>f4ca82b3-5e97-4a33-b665-eea31d6c05d3</errorID>
      <errorWord>补链延链强链</errorWord>
      <group>L1_Political</group>
      <groupName>政治性问题</groupName>
      <ability>L2_Unpolitical</ability>
      <abilityName>政治敏感错误</abilityName>
      <candidateList>
        <item>延链补链强链</item>
      </candidateList>
      <explain/>
      <paraID>4AC81AE9</paraID>
      <start>48</start>
      <end>54</end>
      <status>unmodified</status>
      <modifiedWord/>
      <trackRevisions>false</trackRevisions>
    </reviewItem>
    <reviewItem>
      <errorID>95503386-58d0-4abc-814a-5605a8e7d51e</errorID>
      <errorWord>开展开展</errorWord>
      <group>L1_Word</group>
      <groupName>字词问题</groupName>
      <ability>L2_Typo</ability>
      <abilityName>字词错误</abilityName>
      <candidateList>
        <item>开展</item>
      </candidateList>
      <explain>〈动〉展览会开始展出：一年一度的春节花展明天～。</explain>
      <paraID> 8FD3180</paraID>
      <start>95</start>
      <end>99</end>
      <status>unmodified</status>
      <modifiedWord/>
      <trackRevisions>false</trackRevisions>
    </reviewItem>
    <reviewItem>
      <errorID>284d3f1b-fac1-4526-a8a2-e9b31314c851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6327A3CB</paraID>
      <start>0</start>
      <end>3</end>
      <status>unmodified</status>
      <modifiedWord/>
      <trackRevisions>false</trackRevisions>
    </reviewItem>
    <reviewItem>
      <errorID>a4ade31c-fd13-480b-a3fc-cfd39ebc1e05</errorID>
      <errorWord>-</errorWord>
      <group>L1_Format</group>
      <groupName>格式问题</groupName>
      <ability>L2_HalfPunc</ability>
      <abilityName>全半角检查</abilityName>
      <candidateList>
        <item>－</item>
      </candidateList>
      <explain>文本全半角错误。</explain>
      <paraID>2F99EBD5</paraID>
      <start>85</start>
      <end>86</end>
      <status>unmodified</status>
      <modifiedWord/>
      <trackRevisions>false</trackRevisions>
    </reviewItem>
    <reviewItem>
      <errorID>b0e9409f-61b3-467a-8c32-468f57b6eeae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334BA19D</paraID>
      <start>0</start>
      <end>3</end>
      <status>unmodified</status>
      <modifiedWord/>
      <trackRevisions>false</trackRevisions>
    </reviewItem>
    <reviewItem>
      <errorID>28f5d7db-15e0-47a7-8556-3ca881d1c3f3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4EAE42E2</paraID>
      <start>0</start>
      <end>3</end>
      <status>unmodified</status>
      <modifiedWord/>
      <trackRevisions>false</trackRevisions>
    </reviewItem>
    <reviewItem>
      <errorID>7923d1b0-2f39-44ae-91ba-1273b2cbbd9c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5BDB5AB9</paraID>
      <start>0</start>
      <end>2</end>
      <status>unmodified</status>
      <modifiedWord/>
      <trackRevisions>false</trackRevisions>
    </reviewItem>
    <reviewItem>
      <errorID>3b3b05b3-ba6d-4633-a091-c6d7df24e6dd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5BDB5AB9</paraID>
      <start>26</start>
      <end>29</end>
      <status>unmodified</status>
      <modifiedWord/>
      <trackRevisions>false</trackRevisions>
    </reviewItem>
    <reviewItem>
      <errorID>ffe5ed30-d1b9-4f80-aaab-01fe472e5cbf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1C5A1538</paraID>
      <start>0</start>
      <end>2</end>
      <status>unmodified</status>
      <modifiedWord/>
      <trackRevisions>false</trackRevisions>
    </reviewItem>
    <reviewItem>
      <errorID>c01aeb59-d510-4bfa-8e5f-132c567a5c73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3434A635</paraID>
      <start>0</start>
      <end>3</end>
      <status>unmodified</status>
      <modifiedWord/>
      <trackRevisions>false</trackRevisions>
    </reviewItem>
    <reviewItem>
      <errorID>a6553f78-3e1e-40f1-b76a-e95fdffb1d6d</errorID>
      <errorWord>补链延链强链</errorWord>
      <group>L1_Political</group>
      <groupName>政治性问题</groupName>
      <ability>L2_Unpolitical</ability>
      <abilityName>政治敏感错误</abilityName>
      <candidateList>
        <item>延链补链强链</item>
      </candidateList>
      <explain/>
      <paraID>2B1BB198</paraID>
      <start>38</start>
      <end>44</end>
      <status>unmodified</status>
      <modifiedWord/>
      <trackRevisions>false</trackRevisions>
    </reviewItem>
    <reviewItem>
      <errorID>a40b9f35-6e57-4f0e-8c66-5b62895a720e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1D0722E2</paraID>
      <start>0</start>
      <end>3</end>
      <status>unmodified</status>
      <modifiedWord/>
      <trackRevisions>false</trackRevisions>
    </reviewItem>
    <reviewItem>
      <errorID>f19afc28-486b-4a5b-b098-c5b0a3d75f68</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41C8987F</paraID>
      <start>0</start>
      <end>3</end>
      <status>unmodified</status>
      <modifiedWord/>
      <trackRevisions>false</trackRevisions>
    </reviewItem>
    <reviewItem>
      <errorID>e97bad51-e584-4582-8688-065723f3e2b9</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481E7153</paraID>
      <start>0</start>
      <end>3</end>
      <status>unmodified</status>
      <modifiedWord/>
      <trackRevisions>false</trackRevisions>
    </reviewItem>
    <reviewItem>
      <errorID>edd18dfc-bb0b-45ab-937b-410b3858fbae</errorID>
      <errorWord>:</errorWord>
      <group>L1_Format</group>
      <groupName>格式问题</groupName>
      <ability>L2_HalfPunc</ability>
      <abilityName>全半角检查</abilityName>
      <candidateList>
        <item>：</item>
      </candidateList>
      <explain>文本全半角错误。</explain>
      <paraID>3CE25A6A</paraID>
      <start>63</start>
      <end>64</end>
      <status>unmodified</status>
      <modifiedWord/>
      <trackRevisions>false</trackRevisions>
    </reviewItem>
    <reviewItem>
      <errorID>c2512677-e0f4-4e1f-86f8-3bc90a21bad2</errorID>
      <errorWord>(</errorWord>
      <group>L1_Format</group>
      <groupName>格式问题</groupName>
      <ability>L2_HalfPunc</ability>
      <abilityName>全半角检查</abilityName>
      <candidateList>
        <item>（</item>
      </candidateList>
      <explain>文本全半角错误。</explain>
      <paraID>3CE25A6A</paraID>
      <start>156</start>
      <end>157</end>
      <status>unmodified</status>
      <modifiedWord/>
      <trackRevisions>false</trackRevisions>
    </reviewItem>
    <reviewItem>
      <errorID>be9f8086-c163-42e5-be51-41ecd1153899</errorID>
      <errorWord>)</errorWord>
      <group>L1_Format</group>
      <groupName>格式问题</groupName>
      <ability>L2_HalfPunc</ability>
      <abilityName>全半角检查</abilityName>
      <candidateList>
        <item>）</item>
      </candidateList>
      <explain>文本全半角错误。</explain>
      <paraID>3CE25A6A</paraID>
      <start>171</start>
      <end>172</end>
      <status>unmodified</status>
      <modifiedWord/>
      <trackRevisions>false</trackRevisions>
    </reviewItem>
    <reviewItem>
      <errorID>8fdd07a4-d78d-4f89-9eef-496638f9cede</errorID>
      <errorWord>(</errorWord>
      <group>L1_Format</group>
      <groupName>格式问题</groupName>
      <ability>L2_HalfPunc</ability>
      <abilityName>全半角检查</abilityName>
      <candidateList>
        <item>（</item>
      </candidateList>
      <explain>文本全半角错误。</explain>
      <paraID>3CE25A6A</paraID>
      <start>179</start>
      <end>180</end>
      <status>unmodified</status>
      <modifiedWord/>
      <trackRevisions>false</trackRevisions>
    </reviewItem>
    <reviewItem>
      <errorID>fe6b7b58-2d22-4749-9ed6-793518f6a178</errorID>
      <errorWord>)</errorWord>
      <group>L1_Format</group>
      <groupName>格式问题</groupName>
      <ability>L2_HalfPunc</ability>
      <abilityName>全半角检查</abilityName>
      <candidateList>
        <item>）</item>
      </candidateList>
      <explain>文本全半角错误。</explain>
      <paraID>3CE25A6A</paraID>
      <start>195</start>
      <end>196</end>
      <status>unmodified</status>
      <modifiedWord/>
      <trackRevisions>false</trackRevisions>
    </reviewItem>
    <reviewItem>
      <errorID>9160e72a-c99b-449f-823e-3b8383ddd664</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7371343B</paraID>
      <start>0</start>
      <end>3</end>
      <status>unmodified</status>
      <modifiedWord/>
      <trackRevisions>false</trackRevisions>
    </reviewItem>
    <reviewItem>
      <errorID>4aa99b59-d5c8-4494-b1a9-2a05d85f31c2</errorID>
      <errorWord>2021年6月01日</errorWord>
      <group>L1_Knowledge</group>
      <groupName>知识性问题</groupName>
      <ability>L2_Time</ability>
      <abilityName>日期时间</abilityName>
      <candidateList>
        <item>2021年6月1日</item>
      </candidateList>
      <explain>根据日常书写习惯，日期一般会省略前导零。</explain>
      <paraID> AEB20C1</paraID>
      <start>0</start>
      <end>10</end>
      <status>unmodified</status>
      <modifiedWord/>
      <trackRevisions>false</trackRevisions>
    </reviewItem>
    <reviewItem>
      <errorID>5f2e0b35-6b8d-4d87-82bc-ef63929d9e90</errorID>
      <errorWord>"</errorWord>
      <group>L1_Format</group>
      <groupName>格式问题</groupName>
      <ability>L2_HalfPunc</ability>
      <abilityName>全半角检查</abilityName>
      <candidateList/>
      <explain>文本全半角错误。</explain>
      <paraID> 343E701</paraID>
      <start>43</start>
      <end>44</end>
      <status>unmodified</status>
      <modifiedWord/>
      <trackRevisions>false</trackRevisions>
    </reviewItem>
    <reviewItem>
      <errorID>da2c5f8e-bf48-455e-aa75-4b81fbbff32a</errorID>
      <errorWord>"</errorWord>
      <group>L1_Format</group>
      <groupName>格式问题</groupName>
      <ability>L2_HalfPunc</ability>
      <abilityName>全半角检查</abilityName>
      <candidateList>
        <item>”</item>
      </candidateList>
      <explain>文本全半角错误。</explain>
      <paraID> 343E701</paraID>
      <start>60</start>
      <end>61</end>
      <status>unmodified</status>
      <modifiedWord/>
      <trackRevisions>false</trackRevisions>
    </reviewItem>
    <reviewItem>
      <errorID>590f1dbb-7246-46ef-8e32-609a96de74a8</errorID>
      <errorWord>套</errorWord>
      <group>L1_Knowledge</group>
      <groupName>知识性问题</groupName>
      <ability>L2_Knowledge</ability>
      <abilityName>其他知识</abilityName>
      <candidateList>
        <item>台</item>
      </candidateList>
      <explain>请检查“套”是否为量词使用错误，建议修改为“台”。</explain>
      <paraID>3E6877CA</paraID>
      <start>27</start>
      <end>28</end>
      <status>unmodified</status>
      <modifiedWord/>
      <trackRevisions>false</trackRevisions>
    </reviewItem>
    <reviewItem>
      <errorID>ee3eccdb-ce0c-477c-b7ee-9263ee0e9680</errorID>
      <errorWord>处理处理</errorWord>
      <group>L1_Word</group>
      <groupName>字词问题</groupName>
      <ability>L2_Typo</ability>
      <abilityName>字词错误</abilityName>
      <candidateList>
        <item>处理</item>
      </candidateList>
      <explain/>
      <paraID>61FC5DCD</paraID>
      <start>51</start>
      <end>55</end>
      <status>unmodified</status>
      <modifiedWord/>
      <trackRevisions>false</trackRevisions>
    </reviewItem>
    <reviewItem>
      <errorID>81f19fbf-7a6e-4881-a5a1-fe945085cfbe</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3108C2D9</paraID>
      <start>28</start>
      <end>29</end>
      <status>unmodified</status>
      <modifiedWord/>
      <trackRevisions>false</trackRevisions>
    </reviewItem>
    <reviewItem>
      <errorID>b3e9742f-4043-40fd-ae2d-341b1493c2bb</errorID>
      <errorWord>个</errorWord>
      <group>L1_Knowledge</group>
      <groupName>知识性问题</groupName>
      <ability>L2_Knowledge</ability>
      <abilityName>其他知识</abilityName>
      <candidateList>
        <item>间</item>
      </candidateList>
      <explain>请检查“个”是否为量词使用错误，建议修改为“间”。</explain>
      <paraID>51FB038F</paraID>
      <start>14</start>
      <end>15</end>
      <status>unmodified</status>
      <modifiedWord/>
      <trackRevisions>false</trackRevisions>
    </reviewItem>
    <reviewItem>
      <errorID>7b90730d-35bc-4186-bcbb-37de67aa73b3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51FB038F</paraID>
      <start>62</start>
      <end>63</end>
      <status>unmodified</status>
      <modifiedWord/>
      <trackRevisions>false</trackRevisions>
    </reviewItem>
    <reviewItem>
      <errorID>09a7c1ab-996e-43c5-9c22-2499e3225dd7</errorID>
      <errorWord>消防水袋</errorWord>
      <group>L1_Word</group>
      <groupName>字词问题</groupName>
      <ability>L2_Typo</ability>
      <abilityName>字词错误</abilityName>
      <candidateList>
        <item>消防水带</item>
      </candidateList>
      <explain/>
      <paraID>1ACE9B48</paraID>
      <start>4</start>
      <end>8</end>
      <status>unmodified</status>
      <modifiedWord/>
      <trackRevisions>false</trackRevisions>
    </reviewItem>
    <reviewItem>
      <errorID>47b59234-75dc-4250-b080-209fb5b56d9a</errorID>
      <errorWord>消费安全</errorWord>
      <group>L1_Word</group>
      <groupName>字词问题</groupName>
      <ability>L2_Typo</ability>
      <abilityName>字词错误</abilityName>
      <candidateList>
        <item>消防安全</item>
      </candidateList>
      <explain/>
      <paraID>7A461F0F</paraID>
      <start>13</start>
      <end>17</end>
      <status>unmodified</status>
      <modifiedWord/>
      <trackRevisions>false</trackRevisions>
    </reviewItem>
    <reviewItem>
      <errorID>471d3f40-4398-480d-b8ac-ddf323d1d305</errorID>
      <errorWord>消费安全</errorWord>
      <group>L1_Word</group>
      <groupName>字词问题</groupName>
      <ability>L2_Typo</ability>
      <abilityName>字词错误</abilityName>
      <candidateList>
        <item>消防安全</item>
      </candidateList>
      <explain/>
      <paraID>180D9CC7</paraID>
      <start>13</start>
      <end>17</end>
      <status>unmodified</status>
      <modifiedWord/>
      <trackRevisions>false</trackRevisions>
    </reviewItem>
    <reviewItem>
      <errorID>2bbf980e-d63f-495c-9876-3f00077e2703</errorID>
      <errorWord>，</errorWord>
      <group>L1_Format</group>
      <groupName>格式问题</groupName>
      <ability>L2_HalfPunc</ability>
      <abilityName>全半角检查</abilityName>
      <candidateList>
        <item>, </item>
      </candidateList>
      <explain>文本全半角错误。</explain>
      <paraID>7053C945</paraID>
      <start>2</start>
      <end>3</end>
      <status>unmodified</status>
      <modifiedWord/>
      <trackRevisions>false</trackRevisions>
    </reviewItem>
    <reviewItem>
      <errorID>76515a24-bad8-4414-ac76-9134b116f932</errorID>
      <errorWord>，</errorWord>
      <group>L1_Format</group>
      <groupName>格式问题</groupName>
      <ability>L2_HalfPunc</ability>
      <abilityName>全半角检查</abilityName>
      <candidateList>
        <item>, </item>
      </candidateList>
      <explain>文本全半角错误。</explain>
      <paraID>416058CA</paraID>
      <start>3</start>
      <end>4</end>
      <status>unmodified</status>
      <modifiedWord/>
      <trackRevisions>false</trackRevisions>
    </reviewItem>
    <reviewItem>
      <errorID>2b255632-c2b9-4719-bab2-46b32735759f</errorID>
      <errorWord>，</errorWord>
      <group>L1_Format</group>
      <groupName>格式问题</groupName>
      <ability>L2_HalfPunc</ability>
      <abilityName>全半角检查</abilityName>
      <candidateList>
        <item>, </item>
      </candidateList>
      <explain>文本全半角错误。</explain>
      <paraID> 7D2C7E5</paraID>
      <start>4</start>
      <end>5</end>
      <status>unmodified</status>
      <modifiedWord/>
      <trackRevisions>false</trackRevisions>
    </reviewItem>
    <reviewItem>
      <errorID>20074fbb-66e2-4040-940e-1e7cb0ff2651</errorID>
      <errorWord>，</errorWord>
      <group>L1_Format</group>
      <groupName>格式问题</groupName>
      <ability>L2_HalfPunc</ability>
      <abilityName>全半角检查</abilityName>
      <candidateList>
        <item>, </item>
      </candidateList>
      <explain>文本全半角错误。</explain>
      <paraID> 7D2C7E5</paraID>
      <start>6</start>
      <end>7</end>
      <status>unmodified</status>
      <modifiedWord/>
      <trackRevisions>false</trackRevisions>
    </reviewItem>
    <reviewItem>
      <errorID>7bd4a95e-1cda-4b35-88f9-6cca2553b191</errorID>
      <errorWord>，</errorWord>
      <group>L1_Format</group>
      <groupName>格式问题</groupName>
      <ability>L2_HalfPunc</ability>
      <abilityName>全半角检查</abilityName>
      <candidateList>
        <item>, </item>
      </candidateList>
      <explain>文本全半角错误。</explain>
      <paraID>3DD9459C</paraID>
      <start>4</start>
      <end>5</end>
      <status>unmodified</status>
      <modifiedWord/>
      <trackRevisions>false</trackRevisions>
    </reviewItem>
    <reviewItem>
      <errorID>f6387abc-1e37-4454-8ccf-44dba713175d</errorID>
      <errorWord>，</errorWord>
      <group>L1_Format</group>
      <groupName>格式问题</groupName>
      <ability>L2_HalfPunc</ability>
      <abilityName>全半角检查</abilityName>
      <candidateList>
        <item>, </item>
      </candidateList>
      <explain>文本全半角错误。</explain>
      <paraID>3DD9459C</paraID>
      <start>6</start>
      <end>7</end>
      <status>unmodified</status>
      <modifiedWord/>
      <trackRevisions>false</trackRevisions>
    </reviewItem>
    <reviewItem>
      <errorID>eb9bc67e-faad-4e26-a042-3a712eccb208</errorID>
      <errorWord>计</errorWord>
      <group>L1_Word</group>
      <groupName>字词问题</groupName>
      <ability>L2_Typo</ability>
      <abilityName>字词错误</abilityName>
      <candidateList>
        <item>计算</item>
      </candidateList>
      <explain/>
      <paraID>2D8EC665</paraID>
      <start>21</start>
      <end>22</end>
      <status>unmodified</status>
      <modifiedWord/>
      <trackRevisions>false</trackRevisions>
    </reviewItem>
    <reviewItem>
      <errorID>de44e68b-79e4-4fb7-bb44-3510404f4116</errorID>
      <errorWord>〞</errorWord>
      <group>L1_Punc</group>
      <groupName>标点问题</groupName>
      <ability>L2_Punc</ability>
      <abilityName>标点符号检查</abilityName>
      <candidateList/>
      <explain/>
      <paraID>30ED3C91</paraID>
      <start>1</start>
      <end>2</end>
      <status>unmodified</status>
      <modifiedWord/>
      <trackRevisions>false</trackRevisions>
    </reviewItem>
    <reviewItem>
      <errorID>a0e4f6e3-5e9a-454b-93e4-11bf58f59d13</errorID>
      <errorWord>,</errorWord>
      <group>L1_Format</group>
      <groupName>格式问题</groupName>
      <ability>L2_HalfPunc</ability>
      <abilityName>全半角检查</abilityName>
      <candidateList>
        <item>，</item>
      </candidateList>
      <explain>文本全半角错误。</explain>
      <paraID>30ED3C91</paraID>
      <start>31</start>
      <end>32</end>
      <status>unmodified</status>
      <modifiedWord/>
      <trackRevisions>false</trackRevisions>
    </reviewItem>
    <reviewItem>
      <errorID>f989d895-87a8-4f07-8b93-84ae192a60ab</errorID>
      <errorWord>版</errorWord>
      <group>L1_Word</group>
      <groupName>字词问题</groupName>
      <ability>L2_Typo</ability>
      <abilityName>字词错误</abilityName>
      <candidateList>
        <item>板</item>
      </candidateList>
      <explain>存在发音相同字词的误用。</explain>
      <paraID>6F135956</paraID>
      <start>33</start>
      <end>34</end>
      <status>unmodified</status>
      <modifiedWord/>
      <trackRevisions>false</trackRevisions>
    </reviewItem>
    <reviewItem>
      <errorID>c0fd5a11-a457-4e5d-8d27-71627a8af44a</errorID>
      <errorWord>、</errorWord>
      <group>L1_Punc</group>
      <groupName>标点问题</groupName>
      <ability>L2_Punc</ability>
      <abilityName>标点符号检查</abilityName>
      <candidateList>
        <item>.</item>
      </candidateList>
      <explain/>
      <paraID>3D418D66</paraID>
      <start>1</start>
      <end>2</end>
      <status>unmodified</status>
      <modifiedWord/>
      <trackRevisions>false</trackRevisions>
    </reviewItem>
    <reviewItem>
      <errorID>578b21b4-44b5-4062-9dfc-3f7d36b6f284</errorID>
      <errorWord>、</errorWord>
      <group>L1_Punc</group>
      <groupName>标点问题</groupName>
      <ability>L2_Punc</ability>
      <abilityName>标点符号检查</abilityName>
      <candidateList>
        <item>.</item>
      </candidateList>
      <explain/>
      <paraID>5187E822</paraID>
      <start>1</start>
      <end>2</end>
      <status>unmodified</status>
      <modifiedWord/>
      <trackRevisions>false</trackRevisions>
    </reviewItem>
    <reviewItem>
      <errorID>e3286bf8-e17c-4e93-b0db-96effedb8555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64C4509D</paraID>
      <start>32</start>
      <end>33</end>
      <status>unmodified</status>
      <modifiedWord/>
      <trackRevisions>false</trackRevisions>
    </reviewItem>
    <reviewItem>
      <errorID>c11bb6f7-8acf-48a4-90f1-569ca773860d</errorID>
      <errorWord>来自于</errorWord>
      <group>L1_Grammar</group>
      <groupName>语法问题</groupName>
      <ability>L2_Grammar</ability>
      <abilityName>语法错误</abilityName>
      <candidateList>
        <item>来自</item>
      </candidateList>
      <explain/>
      <paraID>64C4509D</paraID>
      <start>79</start>
      <end>82</end>
      <status>unmodified</status>
      <modifiedWord/>
      <trackRevisions>false</trackRevisions>
    </reviewItem>
    <reviewItem>
      <errorID>7ce49724-2485-44b1-a878-611a79cf897e</errorID>
      <errorWord>、</errorWord>
      <group>L1_Punc</group>
      <groupName>标点问题</groupName>
      <ability>L2_Punc</ability>
      <abilityName>标点符号检查</abilityName>
      <candidateList>
        <item>.</item>
      </candidateList>
      <explain/>
      <paraID>53F6868D</paraID>
      <start>1</start>
      <end>2</end>
      <status>unmodified</status>
      <modifiedWord/>
      <trackRevisions>false</trackRevisions>
    </reviewItem>
    <reviewItem>
      <errorID>9fdb6189-3f3a-4651-b2d5-e64830cdcd15</errorID>
      <errorWord>、</errorWord>
      <group>L1_Punc</group>
      <groupName>标点问题</groupName>
      <ability>L2_Punc</ability>
      <abilityName>标点符号检查</abilityName>
      <candidateList>
        <item>.</item>
      </candidateList>
      <explain/>
      <paraID>6967CE75</paraID>
      <start>1</start>
      <end>2</end>
      <status>unmodified</status>
      <modifiedWord/>
      <trackRevisions>false</trackRevisions>
    </reviewItem>
    <reviewItem>
      <errorID>7c6209cf-82b5-46c1-8661-3fe136bb9dc7</errorID>
      <errorWord>)</errorWord>
      <group>L1_Format</group>
      <groupName>格式问题</groupName>
      <ability>L2_HalfPunc</ability>
      <abilityName>全半角检查</abilityName>
      <candidateList>
        <item>）</item>
      </candidateList>
      <explain>文本全半角错误。</explain>
      <paraID>2E632618</paraID>
      <start>81</start>
      <end>82</end>
      <status>unmodified</status>
      <modifiedWord/>
      <trackRevisions>false</trackRevisions>
    </reviewItem>
    <reviewItem>
      <errorID>7db4d8f8-f192-4a9f-bf01-5305e130411a</errorID>
      <errorWord>其它有毒</errorWord>
      <group>L1_Word</group>
      <groupName>字词问题</groupName>
      <ability>L2_Alias</ability>
      <abilityName>也作/曾用词</abilityName>
      <candidateList>
        <item>其他有毒</item>
      </candidateList>
      <explain>词汇[其它有毒]为不规范表述或旧称，其规范书面表述为[其他有毒]。</explain>
      <paraID>2E632618</paraID>
      <start>174</start>
      <end>178</end>
      <status>unmodified</status>
      <modifiedWord/>
      <trackRevisions>false</trackRevisions>
    </reviewItem>
    <reviewItem>
      <errorID>475ea0f4-1b00-4b0e-8b04-4c0883653907</errorID>
      <errorWord>保</errorWord>
      <group>L1_Word</group>
      <groupName>字词问题</groupName>
      <ability>L2_Typo</ability>
      <abilityName>字词错误</abilityName>
      <candidateList>
        <item>保护</item>
      </candidateList>
      <explain/>
      <paraID>6F42D9B2</paraID>
      <start>61</start>
      <end>62</end>
      <status>unmodified</status>
      <modifiedWord/>
      <trackRevisions>false</trackRevisions>
    </reviewItem>
    <reviewItem>
      <errorID>c9d17e78-11e1-4a1c-b199-b6e155befcf2</errorID>
      <errorWord>东南测</errorWord>
      <group>L1_Word</group>
      <groupName>字词问题</groupName>
      <ability>L2_Typo</ability>
      <abilityName>字词错误</abilityName>
      <candidateList>
        <item>东南侧</item>
      </candidateList>
      <explain/>
      <paraID>6F42D9B2</paraID>
      <start>231</start>
      <end>234</end>
      <status>unmodified</status>
      <modifiedWord/>
      <trackRevisions>false</trackRevisions>
    </reviewItem>
    <reviewItem>
      <errorID>be6fb6df-c70d-4a19-850f-aaf086c8cf5e</errorID>
      <errorWord>较</errorWord>
      <group>L1_Word</group>
      <groupName>字词问题</groupName>
      <ability>L2_Typo</ability>
      <abilityName>字词错误</abilityName>
      <candidateList>
        <item>较大</item>
      </candidateList>
      <explain/>
      <paraID>6F42D9B2</paraID>
      <start>361</start>
      <end>362</end>
      <status>unmodified</status>
      <modifiedWord/>
      <trackRevisions>false</trackRevisions>
    </reviewItem>
    <reviewItem>
      <errorID>13309923-bf3f-41bb-91c6-1de8864e7128</errorID>
      <errorWord>设计</errorWord>
      <group>L1_Word</group>
      <groupName>字词问题</groupName>
      <ability>L2_Typo</ability>
      <abilityName>字词错误</abilityName>
      <candidateList>
        <item>涉及</item>
      </candidateList>
      <explain>〈动〉牵涉到；关联到：案子～好几个人｜这个问题～面很广。</explain>
      <paraID>7BCCC9B5</paraID>
      <start>18</start>
      <end>20</end>
      <status>unmodified</status>
      <modifiedWord/>
      <trackRevisions>false</trackRevisions>
    </reviewItem>
    <reviewItem>
      <errorID>45fae4c9-6951-4e9e-8455-611404aa155e</errorID>
      <errorWord>的的</errorWord>
      <group>L1_Word</group>
      <groupName>字词问题</groupName>
      <ability>L2_Typo</ability>
      <abilityName>字词错误</abilityName>
      <candidateList>
        <item>的</item>
      </candidateList>
      <explain>“的”常用于连接修饰语与名词性中心语，表示属性、所属或描述。</explain>
      <paraID>3BEB3AD9</paraID>
      <start>9</start>
      <end>11</end>
      <status>unmodified</status>
      <modifiedWord/>
      <trackRevisions>false</trackRevisions>
    </reviewItem>
    <reviewItem>
      <errorID>b4988482-fc7b-403b-b3b0-d46a1dae045e</errorID>
      <errorWord>:</errorWord>
      <group>L1_Format</group>
      <groupName>格式问题</groupName>
      <ability>L2_HalfPunc</ability>
      <abilityName>全半角检查</abilityName>
      <candidateList>
        <item>：</item>
      </candidateList>
      <explain>文本全半角错误。</explain>
      <paraID>686EE035</paraID>
      <start>3</start>
      <end>4</end>
      <status>unmodified</status>
      <modifiedWord/>
      <trackRevisions>false</trackRevisions>
    </reviewItem>
    <reviewItem>
      <errorID>aa987099-c0ef-477f-8315-ed4440e023c0</errorID>
      <errorWord>、和</errorWord>
      <group>L1_Word</group>
      <groupName>字词问题</groupName>
      <ability>L2_Typo</ability>
      <abilityName>字词错误</abilityName>
      <candidateList>
        <item>、</item>
      </candidateList>
      <explain/>
      <paraID>521E8207</paraID>
      <start>14</start>
      <end>16</end>
      <status>unmodified</status>
      <modifiedWord/>
      <trackRevisions>false</trackRevisions>
    </reviewItem>
    <reviewItem>
      <errorID>b66f0acf-f9dd-4523-963d-958ffb0c5fa7</errorID>
      <errorWord>[2005]154号</errorWord>
      <group>L1_Knowledge</group>
      <groupName>知识性问题</groupName>
      <ability>L2_Knowledge</ability>
      <abilityName>其他知识</abilityName>
      <candidateList>
        <item>〔2005〕154号</item>
      </candidateList>
      <explain>发文字号格式错误。</explain>
      <paraID>2C67FCE4</paraID>
      <start>66</start>
      <end>76</end>
      <status>unmodified</status>
      <modifiedWord/>
      <trackRevisions>false</trackRevisions>
    </reviewItem>
    <reviewItem>
      <errorID>59af7700-177b-433a-b58c-7c9ac9fb8081</errorID>
      <errorWord>[2025]17号</errorWord>
      <group>L1_Knowledge</group>
      <groupName>知识性问题</groupName>
      <ability>L2_Knowledge</ability>
      <abilityName>其他知识</abilityName>
      <candidateList>
        <item>〔2025〕17号</item>
      </candidateList>
      <explain>发文字号格式错误。</explain>
      <paraID>4C300548</paraID>
      <start>73</start>
      <end>82</end>
      <status>unmodified</status>
      <modifiedWord/>
      <trackRevisions>false</trackRevisions>
    </reviewItem>
    <reviewItem>
      <errorID>551abcd2-d8e8-44a9-b757-96cb854691ac</errorID>
      <errorWord>2025年09月08日</errorWord>
      <group>L1_Knowledge</group>
      <groupName>知识性问题</groupName>
      <ability>L2_Time</ability>
      <abilityName>日期时间</abilityName>
      <candidateList>
        <item>2025年9月8日</item>
      </candidateList>
      <explain>根据日常书写习惯，月份和日期一般会省略前导零。</explain>
      <paraID> 3E7173F</paraID>
      <start>0</start>
      <end>11</end>
      <status>unmodified</status>
      <modifiedWord/>
      <trackRevisions>false</trackRevisions>
    </reviewItem>
    <reviewItem>
      <errorID>716f2975-5954-4c68-a032-01fa4e9322e4</errorID>
      <errorWord>2025年07月22日</errorWord>
      <group>L1_Knowledge</group>
      <groupName>知识性问题</groupName>
      <ability>L2_Time</ability>
      <abilityName>日期时间</abilityName>
      <candidateList>
        <item>2025年7月22日</item>
      </candidateList>
      <explain>根据日常书写习惯，月份一般会省略前导零。</explain>
      <paraID>45496C87</paraID>
      <start>45</start>
      <end>56</end>
      <status>unmodified</status>
      <modifiedWord/>
      <trackRevisions>false</trackRevisions>
    </reviewItem>
    <reviewItem>
      <errorID>d6c94495-881c-4e05-9747-e9657993959f</errorID>
      <errorWord>2030年07月21日</errorWord>
      <group>L1_Knowledge</group>
      <groupName>知识性问题</groupName>
      <ability>L2_Time</ability>
      <abilityName>日期时间</abilityName>
      <candidateList>
        <item>2030年7月21日</item>
      </candidateList>
      <explain>根据日常书写习惯，月份一般会省略前导零。</explain>
      <paraID>45496C87</paraID>
      <start>57</start>
      <end>68</end>
      <status>unmodified</status>
      <modifiedWord/>
      <trackRevisions>false</trackRevisions>
    </reviewItem>
    <reviewItem>
      <errorID>f7b4e0da-3efa-455f-bfa2-dc8fff8a8ba3</errorID>
      <errorWord>支</errorWord>
      <group>L1_Knowledge</group>
      <groupName>知识性问题</groupName>
      <ability>L2_Knowledge</ability>
      <abilityName>其他知识</abilityName>
      <candidateList>
        <item>只</item>
      </candidateList>
      <explain>请检查“支”是否为量词使用错误，建议修改为“只”。</explain>
      <paraID>3177CD41</paraID>
      <start>95</start>
      <end>96</end>
      <status>unmodified</status>
      <modifiedWord/>
      <trackRevisions>false</trackRevisions>
    </reviewItem>
    <reviewItem>
      <errorID>c36f7922-1408-4a9a-98fd-bf892951ca51</errorID>
      <errorWord>处理处理</errorWord>
      <group>L1_Word</group>
      <groupName>字词问题</groupName>
      <ability>L2_Typo</ability>
      <abilityName>字词错误</abilityName>
      <candidateList>
        <item>处理</item>
      </candidateList>
      <explain/>
      <paraID>  254ADC</paraID>
      <start>51</start>
      <end>55</end>
      <status>unmodified</status>
      <modifiedWord/>
      <trackRevisions>false</trackRevisions>
    </reviewItem>
    <reviewItem>
      <errorID>51e311a5-3782-413b-ab22-201c4cdc3ef3</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59630D0C</paraID>
      <start>28</start>
      <end>29</end>
      <status>unmodified</status>
      <modifiedWord/>
      <trackRevisions>false</trackRevisions>
    </reviewItem>
    <reviewItem>
      <errorID>d13ff680-ca7a-442e-9c81-ced20726c9c8</errorID>
      <errorWord>个</errorWord>
      <group>L1_Knowledge</group>
      <groupName>知识性问题</groupName>
      <ability>L2_Knowledge</ability>
      <abilityName>其他知识</abilityName>
      <candidateList>
        <item>间</item>
      </candidateList>
      <explain>请检查“个”是否为量词使用错误，建议修改为“间”。</explain>
      <paraID>75FB6759</paraID>
      <start>14</start>
      <end>15</end>
      <status>unmodified</status>
      <modifiedWord/>
      <trackRevisions>false</trackRevisions>
    </reviewItem>
    <reviewItem>
      <errorID>766a4649-52fa-42e3-8b65-91825bac06f0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75FB6759</paraID>
      <start>62</start>
      <end>63</end>
      <status>unmodified</status>
      <modifiedWord/>
      <trackRevisions>false</trackRevisions>
    </reviewItem>
    <reviewItem>
      <errorID>fcb56c7d-59d7-4625-b041-442e709a337f</errorID>
      <errorWord>消防水袋</errorWord>
      <group>L1_Word</group>
      <groupName>字词问题</groupName>
      <ability>L2_Typo</ability>
      <abilityName>字词错误</abilityName>
      <candidateList>
        <item>消防水带</item>
      </candidateList>
      <explain/>
      <paraID>3322B944</paraID>
      <start>4</start>
      <end>8</end>
      <status>unmodified</status>
      <modifiedWord/>
      <trackRevisions>false</trackRevisions>
    </reviewItem>
    <reviewItem>
      <errorID>4a432cda-c6a6-4b60-89bf-fac5081bbb60</errorID>
      <errorWord>(</errorWord>
      <group>L1_Format</group>
      <groupName>格式问题</groupName>
      <ability>L2_HalfPunc</ability>
      <abilityName>全半角检查</abilityName>
      <candidateList>
        <item>（</item>
      </candidateList>
      <explain>文本全半角错误。</explain>
      <paraID>19FA510B</paraID>
      <start>18</start>
      <end>19</end>
      <status>unmodified</status>
      <modifiedWord/>
      <trackRevisions>false</trackRevisions>
    </reviewItem>
    <reviewItem>
      <errorID>e7ff2a8b-5d6d-4a5d-9dcd-ec0ebd5c546a</errorID>
      <errorWord>)</errorWord>
      <group>L1_Format</group>
      <groupName>格式问题</groupName>
      <ability>L2_HalfPunc</ability>
      <abilityName>全半角检查</abilityName>
      <candidateList>
        <item>）</item>
      </candidateList>
      <explain>文本全半角错误。</explain>
      <paraID>19FA510B</paraID>
      <start>28</start>
      <end>29</end>
      <status>unmodified</status>
      <modifiedWord/>
      <trackRevisions>false</trackRevisions>
    </reviewItem>
    <reviewItem>
      <errorID>1924ce59-f40b-4f8a-abf2-542844fb5898</errorID>
      <errorWord>(</errorWord>
      <group>L1_Format</group>
      <groupName>格式问题</groupName>
      <ability>L2_HalfPunc</ability>
      <abilityName>全半角检查</abilityName>
      <candidateList>
        <item>（</item>
      </candidateList>
      <explain>文本全半角错误。</explain>
      <paraID>19FA510B</paraID>
      <start>41</start>
      <end>42</end>
      <status>unmodified</status>
      <modifiedWord/>
      <trackRevisions>false</trackRevisions>
    </reviewItem>
    <reviewItem>
      <errorID>dd7143c1-8dda-47da-b8c2-3038239f0138</errorID>
      <errorWord>)</errorWord>
      <group>L1_Format</group>
      <groupName>格式问题</groupName>
      <ability>L2_HalfPunc</ability>
      <abilityName>全半角检查</abilityName>
      <candidateList>
        <item>）</item>
      </candidateList>
      <explain>文本全半角错误。</explain>
      <paraID>19FA510B</paraID>
      <start>46</start>
      <end>47</end>
      <status>unmodified</status>
      <modifiedWord/>
      <trackRevisions>false</trackRevisions>
    </reviewItem>
    <reviewItem>
      <errorID>72408584-fda3-4c0c-a5e9-4f6129f09b8d</errorID>
      <errorWord>(</errorWord>
      <group>L1_Format</group>
      <groupName>格式问题</groupName>
      <ability>L2_HalfPunc</ability>
      <abilityName>全半角检查</abilityName>
      <candidateList>
        <item>（</item>
      </candidateList>
      <explain>文本全半角错误。</explain>
      <paraID>19FA510B</paraID>
      <start>58</start>
      <end>59</end>
      <status>unmodified</status>
      <modifiedWord/>
      <trackRevisions>false</trackRevisions>
    </reviewItem>
    <reviewItem>
      <errorID>733fa701-9069-4938-a131-571fd5195d21</errorID>
      <errorWord>)</errorWord>
      <group>L1_Format</group>
      <groupName>格式问题</groupName>
      <ability>L2_HalfPunc</ability>
      <abilityName>全半角检查</abilityName>
      <candidateList>
        <item>）</item>
      </candidateList>
      <explain>文本全半角错误。</explain>
      <paraID>19FA510B</paraID>
      <start>63</start>
      <end>64</end>
      <status>unmodified</status>
      <modifiedWord/>
      <trackRevisions>false</trackRevisions>
    </reviewItem>
    <reviewItem>
      <errorID>81151d26-d75c-4e0a-96e0-47b94d34b2ae</errorID>
      <errorWord>(</errorWord>
      <group>L1_Format</group>
      <groupName>格式问题</groupName>
      <ability>L2_HalfPunc</ability>
      <abilityName>全半角检查</abilityName>
      <candidateList>
        <item>（</item>
      </candidateList>
      <explain>文本全半角错误。</explain>
      <paraID>19FA510B</paraID>
      <start>76</start>
      <end>77</end>
      <status>unmodified</status>
      <modifiedWord/>
      <trackRevisions>false</trackRevisions>
    </reviewItem>
    <reviewItem>
      <errorID>7ed5be01-dd4c-48e0-8bc0-10e6606b5387</errorID>
      <errorWord>)</errorWord>
      <group>L1_Format</group>
      <groupName>格式问题</groupName>
      <ability>L2_HalfPunc</ability>
      <abilityName>全半角检查</abilityName>
      <candidateList>
        <item>）</item>
      </candidateList>
      <explain>文本全半角错误。</explain>
      <paraID>19FA510B</paraID>
      <start>86</start>
      <end>87</end>
      <status>unmodified</status>
      <modifiedWord/>
      <trackRevisions>false</trackRevisions>
    </reviewItem>
    <reviewItem>
      <errorID>dab631b0-57f1-4f8e-8900-0b8074d83bbc</errorID>
      <errorWord>,</errorWord>
      <group>L1_Format</group>
      <groupName>格式问题</groupName>
      <ability>L2_HalfPunc</ability>
      <abilityName>全半角检查</abilityName>
      <candidateList>
        <item>，</item>
      </candidateList>
      <explain>文本全半角错误。</explain>
      <paraID>19FA510B</paraID>
      <start>95</start>
      <end>96</end>
      <status>unmodified</status>
      <modifiedWord/>
      <trackRevisions>false</trackRevisions>
    </reviewItem>
    <reviewItem>
      <errorID>9b816e0d-9a4c-4044-87b4-339e2a00adff</errorID>
      <errorWord>(</errorWord>
      <group>L1_Format</group>
      <groupName>格式问题</groupName>
      <ability>L2_HalfPunc</ability>
      <abilityName>全半角检查</abilityName>
      <candidateList>
        <item>（</item>
      </candidateList>
      <explain>文本全半角错误。</explain>
      <paraID>19FA510B</paraID>
      <start>98</start>
      <end>99</end>
      <status>unmodified</status>
      <modifiedWord/>
      <trackRevisions>false</trackRevisions>
    </reviewItem>
    <reviewItem>
      <errorID>98defa85-21ca-4611-9083-3763927f8356</errorID>
      <errorWord>,</errorWord>
      <group>L1_Format</group>
      <groupName>格式问题</groupName>
      <ability>L2_HalfPunc</ability>
      <abilityName>全半角检查</abilityName>
      <candidateList>
        <item>，</item>
      </candidateList>
      <explain>文本全半角错误。</explain>
      <paraID>19FA510B</paraID>
      <start>101</start>
      <end>102</end>
      <status>unmodified</status>
      <modifiedWord/>
      <trackRevisions>false</trackRevisions>
    </reviewItem>
    <reviewItem>
      <errorID>f80a0c05-f94d-4c65-ac48-6ebdcf7a2ecd</errorID>
      <errorWord>)</errorWord>
      <group>L1_Format</group>
      <groupName>格式问题</groupName>
      <ability>L2_HalfPunc</ability>
      <abilityName>全半角检查</abilityName>
      <candidateList>
        <item>）</item>
      </candidateList>
      <explain>文本全半角错误。</explain>
      <paraID>19FA510B</paraID>
      <start>109</start>
      <end>110</end>
      <status>unmodified</status>
      <modifiedWord/>
      <trackRevisions>false</trackRevisions>
    </reviewItem>
    <reviewItem>
      <errorID>47537c04-f778-404f-95bf-b4c322bf443f</errorID>
      <errorWord>(</errorWord>
      <group>L1_Format</group>
      <groupName>格式问题</groupName>
      <ability>L2_HalfPunc</ability>
      <abilityName>全半角检查</abilityName>
      <candidateList>
        <item>（</item>
      </candidateList>
      <explain>文本全半角错误。</explain>
      <paraID>19FA510B</paraID>
      <start>122</start>
      <end>123</end>
      <status>unmodified</status>
      <modifiedWord/>
      <trackRevisions>false</trackRevisions>
    </reviewItem>
    <reviewItem>
      <errorID>e1f1a6a6-2615-492d-8b68-73641f2bb845</errorID>
      <errorWord>)</errorWord>
      <group>L1_Format</group>
      <groupName>格式问题</groupName>
      <ability>L2_HalfPunc</ability>
      <abilityName>全半角检查</abilityName>
      <candidateList>
        <item>）</item>
      </candidateList>
      <explain>文本全半角错误。</explain>
      <paraID>19FA510B</paraID>
      <start>127</start>
      <end>128</end>
      <status>unmodified</status>
      <modifiedWord/>
      <trackRevisions>false</trackRevisions>
    </reviewItem>
    <reviewItem>
      <errorID>f2aa4a23-0703-4733-8c50-58d2f780a32a</errorID>
      <errorWord>(</errorWord>
      <group>L1_Format</group>
      <groupName>格式问题</groupName>
      <ability>L2_HalfPunc</ability>
      <abilityName>全半角检查</abilityName>
      <candidateList>
        <item>（</item>
      </candidateList>
      <explain>文本全半角错误。</explain>
      <paraID>19FA510B</paraID>
      <start>139</start>
      <end>140</end>
      <status>unmodified</status>
      <modifiedWord/>
      <trackRevisions>false</trackRevisions>
    </reviewItem>
    <reviewItem>
      <errorID>80d89c45-2d73-4f40-83f2-ba1b624f7e5f</errorID>
      <errorWord>)</errorWord>
      <group>L1_Format</group>
      <groupName>格式问题</groupName>
      <ability>L2_HalfPunc</ability>
      <abilityName>全半角检查</abilityName>
      <candidateList>
        <item>）</item>
      </candidateList>
      <explain>文本全半角错误。</explain>
      <paraID>19FA510B</paraID>
      <start>144</start>
      <end>145</end>
      <status>unmodified</status>
      <modifiedWord/>
      <trackRevisions>false</trackRevisions>
    </reviewItem>
    <reviewItem>
      <errorID>666e82f3-2c7f-4ad8-b7db-763ec2e7c3c1</errorID>
      <errorWord>(</errorWord>
      <group>L1_Format</group>
      <groupName>格式问题</groupName>
      <ability>L2_HalfPunc</ability>
      <abilityName>全半角检查</abilityName>
      <candidateList>
        <item>（</item>
      </candidateList>
      <explain>文本全半角错误。</explain>
      <paraID>19FA510B</paraID>
      <start>156</start>
      <end>157</end>
      <status>unmodified</status>
      <modifiedWord/>
      <trackRevisions>false</trackRevisions>
    </reviewItem>
    <reviewItem>
      <errorID>15a35aba-bfd1-478e-9e45-a74401f06379</errorID>
      <errorWord>,</errorWord>
      <group>L1_Format</group>
      <groupName>格式问题</groupName>
      <ability>L2_HalfPunc</ability>
      <abilityName>全半角检查</abilityName>
      <candidateList>
        <item>，</item>
      </candidateList>
      <explain>文本全半角错误。</explain>
      <paraID>19FA510B</paraID>
      <start>175</start>
      <end>176</end>
      <status>unmodified</status>
      <modifiedWord/>
      <trackRevisions>false</trackRevisions>
    </reviewItem>
    <reviewItem>
      <errorID>03e7ea30-7261-46a4-926e-ae25d3fa8a7f</errorID>
      <errorWord>(</errorWord>
      <group>L1_Format</group>
      <groupName>格式问题</groupName>
      <ability>L2_HalfPunc</ability>
      <abilityName>全半角检查</abilityName>
      <candidateList>
        <item>（</item>
      </candidateList>
      <explain>文本全半角错误。</explain>
      <paraID>19FA510B</paraID>
      <start>179</start>
      <end>180</end>
      <status>unmodified</status>
      <modifiedWord/>
      <trackRevisions>false</trackRevisions>
    </reviewItem>
    <reviewItem>
      <errorID>71dbf812-44af-48c8-8129-fae6c0be89fc</errorID>
      <errorWord>)</errorWord>
      <group>L1_Format</group>
      <groupName>格式问题</groupName>
      <ability>L2_HalfPunc</ability>
      <abilityName>全半角检查</abilityName>
      <candidateList>
        <item>）</item>
      </candidateList>
      <explain>文本全半角错误。</explain>
      <paraID>19FA510B</paraID>
      <start>184</start>
      <end>185</end>
      <status>unmodified</status>
      <modifiedWord/>
      <trackRevisions>false</trackRevisions>
    </reviewItem>
    <reviewItem>
      <errorID>f2dccc8c-90c9-4327-8e73-ee6463235945</errorID>
      <errorWord>(</errorWord>
      <group>L1_Format</group>
      <groupName>格式问题</groupName>
      <ability>L2_HalfPunc</ability>
      <abilityName>全半角检查</abilityName>
      <candidateList>
        <item>（</item>
      </candidateList>
      <explain>文本全半角错误。</explain>
      <paraID>19FA510B</paraID>
      <start>196</start>
      <end>197</end>
      <status>unmodified</status>
      <modifiedWord/>
      <trackRevisions>false</trackRevisions>
    </reviewItem>
    <reviewItem>
      <errorID>29cccf80-5943-417a-8455-63a358c71a62</errorID>
      <errorWord>)</errorWord>
      <group>L1_Format</group>
      <groupName>格式问题</groupName>
      <ability>L2_HalfPunc</ability>
      <abilityName>全半角检查</abilityName>
      <candidateList>
        <item>）</item>
      </candidateList>
      <explain>文本全半角错误。</explain>
      <paraID>19FA510B</paraID>
      <start>201</start>
      <end>202</end>
      <status>unmodified</status>
      <modifiedWord/>
      <trackRevisions>false</trackRevisions>
    </reviewItem>
    <reviewItem>
      <errorID>0c971e93-dbe5-420d-972c-3954a076536e</errorID>
      <errorWord>(</errorWord>
      <group>L1_Format</group>
      <groupName>格式问题</groupName>
      <ability>L2_HalfPunc</ability>
      <abilityName>全半角检查</abilityName>
      <candidateList>
        <item>（</item>
      </candidateList>
      <explain>文本全半角错误。</explain>
      <paraID>19FA510B</paraID>
      <start>229</start>
      <end>230</end>
      <status>unmodified</status>
      <modifiedWord/>
      <trackRevisions>false</trackRevisions>
    </reviewItem>
    <reviewItem>
      <errorID>27624831-c44d-4f57-8ef3-a5fbc7cfa425</errorID>
      <errorWord>)</errorWord>
      <group>L1_Format</group>
      <groupName>格式问题</groupName>
      <ability>L2_HalfPunc</ability>
      <abilityName>全半角检查</abilityName>
      <candidateList>
        <item>）</item>
      </candidateList>
      <explain>文本全半角错误。</explain>
      <paraID>19FA510B</paraID>
      <start>232</start>
      <end>233</end>
      <status>unmodified</status>
      <modifiedWord/>
      <trackRevisions>false</trackRevisions>
    </reviewItem>
    <reviewItem>
      <errorID>b0217a1f-f5de-462c-addd-c94ce1ac681e</errorID>
      <errorWord>(</errorWord>
      <group>L1_Format</group>
      <groupName>格式问题</groupName>
      <ability>L2_HalfPunc</ability>
      <abilityName>全半角检查</abilityName>
      <candidateList>
        <item>（</item>
      </candidateList>
      <explain>文本全半角错误。</explain>
      <paraID>19FA510B</paraID>
      <start>248</start>
      <end>249</end>
      <status>unmodified</status>
      <modifiedWord/>
      <trackRevisions>false</trackRevisions>
    </reviewItem>
    <reviewItem>
      <errorID>4504c534-6653-4b6b-b3ab-0308b3dd9bca</errorID>
      <errorWord>)</errorWord>
      <group>L1_Format</group>
      <groupName>格式问题</groupName>
      <ability>L2_HalfPunc</ability>
      <abilityName>全半角检查</abilityName>
      <candidateList>
        <item>）</item>
      </candidateList>
      <explain>文本全半角错误。</explain>
      <paraID>19FA510B</paraID>
      <start>252</start>
      <end>253</end>
      <status>unmodified</status>
      <modifiedWord/>
      <trackRevisions>false</trackRevisions>
    </reviewItem>
    <reviewItem>
      <errorID>edb56796-eb38-4842-96ad-0c7eec63a869</errorID>
      <errorWord>2025年08月14日</errorWord>
      <group>L1_Knowledge</group>
      <groupName>知识性问题</groupName>
      <ability>L2_Time</ability>
      <abilityName>日期时间</abilityName>
      <candidateList>
        <item>2025年8月14日</item>
      </candidateList>
      <explain>根据日常书写习惯，月份一般会省略前导零。</explain>
      <paraID>10E31EBC</paraID>
      <start>37</start>
      <end>48</end>
      <status>unmodified</status>
      <modifiedWord/>
      <trackRevisions>false</trackRevisions>
    </reviewItem>
    <reviewItem>
      <errorID>d45126ab-ba45-415f-bac4-20780c087493</errorID>
      <errorWord>程</errorWord>
      <group>L1_Word</group>
      <groupName>字词问题</groupName>
      <ability>L2_Typo</ability>
      <abilityName>字词错误</abilityName>
      <candidateList>
        <item>程中</item>
      </candidateList>
      <explain/>
      <paraID>6DDB2EBB</paraID>
      <start>57</start>
      <end>58</end>
      <status>unmodified</status>
      <modifiedWord/>
      <trackRevisions>false</trackRevisions>
    </reviewItem>
    <reviewItem>
      <errorID>47b45006-f3dc-41d0-babf-6fae5eb9f8e2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6DDB2EBB</paraID>
      <start>159</start>
      <end>160</end>
      <status>unmodified</status>
      <modifiedWord/>
      <trackRevisions>false</trackRevisions>
    </reviewItem>
    <reviewItem>
      <errorID>dabc0ab0-d316-4cb3-92f9-e417b95aa15a</errorID>
      <errorWord>2025年08月14日</errorWord>
      <group>L1_Knowledge</group>
      <groupName>知识性问题</groupName>
      <ability>L2_Time</ability>
      <abilityName>日期时间</abilityName>
      <candidateList>
        <item>2025年8月14日</item>
      </candidateList>
      <explain>根据日常书写习惯，月份一般会省略前导零。</explain>
      <paraID>3B3A490C</paraID>
      <start>63</start>
      <end>74</end>
      <status>unmodified</status>
      <modifiedWord/>
      <trackRevisions>false</trackRevisions>
    </reviewItem>
    <reviewItem>
      <errorID>255414a0-5cfc-411e-a7ad-ed982de4ed9d</errorID>
      <errorWord>2025年08月15日</errorWord>
      <group>L1_Knowledge</group>
      <groupName>知识性问题</groupName>
      <ability>L2_Time</ability>
      <abilityName>日期时间</abilityName>
      <candidateList>
        <item>2025年8月15日</item>
      </candidateList>
      <explain>根据日常书写习惯，月份一般会省略前导零。</explain>
      <paraID>3B3A490C</paraID>
      <start>99</start>
      <end>110</end>
      <status>unmodified</status>
      <modifiedWord/>
      <trackRevisions>false</trackRevisions>
    </reviewItem>
    <reviewItem>
      <errorID>148a6e12-0d3f-4c2b-bfbe-e132c69697c9</errorID>
      <errorWord>(</errorWord>
      <group>L1_Format</group>
      <groupName>格式问题</groupName>
      <ability>L2_HalfPunc</ability>
      <abilityName>全半角检查</abilityName>
      <candidateList>
        <item>（</item>
      </candidateList>
      <explain>文本全半角错误。</explain>
      <paraID>3B3A490C</paraID>
      <start>152</start>
      <end>153</end>
      <status>unmodified</status>
      <modifiedWord/>
      <trackRevisions>false</trackRevisions>
    </reviewItem>
    <reviewItem>
      <errorID>95585dca-e041-4750-a1c9-ecea806d297c</errorID>
      <errorWord>)</errorWord>
      <group>L1_Format</group>
      <groupName>格式问题</groupName>
      <ability>L2_HalfPunc</ability>
      <abilityName>全半角检查</abilityName>
      <candidateList>
        <item>）</item>
      </candidateList>
      <explain>文本全半角错误。</explain>
      <paraID>3B3A490C</paraID>
      <start>165</start>
      <end>166</end>
      <status>unmodified</status>
      <modifiedWord/>
      <trackRevisions>false</trackRevisions>
    </reviewItem>
    <reviewItem>
      <errorID>d8a3ec22-9347-408f-9907-db95dfef5f03</errorID>
      <errorWord>2025年08月14日</errorWord>
      <group>L1_Knowledge</group>
      <groupName>知识性问题</groupName>
      <ability>L2_Time</ability>
      <abilityName>日期时间</abilityName>
      <candidateList>
        <item>2025年8月14日</item>
      </candidateList>
      <explain>根据日常书写习惯，月份一般会省略前导零。</explain>
      <paraID>3B3A490C</paraID>
      <start>193</start>
      <end>204</end>
      <status>unmodified</status>
      <modifiedWord/>
      <trackRevisions>false</trackRevisions>
    </reviewItem>
    <reviewItem>
      <errorID>3e88e1d6-f481-4309-8fc8-9333d9fc6834</errorID>
      <errorWord>2025年08月15日</errorWord>
      <group>L1_Knowledge</group>
      <groupName>知识性问题</groupName>
      <ability>L2_Time</ability>
      <abilityName>日期时间</abilityName>
      <candidateList>
        <item>2025年8月15日</item>
      </candidateList>
      <explain>根据日常书写习惯，月份一般会省略前导零。</explain>
      <paraID>3B3A490C</paraID>
      <start>230</start>
      <end>241</end>
      <status>unmodified</status>
      <modifiedWord/>
      <trackRevisions>false</trackRevisions>
    </reviewItem>
    <reviewItem>
      <errorID>c7cb7c4b-2a7d-4d88-910d-5cc903d2b764</errorID>
      <errorWord>(</errorWord>
      <group>L1_Format</group>
      <groupName>格式问题</groupName>
      <ability>L2_HalfPunc</ability>
      <abilityName>全半角检查</abilityName>
      <candidateList>
        <item>（</item>
      </candidateList>
      <explain>文本全半角错误。</explain>
      <paraID>3B3A490C</paraID>
      <start>282</start>
      <end>283</end>
      <status>unmodified</status>
      <modifiedWord/>
      <trackRevisions>false</trackRevisions>
    </reviewItem>
    <reviewItem>
      <errorID>55a19d58-bcba-4f9b-bf38-6c2c846d4a09</errorID>
      <errorWord>)</errorWord>
      <group>L1_Format</group>
      <groupName>格式问题</groupName>
      <ability>L2_HalfPunc</ability>
      <abilityName>全半角检查</abilityName>
      <candidateList>
        <item>）</item>
      </candidateList>
      <explain>文本全半角错误。</explain>
      <paraID>3B3A490C</paraID>
      <start>295</start>
      <end>296</end>
      <status>unmodified</status>
      <modifiedWord/>
      <trackRevisions>false</trackRevisions>
    </reviewItem>
    <reviewItem>
      <errorID>d94c43de-1e81-4a62-a1fb-f55dccedea7c</errorID>
      <errorWord>2025年08月14日</errorWord>
      <group>L1_Knowledge</group>
      <groupName>知识性问题</groupName>
      <ability>L2_Time</ability>
      <abilityName>日期时间</abilityName>
      <candidateList>
        <item>2025年8月14日</item>
      </candidateList>
      <explain>根据日常书写习惯，月份一般会省略前导零。</explain>
      <paraID>3DB76088</paraID>
      <start>62</start>
      <end>73</end>
      <status>unmodified</status>
      <modifiedWord/>
      <trackRevisions>false</trackRevisions>
    </reviewItem>
    <reviewItem>
      <errorID>a37efc1d-04ca-41b7-94d5-fcc1791ee454</errorID>
      <errorWord>2025年08月15日</errorWord>
      <group>L1_Knowledge</group>
      <groupName>知识性问题</groupName>
      <ability>L2_Time</ability>
      <abilityName>日期时间</abilityName>
      <candidateList>
        <item>2025年8月15日</item>
      </candidateList>
      <explain>根据日常书写习惯，月份一般会省略前导零。</explain>
      <paraID>3DB76088</paraID>
      <start>85</start>
      <end>96</end>
      <status>unmodified</status>
      <modifiedWord/>
      <trackRevisions>false</trackRevisions>
    </reviewItem>
    <reviewItem>
      <errorID>bc5109b4-5de4-4fe3-94c5-ea1239c58ac9</errorID>
      <errorWord>(</errorWord>
      <group>L1_Format</group>
      <groupName>格式问题</groupName>
      <ability>L2_HalfPunc</ability>
      <abilityName>全半角检查</abilityName>
      <candidateList>
        <item>（</item>
      </candidateList>
      <explain>文本全半角错误。</explain>
      <paraID>3DB76088</paraID>
      <start>121</start>
      <end>122</end>
      <status>unmodified</status>
      <modifiedWord/>
      <trackRevisions>false</trackRevisions>
    </reviewItem>
    <reviewItem>
      <errorID>1aa477df-cb8f-423e-aacd-e468991ac921</errorID>
      <errorWord>)</errorWord>
      <group>L1_Format</group>
      <groupName>格式问题</groupName>
      <ability>L2_HalfPunc</ability>
      <abilityName>全半角检查</abilityName>
      <candidateList>
        <item>）</item>
      </candidateList>
      <explain>文本全半角错误。</explain>
      <paraID>3DB76088</paraID>
      <start>132</start>
      <end>133</end>
      <status>unmodified</status>
      <modifiedWord/>
      <trackRevisions>false</trackRevisions>
    </reviewItem>
    <reviewItem>
      <errorID>5efff127-c264-4449-ae49-22844dffb058</errorID>
      <errorWord>2025年08月14日</errorWord>
      <group>L1_Knowledge</group>
      <groupName>知识性问题</groupName>
      <ability>L2_Time</ability>
      <abilityName>日期时间</abilityName>
      <candidateList>
        <item>2025年8月14日</item>
      </candidateList>
      <explain>根据日常书写习惯，月份一般会省略前导零。</explain>
      <paraID>3162EE3E</paraID>
      <start>37</start>
      <end>48</end>
      <status>unmodified</status>
      <modifiedWord/>
      <trackRevisions>false</trackRevisions>
    </reviewItem>
    <reviewItem>
      <errorID>6acefdbb-3ddb-4e09-8441-4b6c9fda1510</errorID>
      <errorWord>、等</errorWord>
      <group>L1_Punc</group>
      <groupName>标点问题</groupName>
      <ability>L2_Punc</ability>
      <abilityName>标点符号检查</abilityName>
      <candidateList>
        <item>等</item>
      </candidateList>
      <explain>“及”“和”“等”连词前不宜使用顿号，建议删除（或使用逗号）。</explain>
      <paraID>7DC1FB1A</paraID>
      <start>57</start>
      <end>59</end>
      <status>unmodified</status>
      <modifiedWord/>
      <trackRevisions>false</trackRevisions>
    </reviewItem>
    <reviewItem>
      <errorID>ac117fc5-104e-4069-bde6-8cc1e71bc1ef</errorID>
      <errorWord>垃圾一</errorWord>
      <group>L1_Word</group>
      <groupName>字词问题</groupName>
      <ability>L2_Typo</ability>
      <abilityName>字词错误</abilityName>
      <candidateList>
        <item>垃圾</item>
      </candidateList>
      <explain/>
      <paraID>42D7CD5A</paraID>
      <start>4</start>
      <end>7</end>
      <status>unmodified</status>
      <modifiedWord/>
      <trackRevisions>false</trackRevisions>
    </reviewItem>
    <reviewItem>
      <errorID>d8cf0e44-f977-4d25-a563-4f698315bbd0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7D4DAE86</paraID>
      <start>80</start>
      <end>81</end>
      <status>unmodified</status>
      <modifiedWord/>
      <trackRevisions>false</trackRevisions>
    </reviewItem>
    <reviewItem>
      <errorID>728a1ada-10ee-49e5-86c8-3d685357182d</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7D4DAE86</paraID>
      <start>126</start>
      <end>129</end>
      <status>unmodified</status>
      <modifiedWord/>
      <trackRevisions>false</trackRevisions>
    </reviewItem>
    <reviewItem>
      <errorID>5dc7e9a6-814c-4f4c-92e1-c909a186d9fb</errorID>
      <errorWord>高新区</errorWord>
      <group>L1_Word</group>
      <groupName>字词问题</groupName>
      <ability>L2_Typo</ability>
      <abilityName>字词错误</abilityName>
      <candidateList>
        <item>高新</item>
      </candidateList>
      <explain/>
      <paraID>434E17CB</paraID>
      <start>150</start>
      <end>153</end>
      <status>ignored</status>
      <modifiedWord/>
      <trackRevisions>false</trackRevisions>
    </reviewItem>
    <reviewItem>
      <errorID>1a6ed7d9-5587-430e-8972-d4ee502ea6ec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434E17CB</paraID>
      <start>171</start>
      <end>172</end>
      <status>unmodified</status>
      <modifiedWord/>
      <trackRevisions>false</trackRevisions>
    </reviewItem>
    <reviewItem>
      <errorID>cb339bc6-fc05-4b18-8dcc-d533092e0cab</errorID>
      <errorWord>-</errorWord>
      <group>L1_Format</group>
      <groupName>格式问题</groupName>
      <ability>L2_HalfPunc</ability>
      <abilityName>全半角检查</abilityName>
      <candidateList>
        <item>－</item>
      </candidateList>
      <explain>文本全半角错误。</explain>
      <paraID>434E17CB</paraID>
      <start>281</start>
      <end>282</end>
      <status>unmodified</status>
      <modifiedWord/>
      <trackRevisions>false</trackRevisions>
    </reviewItem>
    <reviewItem>
      <errorID>8eacc877-4969-4abf-9bbd-eb53712ed7a6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6547DC19</paraID>
      <start>32</start>
      <end>33</end>
      <status>unmodified</status>
      <modifiedWord/>
      <trackRevisions>false</trackRevisions>
    </reviewItem>
    <reviewItem>
      <errorID>c8d9ad04-7fbd-42e6-91f5-fd5779e61d19</errorID>
      <errorWord>III类</errorWord>
      <group>L1_Knowledge</group>
      <groupName>知识性问题</groupName>
      <ability>L2_Knowledge</ability>
      <abilityName>其他知识</abilityName>
      <candidateList>
        <item>Ⅲ类</item>
      </candidateList>
      <explain/>
      <paraID>4918B521</paraID>
      <start>67</start>
      <end>71</end>
      <status>unmodified</status>
      <modifiedWord/>
      <trackRevisions>false</trackRevisions>
    </reviewItem>
    <reviewItem>
      <errorID>1bf4ca2d-6f52-4503-b4f9-3d2a0843d0fd</errorID>
      <errorWord>III类</errorWord>
      <group>L1_Knowledge</group>
      <groupName>知识性问题</groupName>
      <ability>L2_Knowledge</ability>
      <abilityName>其他知识</abilityName>
      <candidateList>
        <item>Ⅲ类</item>
      </candidateList>
      <explain/>
      <paraID>5B8447AE</paraID>
      <start>0</start>
      <end>4</end>
      <status>unmodified</status>
      <modifiedWord/>
      <trackRevisions>false</trackRevisions>
    </reviewItem>
    <reviewItem>
      <errorID>cc58d7c1-566c-40df-adf5-2f06ee8193df</errorID>
      <errorWord>III类</errorWord>
      <group>L1_Knowledge</group>
      <groupName>知识性问题</groupName>
      <ability>L2_Knowledge</ability>
      <abilityName>其他知识</abilityName>
      <candidateList>
        <item>Ⅲ类</item>
      </candidateList>
      <explain/>
      <paraID>6466030E</paraID>
      <start>0</start>
      <end>4</end>
      <status>unmodified</status>
      <modifiedWord/>
      <trackRevisions>false</trackRevisions>
    </reviewItem>
    <reviewItem>
      <errorID>e15d7fbc-c1cb-4343-81b8-3006616a00a9</errorID>
      <errorWord>III类</errorWord>
      <group>L1_Knowledge</group>
      <groupName>知识性问题</groupName>
      <ability>L2_Knowledge</ability>
      <abilityName>其他知识</abilityName>
      <candidateList>
        <item>Ⅲ类</item>
      </candidateList>
      <explain/>
      <paraID>1D3F6AD1</paraID>
      <start>0</start>
      <end>4</end>
      <status>unmodified</status>
      <modifiedWord/>
      <trackRevisions>false</trackRevisions>
    </reviewItem>
    <reviewItem>
      <errorID>878a1db9-9000-4493-87d0-ecde49479a11</errorID>
      <errorWord>III类</errorWord>
      <group>L1_Knowledge</group>
      <groupName>知识性问题</groupName>
      <ability>L2_Knowledge</ability>
      <abilityName>其他知识</abilityName>
      <candidateList>
        <item>Ⅲ类</item>
      </candidateList>
      <explain/>
      <paraID>1C43D4AB</paraID>
      <start>0</start>
      <end>4</end>
      <status>unmodified</status>
      <modifiedWord/>
      <trackRevisions>false</trackRevisions>
    </reviewItem>
    <reviewItem>
      <errorID>17e1619d-7482-4753-9916-7dcefcab9eda</errorID>
      <errorWord>(</errorWord>
      <group>L1_Format</group>
      <groupName>格式问题</groupName>
      <ability>L2_HalfPunc</ability>
      <abilityName>全半角检查</abilityName>
      <candidateList>
        <item>（</item>
      </candidateList>
      <explain>文本全半角错误。</explain>
      <paraID>38F518A1</paraID>
      <start>76</start>
      <end>77</end>
      <status>unmodified</status>
      <modifiedWord/>
      <trackRevisions>false</trackRevisions>
    </reviewItem>
    <reviewItem>
      <errorID>7273b343-bdbd-4696-b3b8-5d8d02d56dc8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79FAD82B</paraID>
      <start>0</start>
      <end>2</end>
      <status>unmodified</status>
      <modifiedWord/>
      <trackRevisions>false</trackRevisions>
    </reviewItem>
    <reviewItem>
      <errorID>163a8578-11f5-402a-828c-7cd5c7831052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5BB361FC</paraID>
      <start>0</start>
      <end>2</end>
      <status>unmodified</status>
      <modifiedWord/>
      <trackRevisions>false</trackRevisions>
    </reviewItem>
    <reviewItem>
      <errorID>dd28e223-321f-4575-8da3-454289d8bd93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BAA615F</paraID>
      <start>0</start>
      <end>2</end>
      <status>unmodified</status>
      <modifiedWord/>
      <trackRevisions>false</trackRevisions>
    </reviewItem>
    <reviewItem>
      <errorID>3d3b9223-e3e3-4884-b39c-2bc5a8cd9599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F799B33</paraID>
      <start>0</start>
      <end>2</end>
      <status>unmodified</status>
      <modifiedWord/>
      <trackRevisions>false</trackRevisions>
    </reviewItem>
    <reviewItem>
      <errorID>e1dd590f-121c-4fb3-9272-0c5ea7cb4a90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4596C652</paraID>
      <start>0</start>
      <end>2</end>
      <status>unmodified</status>
      <modifiedWord/>
      <trackRevisions>false</trackRevisions>
    </reviewItem>
    <reviewItem>
      <errorID>c5688fbc-0c38-49d3-bd8a-260af5fb3915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F3EA03D</paraID>
      <start>0</start>
      <end>2</end>
      <status>unmodified</status>
      <modifiedWord/>
      <trackRevisions>false</trackRevisions>
    </reviewItem>
    <reviewItem>
      <errorID>53425269-80d0-4878-8987-994b274f1d82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1CEF4B56</paraID>
      <start>0</start>
      <end>2</end>
      <status>unmodified</status>
      <modifiedWord/>
      <trackRevisions>false</trackRevisions>
    </reviewItem>
    <reviewItem>
      <errorID>7d5bf24e-8189-4992-aa13-0a488a4cebcd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21C1B885</paraID>
      <start>0</start>
      <end>2</end>
      <status>unmodified</status>
      <modifiedWord/>
      <trackRevisions>false</trackRevisions>
    </reviewItem>
    <reviewItem>
      <errorID>cce45dee-b1ee-466a-9e4a-f577c1cb7bbc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1544D8C2</paraID>
      <start>0</start>
      <end>2</end>
      <status>unmodified</status>
      <modifiedWord/>
      <trackRevisions>false</trackRevisions>
    </reviewItem>
    <reviewItem>
      <errorID>b0edabbf-0ae5-487b-a720-94bee5afd1e4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3F535387</paraID>
      <start>0</start>
      <end>2</end>
      <status>unmodified</status>
      <modifiedWord/>
      <trackRevisions>false</trackRevisions>
    </reviewItem>
    <reviewItem>
      <errorID>cd7ef699-e830-426f-8c11-bfa988adb56e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63199890</paraID>
      <start>0</start>
      <end>2</end>
      <status>unmodified</status>
      <modifiedWord/>
      <trackRevisions>false</trackRevisions>
    </reviewItem>
    <reviewItem>
      <errorID>47765545-86c6-4542-9e2a-d010be1e5bcd</errorID>
      <errorWord>，</errorWord>
      <group>L1_Format</group>
      <groupName>格式问题</groupName>
      <ability>L2_HalfPunc</ability>
      <abilityName>全半角检查</abilityName>
      <candidateList>
        <item>,</item>
      </candidateList>
      <explain>文本全半角错误。</explain>
      <paraID>1A9DB690</paraID>
      <start>8</start>
      <end>9</end>
      <status>unmodified</status>
      <modifiedWord/>
      <trackRevisions>false</trackRevisions>
    </reviewItem>
    <reviewItem>
      <errorID>60188748-0d33-4259-a204-bcb8f695d9d3</errorID>
      <errorWord>》（试行）</errorWord>
      <group>L1_Word</group>
      <groupName>字词问题</groupName>
      <ability>L2_Typo</ability>
      <abilityName>字词错误</abilityName>
      <candidateList>
        <item>（试行）》</item>
      </candidateList>
      <explain/>
      <paraID>28313122</paraID>
      <start>27</start>
      <end>32</end>
      <status>unmodified</status>
      <modifiedWord/>
      <trackRevisions>false</trackRevisions>
    </reviewItem>
    <reviewItem>
      <errorID>469b1306-8233-41e7-93db-04eadd12d2fe</errorID>
      <errorWord>功区</errorWord>
      <group>L1_Word</group>
      <groupName>字词问题</groupName>
      <ability>L2_Typo</ability>
      <abilityName>字词错误</abilityName>
      <candidateList>
        <item>功能</item>
      </candidateList>
      <explain/>
      <paraID>2C35246B</paraID>
      <start>2</start>
      <end>4</end>
      <status>unmodified</status>
      <modifiedWord/>
      <trackRevisions>false</trackRevisions>
    </reviewItem>
    <reviewItem>
      <errorID>5b8bd18c-1074-49ca-92d6-c91c927f9f24</errorID>
      <errorWord>制标</errorWord>
      <group>L1_Word</group>
      <groupName>字词问题</groupName>
      <ability>L2_Typo</ability>
      <abilityName>字词错误</abilityName>
      <candidateList>
        <item>指标</item>
      </candidateList>
      <explain>存在发音相同字词的误用。</explain>
      <paraID>2BD6EAF1</paraID>
      <start>0</start>
      <end>2</end>
      <status>unmodified</status>
      <modifiedWord/>
      <trackRevisions>false</trackRevisions>
    </reviewItem>
    <reviewItem>
      <errorID>e53ee0ad-3f54-4a73-a26d-10c93ea56460</errorID>
      <errorWord>（</errorWord>
      <group>L1_Format</group>
      <groupName>格式问题</groupName>
      <ability>L2_HalfPunc</ability>
      <abilityName>全半角检查</abilityName>
      <candidateList>
        <item>(</item>
      </candidateList>
      <explain>文本全半角错误。</explain>
      <paraID>2BB26202</paraID>
      <start>0</start>
      <end>1</end>
      <status>unmodified</status>
      <modifiedWord/>
      <trackRevisions>false</trackRevisions>
    </reviewItem>
    <reviewItem>
      <errorID>07b1b757-db7f-472b-ad61-c2b482e15694</errorID>
      <errorWord>）</errorWord>
      <group>L1_Format</group>
      <groupName>格式问题</groupName>
      <ability>L2_HalfPunc</ability>
      <abilityName>全半角检查</abilityName>
      <candidateList>
        <item>)</item>
      </candidateList>
      <explain>文本全半角错误。</explain>
      <paraID>2BB26202</paraID>
      <start>6</start>
      <end>7</end>
      <status>unmodified</status>
      <modifiedWord/>
      <trackRevisions>false</trackRevisions>
    </reviewItem>
    <reviewItem>
      <errorID>9a36ec17-58d0-4007-aa95-7b68e14caef8</errorID>
      <errorWord>（</errorWord>
      <group>L1_Format</group>
      <groupName>格式问题</groupName>
      <ability>L2_HalfPunc</ability>
      <abilityName>全半角检查</abilityName>
      <candidateList>
        <item>(</item>
      </candidateList>
      <explain>文本全半角错误。</explain>
      <paraID>70B6EE46</paraID>
      <start>0</start>
      <end>1</end>
      <status>unmodified</status>
      <modifiedWord/>
      <trackRevisions>false</trackRevisions>
    </reviewItem>
    <reviewItem>
      <errorID>da6162ab-565b-435e-bc50-7f21f3a0bcc6</errorID>
      <errorWord>）</errorWord>
      <group>L1_Format</group>
      <groupName>格式问题</groupName>
      <ability>L2_HalfPunc</ability>
      <abilityName>全半角检查</abilityName>
      <candidateList>
        <item>)</item>
      </candidateList>
      <explain>文本全半角错误。</explain>
      <paraID>70B6EE46</paraID>
      <start>6</start>
      <end>7</end>
      <status>unmodified</status>
      <modifiedWord/>
      <trackRevisions>false</trackRevisions>
    </reviewItem>
    <reviewItem>
      <errorID>488c6712-e05d-4fde-ad51-85a0b99e3125</errorID>
      <errorWord>（</errorWord>
      <group>L1_Format</group>
      <groupName>格式问题</groupName>
      <ability>L2_HalfPunc</ability>
      <abilityName>全半角检查</abilityName>
      <candidateList>
        <item>(</item>
      </candidateList>
      <explain>文本全半角错误。</explain>
      <paraID>22CBA441</paraID>
      <start>3</start>
      <end>4</end>
      <status>unmodified</status>
      <modifiedWord/>
      <trackRevisions>false</trackRevisions>
    </reviewItem>
    <reviewItem>
      <errorID>114c9c2c-7cb9-43e5-9df9-34b0bdf0fa6f</errorID>
      <errorWord>）</errorWord>
      <group>L1_Format</group>
      <groupName>格式问题</groupName>
      <ability>L2_HalfPunc</ability>
      <abilityName>全半角检查</abilityName>
      <candidateList>
        <item>)</item>
      </candidateList>
      <explain>文本全半角错误。</explain>
      <paraID>22CBA441</paraID>
      <start>16</start>
      <end>17</end>
      <status>unmodified</status>
      <modifiedWord/>
      <trackRevisions>false</trackRevisions>
    </reviewItem>
    <reviewItem>
      <errorID>ce77d4fd-4984-404e-ba2f-2ee55fef5af8</errorID>
      <errorWord>（</errorWord>
      <group>L1_Format</group>
      <groupName>格式问题</groupName>
      <ability>L2_HalfPunc</ability>
      <abilityName>全半角检查</abilityName>
      <candidateList>
        <item>(</item>
      </candidateList>
      <explain>文本全半角错误。</explain>
      <paraID>585E6160</paraID>
      <start>5</start>
      <end>6</end>
      <status>unmodified</status>
      <modifiedWord/>
      <trackRevisions>false</trackRevisions>
    </reviewItem>
    <reviewItem>
      <errorID>1efb5df9-bb96-44d8-988c-a6c200c50ba3</errorID>
      <errorWord>）</errorWord>
      <group>L1_Format</group>
      <groupName>格式问题</groupName>
      <ability>L2_HalfPunc</ability>
      <abilityName>全半角检查</abilityName>
      <candidateList>
        <item>)</item>
      </candidateList>
      <explain>文本全半角错误。</explain>
      <paraID>585E6160</paraID>
      <start>10</start>
      <end>11</end>
      <status>unmodified</status>
      <modifiedWord/>
      <trackRevisions>false</trackRevisions>
    </reviewItem>
    <reviewItem>
      <errorID>ffce530a-254c-48eb-a1ab-edc384468367</errorID>
      <errorWord>-</errorWord>
      <group>L1_Format</group>
      <groupName>格式问题</groupName>
      <ability>L2_HalfPunc</ability>
      <abilityName>全半角检查</abilityName>
      <candidateList>
        <item>－</item>
      </candidateList>
      <explain>文本全半角错误。</explain>
      <paraID>7CCA530A</paraID>
      <start>40</start>
      <end>41</end>
      <status>unmodified</status>
      <modifiedWord/>
      <trackRevisions>false</trackRevisions>
    </reviewItem>
    <reviewItem>
      <errorID>c5874a66-71d6-4de6-b674-c83357e2cba0</errorID>
      <errorWord>&lt;</errorWord>
      <group>L1_Format</group>
      <groupName>格式问题</groupName>
      <ability>L2_HalfPunc</ability>
      <abilityName>全半角检查</abilityName>
      <candidateList>
        <item>〈</item>
      </candidateList>
      <explain>文本全半角错误。</explain>
      <paraID>7E84411F</paraID>
      <start>7</start>
      <end>8</end>
      <status>unmodified</status>
      <modifiedWord/>
      <trackRevisions>false</trackRevisions>
    </reviewItem>
    <reviewItem>
      <errorID>4aa51e16-d582-4fcb-8bb9-1de15d5ebe03</errorID>
      <errorWord>&gt;</errorWord>
      <group>L1_Format</group>
      <groupName>格式问题</groupName>
      <ability>L2_HalfPunc</ability>
      <abilityName>全半角检查</abilityName>
      <candidateList>
        <item>〉</item>
      </candidateList>
      <explain>文本全半角错误。</explain>
      <paraID>7E84411F</paraID>
      <start>19</start>
      <end>20</end>
      <status>unmodified</status>
      <modifiedWord/>
      <trackRevisions>false</trackRevisions>
    </reviewItem>
    <reviewItem>
      <errorID>53fd63df-5d19-497e-997c-aca622ccd6b7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328E5F6E</paraID>
      <start>0</start>
      <end>2</end>
      <status>unmodified</status>
      <modifiedWord/>
      <trackRevisions>false</trackRevisions>
    </reviewItem>
    <reviewItem>
      <errorID>c9ffcda7-b6fa-4197-963a-202d2480ffd6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72F72022</paraID>
      <start>0</start>
      <end>2</end>
      <status>unmodified</status>
      <modifiedWord/>
      <trackRevisions>false</trackRevisions>
    </reviewItem>
    <reviewItem>
      <errorID>95a4aa11-a560-46cc-b4d4-51ec437cdf16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72778ED0</paraID>
      <start>0</start>
      <end>2</end>
      <status>unmodified</status>
      <modifiedWord/>
      <trackRevisions>false</trackRevisions>
    </reviewItem>
    <reviewItem>
      <errorID>a0dd6ae9-bbe8-49c1-8388-91f51ddc9f07</errorID>
      <errorWord>护措</errorWord>
      <group>L1_Word</group>
      <groupName>字词问题</groupName>
      <ability>L2_Typo</ability>
      <abilityName>字词错误</abilityName>
      <candidateList>
        <item>举措</item>
      </candidateList>
      <explain>存在发音相近字词的误用。</explain>
      <paraID>55049BAC</paraID>
      <start>0</start>
      <end>2</end>
      <status>ignored</status>
      <modifiedWord/>
      <trackRevisions>false</trackRevisions>
    </reviewItem>
    <reviewItem>
      <errorID>9f49103d-38a3-4649-9043-bd43f6584f8a</errorID>
      <errorWord>，</errorWord>
      <group>L1_Format</group>
      <groupName>格式问题</groupName>
      <ability>L2_HalfPunc</ability>
      <abilityName>全半角检查</abilityName>
      <candidateList>
        <item>, </item>
      </candidateList>
      <explain>文本全半角错误。</explain>
      <paraID> DEF94D8</paraID>
      <start>13</start>
      <end>14</end>
      <status>unmodified</status>
      <modifiedWord/>
      <trackRevisions>false</trackRevisions>
    </reviewItem>
    <reviewItem>
      <errorID>2cd5ab0a-b532-4f13-ae54-8fe65529dec0</errorID>
      <errorWord>公示</errorWord>
      <group>L1_Word</group>
      <groupName>字词问题</groupName>
      <ability>L2_Typo</ability>
      <abilityName>字词错误</abilityName>
      <candidateList>
        <item>公式</item>
      </candidateList>
      <explain/>
      <paraID>5E56B091</paraID>
      <start>47</start>
      <end>49</end>
      <status>unmodified</status>
      <modifiedWord/>
      <trackRevisions>false</trackRevisions>
    </reviewItem>
    <reviewItem>
      <errorID>ab6363c7-32a0-4587-a3a8-7c1077bb70b3</errorID>
      <errorWord>(</errorWord>
      <group>L1_Format</group>
      <groupName>格式问题</groupName>
      <ability>L2_HalfPunc</ability>
      <abilityName>全半角检查</abilityName>
      <candidateList>
        <item>（</item>
      </candidateList>
      <explain>文本全半角错误。</explain>
      <paraID>376F3832</paraID>
      <start>4</start>
      <end>5</end>
      <status>unmodified</status>
      <modifiedWord/>
      <trackRevisions>false</trackRevisions>
    </reviewItem>
    <reviewItem>
      <errorID>780213e2-fd10-402d-ae46-d3553f39a4a8</errorID>
      <errorWord>)</errorWord>
      <group>L1_Format</group>
      <groupName>格式问题</groupName>
      <ability>L2_HalfPunc</ability>
      <abilityName>全半角检查</abilityName>
      <candidateList>
        <item>）</item>
      </candidateList>
      <explain>文本全半角错误。</explain>
      <paraID>376F3832</paraID>
      <start>10</start>
      <end>11</end>
      <status>unmodified</status>
      <modifiedWord/>
      <trackRevisions>false</trackRevisions>
    </reviewItem>
    <reviewItem>
      <errorID>cda418e8-ff66-47fd-99e2-64253b768814</errorID>
      <errorWord>(</errorWord>
      <group>L1_Format</group>
      <groupName>格式问题</groupName>
      <ability>L2_HalfPunc</ability>
      <abilityName>全半角检查</abilityName>
      <candidateList>
        <item>（</item>
      </candidateList>
      <explain>文本全半角错误。</explain>
      <paraID>3ED70E6B</paraID>
      <start>4</start>
      <end>5</end>
      <status>unmodified</status>
      <modifiedWord/>
      <trackRevisions>false</trackRevisions>
    </reviewItem>
    <reviewItem>
      <errorID>f0a17596-6046-452b-a410-fcf0e9fa1300</errorID>
      <errorWord>)</errorWord>
      <group>L1_Format</group>
      <groupName>格式问题</groupName>
      <ability>L2_HalfPunc</ability>
      <abilityName>全半角检查</abilityName>
      <candidateList>
        <item>）</item>
      </candidateList>
      <explain>文本全半角错误。</explain>
      <paraID>3ED70E6B</paraID>
      <start>9</start>
      <end>10</end>
      <status>unmodified</status>
      <modifiedWord/>
      <trackRevisions>false</trackRevisions>
    </reviewItem>
    <reviewItem>
      <errorID>0e2414c0-5db3-4601-be78-4d69ed15c62c</errorID>
      <errorWord>(</errorWord>
      <group>L1_Format</group>
      <groupName>格式问题</groupName>
      <ability>L2_HalfPunc</ability>
      <abilityName>全半角检查</abilityName>
      <candidateList>
        <item>（</item>
      </candidateList>
      <explain>文本全半角错误。</explain>
      <paraID>691286E9</paraID>
      <start>3</start>
      <end>4</end>
      <status>unmodified</status>
      <modifiedWord/>
      <trackRevisions>false</trackRevisions>
    </reviewItem>
    <reviewItem>
      <errorID>18c3e80a-b78b-4ca7-b80d-22195785a97a</errorID>
      <errorWord>)</errorWord>
      <group>L1_Format</group>
      <groupName>格式问题</groupName>
      <ability>L2_HalfPunc</ability>
      <abilityName>全半角检查</abilityName>
      <candidateList>
        <item>）</item>
      </candidateList>
      <explain>文本全半角错误。</explain>
      <paraID>691286E9</paraID>
      <start>7</start>
      <end>8</end>
      <status>unmodified</status>
      <modifiedWord/>
      <trackRevisions>false</trackRevisions>
    </reviewItem>
    <reviewItem>
      <errorID>31bf27f6-e8ec-435d-ad7c-2c4517ec6591</errorID>
      <errorWord>(</errorWord>
      <group>L1_Format</group>
      <groupName>格式问题</groupName>
      <ability>L2_HalfPunc</ability>
      <abilityName>全半角检查</abilityName>
      <candidateList>
        <item>（</item>
      </candidateList>
      <explain>文本全半角错误。</explain>
      <paraID>6AF4DE35</paraID>
      <start>4</start>
      <end>5</end>
      <status>unmodified</status>
      <modifiedWord/>
      <trackRevisions>false</trackRevisions>
    </reviewItem>
    <reviewItem>
      <errorID>dc873ebf-fc81-4157-ba39-cdfe4ef74a92</errorID>
      <errorWord>)</errorWord>
      <group>L1_Format</group>
      <groupName>格式问题</groupName>
      <ability>L2_HalfPunc</ability>
      <abilityName>全半角检查</abilityName>
      <candidateList>
        <item>）</item>
      </candidateList>
      <explain>文本全半角错误。</explain>
      <paraID>6AF4DE35</paraID>
      <start>9</start>
      <end>10</end>
      <status>unmodified</status>
      <modifiedWord/>
      <trackRevisions>false</trackRevisions>
    </reviewItem>
    <reviewItem>
      <errorID>18b7959b-91bf-4ec9-ab69-974a883a9d84</errorID>
      <errorWord>(</errorWord>
      <group>L1_Format</group>
      <groupName>格式问题</groupName>
      <ability>L2_HalfPunc</ability>
      <abilityName>全半角检查</abilityName>
      <candidateList>
        <item>（</item>
      </candidateList>
      <explain>文本全半角错误。</explain>
      <paraID>4FB41A3C</paraID>
      <start>4</start>
      <end>5</end>
      <status>unmodified</status>
      <modifiedWord/>
      <trackRevisions>false</trackRevisions>
    </reviewItem>
    <reviewItem>
      <errorID>8fb8d554-3f1d-4f98-b60f-a7968529abbd</errorID>
      <errorWord>)</errorWord>
      <group>L1_Format</group>
      <groupName>格式问题</groupName>
      <ability>L2_HalfPunc</ability>
      <abilityName>全半角检查</abilityName>
      <candidateList>
        <item>）</item>
      </candidateList>
      <explain>文本全半角错误。</explain>
      <paraID>4FB41A3C</paraID>
      <start>11</start>
      <end>12</end>
      <status>unmodified</status>
      <modifiedWord/>
      <trackRevisions>false</trackRevisions>
    </reviewItem>
    <reviewItem>
      <errorID>8e1d1ed5-dd42-4d6b-b888-153fd44ad8e7</errorID>
      <errorWord>(</errorWord>
      <group>L1_Format</group>
      <groupName>格式问题</groupName>
      <ability>L2_HalfPunc</ability>
      <abilityName>全半角检查</abilityName>
      <candidateList>
        <item>（</item>
      </candidateList>
      <explain>文本全半角错误。</explain>
      <paraID>34B125AE</paraID>
      <start>4</start>
      <end>5</end>
      <status>unmodified</status>
      <modifiedWord/>
      <trackRevisions>false</trackRevisions>
    </reviewItem>
    <reviewItem>
      <errorID>7dc4fbcd-a67d-409a-aaf2-8d992bea61aa</errorID>
      <errorWord>)</errorWord>
      <group>L1_Format</group>
      <groupName>格式问题</groupName>
      <ability>L2_HalfPunc</ability>
      <abilityName>全半角检查</abilityName>
      <candidateList>
        <item>）</item>
      </candidateList>
      <explain>文本全半角错误。</explain>
      <paraID>34B125AE</paraID>
      <start>9</start>
      <end>10</end>
      <status>unmodified</status>
      <modifiedWord/>
      <trackRevisions>false</trackRevisions>
    </reviewItem>
    <reviewItem>
      <errorID>06e3baf3-95fd-4f62-a15c-6f702486d17e</errorID>
      <errorWord>(</errorWord>
      <group>L1_Format</group>
      <groupName>格式问题</groupName>
      <ability>L2_HalfPunc</ability>
      <abilityName>全半角检查</abilityName>
      <candidateList>
        <item>（</item>
      </candidateList>
      <explain>文本全半角错误。</explain>
      <paraID>35EE93F4</paraID>
      <start>4</start>
      <end>5</end>
      <status>unmodified</status>
      <modifiedWord/>
      <trackRevisions>false</trackRevisions>
    </reviewItem>
    <reviewItem>
      <errorID>bc18acef-2f1b-4559-b464-06e5bfbb660a</errorID>
      <errorWord>)</errorWord>
      <group>L1_Format</group>
      <groupName>格式问题</groupName>
      <ability>L2_HalfPunc</ability>
      <abilityName>全半角检查</abilityName>
      <candidateList>
        <item>）</item>
      </candidateList>
      <explain>文本全半角错误。</explain>
      <paraID>35EE93F4</paraID>
      <start>11</start>
      <end>12</end>
      <status>unmodified</status>
      <modifiedWord/>
      <trackRevisions>false</trackRevisions>
    </reviewItem>
    <reviewItem>
      <errorID>974543fc-c63e-4004-8bb3-de42c44fc5c5</errorID>
      <errorWord>、</errorWord>
      <group>L1_Punc</group>
      <groupName>标点问题</groupName>
      <ability>L2_Punc</ability>
      <abilityName>标点符号检查</abilityName>
      <candidateList>
        <item>.</item>
      </candidateList>
      <explain/>
      <paraID>75E5E02F</paraID>
      <start>1</start>
      <end>2</end>
      <status>unmodified</status>
      <modifiedWord/>
      <trackRevisions>false</trackRevisions>
    </reviewItem>
    <reviewItem>
      <errorID>c7f3c70d-7e7d-4971-8d8f-7b0bfafe7c8c</errorID>
      <errorWord>、</errorWord>
      <group>L1_Punc</group>
      <groupName>标点问题</groupName>
      <ability>L2_Punc</ability>
      <abilityName>标点符号检查</abilityName>
      <candidateList>
        <item>.</item>
      </candidateList>
      <explain/>
      <paraID>523CA062</paraID>
      <start>1</start>
      <end>2</end>
      <status>unmodified</status>
      <modifiedWord/>
      <trackRevisions>false</trackRevisions>
    </reviewItem>
    <reviewItem>
      <errorID>bbc71c91-31db-4297-99e2-b726a912068f</errorID>
      <errorWord>其它工序</errorWord>
      <group>L1_Word</group>
      <groupName>字词问题</groupName>
      <ability>L2_Alias</ability>
      <abilityName>也作/曾用词</abilityName>
      <candidateList>
        <item>其他工序</item>
      </candidateList>
      <explain>词汇[其它工序]为不规范表述或旧称，其规范书面表述为[其他工序]。</explain>
      <paraID>107AA7A4</paraID>
      <start>3</start>
      <end>7</end>
      <status>unmodified</status>
      <modifiedWord/>
      <trackRevisions>false</trackRevisions>
    </reviewItem>
    <reviewItem>
      <errorID>2d162717-b1e5-4a74-a9aa-92c89368c680</errorID>
      <errorWord>程</errorWord>
      <group>L1_Word</group>
      <groupName>字词问题</groupName>
      <ability>L2_Typo</ability>
      <abilityName>字词错误</abilityName>
      <candidateList>
        <item>程中</item>
      </candidateList>
      <explain/>
      <paraID>107AA7A4</paraID>
      <start>36</start>
      <end>37</end>
      <status>unmodified</status>
      <modifiedWord/>
      <trackRevisions>false</trackRevisions>
    </reviewItem>
    <reviewItem>
      <errorID>ca91adac-b3e7-4c92-893e-4f6558d8f0f3</errorID>
      <errorWord>的颗粒物</errorWord>
      <group>L1_Knowledge</group>
      <groupName>知识性问题</groupName>
      <ability>L2_Term</ability>
      <abilityName>专业术语</abilityName>
      <candidateList>
        <item>细颗粒物</item>
      </candidateList>
      <explain/>
      <paraID>107AA7A4</paraID>
      <start>39</start>
      <end>43</end>
      <status>unmodified</status>
      <modifiedWord/>
      <trackRevisions>false</trackRevisions>
    </reviewItem>
    <reviewItem>
      <errorID>2ddfbc27-da67-43dc-b7da-6cc51a4ca626</errorID>
      <errorWord>-</errorWord>
      <group>L1_Format</group>
      <groupName>格式问题</groupName>
      <ability>L2_HalfPunc</ability>
      <abilityName>全半角检查</abilityName>
      <candidateList>
        <item>－</item>
      </candidateList>
      <explain>文本全半角错误。</explain>
      <paraID>28F7B056</paraID>
      <start>176</start>
      <end>177</end>
      <status>unmodified</status>
      <modifiedWord/>
      <trackRevisions>false</trackRevisions>
    </reviewItem>
    <reviewItem>
      <errorID>9844d9ff-ba4b-4e56-884f-e68ae39ae374</errorID>
      <errorWord>(</errorWord>
      <group>L1_Format</group>
      <groupName>格式问题</groupName>
      <ability>L2_HalfPunc</ability>
      <abilityName>全半角检查</abilityName>
      <candidateList>
        <item>（</item>
      </candidateList>
      <explain>文本全半角错误。</explain>
      <paraID>28F7B056</paraID>
      <start>206</start>
      <end>207</end>
      <status>unmodified</status>
      <modifiedWord/>
      <trackRevisions>false</trackRevisions>
    </reviewItem>
    <reviewItem>
      <errorID>208a1b9f-de05-4041-9d18-3f1bcf521de0</errorID>
      <errorWord>)</errorWord>
      <group>L1_Format</group>
      <groupName>格式问题</groupName>
      <ability>L2_HalfPunc</ability>
      <abilityName>全半角检查</abilityName>
      <candidateList>
        <item>）</item>
      </candidateList>
      <explain>文本全半角错误。</explain>
      <paraID>28F7B056</paraID>
      <start>218</start>
      <end>219</end>
      <status>unmodified</status>
      <modifiedWord/>
      <trackRevisions>false</trackRevisions>
    </reviewItem>
    <reviewItem>
      <errorID>f65efc0d-7c9d-4d32-8ab9-4ec678fb58c5</errorID>
      <errorWord>次</errorWord>
      <group>L1_Word</group>
      <groupName>字词问题</groupName>
      <ability>L2_Typo</ability>
      <abilityName>字词错误</abilityName>
      <candidateList>
        <item>个</item>
      </candidateList>
      <explain/>
      <paraID>3DCEFA64</paraID>
      <start>1</start>
      <end>2</end>
      <status>unmodified</status>
      <modifiedWord/>
      <trackRevisions>false</trackRevisions>
    </reviewItem>
    <reviewItem>
      <errorID>609b2b88-a659-4ca8-8a3a-ae9eb00bcf39</errorID>
      <errorWord>(</errorWord>
      <group>L1_Format</group>
      <groupName>格式问题</groupName>
      <ability>L2_HalfPunc</ability>
      <abilityName>全半角检查</abilityName>
      <candidateList>
        <item>（</item>
      </candidateList>
      <explain>文本全半角错误。</explain>
      <paraID>782383D0</paraID>
      <start>4</start>
      <end>5</end>
      <status>unmodified</status>
      <modifiedWord/>
      <trackRevisions>false</trackRevisions>
    </reviewItem>
    <reviewItem>
      <errorID>34e262de-3b19-437c-8dce-b5efbd88f8eb</errorID>
      <errorWord>)</errorWord>
      <group>L1_Format</group>
      <groupName>格式问题</groupName>
      <ability>L2_HalfPunc</ability>
      <abilityName>全半角检查</abilityName>
      <candidateList>
        <item>）</item>
      </candidateList>
      <explain>文本全半角错误。</explain>
      <paraID>782383D0</paraID>
      <start>10</start>
      <end>11</end>
      <status>unmodified</status>
      <modifiedWord/>
      <trackRevisions>false</trackRevisions>
    </reviewItem>
    <reviewItem>
      <errorID>c9a69f0c-f6f6-42b5-8a5e-e8a8e6e9caf3</errorID>
      <errorWord>后方</errorWord>
      <group>L1_Word</group>
      <groupName>字词问题</groupName>
      <ability>L2_Typo</ability>
      <abilityName>字词错误</abilityName>
      <candidateList>
        <item>后</item>
      </candidateList>
      <explain>❶君主的妻子：皇～｜～妃。❷古代称君主：商之先～。❸（Hòu）〈名〉姓。</explain>
      <paraID>4CF8F24B</paraID>
      <start>72</start>
      <end>74</end>
      <status>unmodified</status>
      <modifiedWord/>
      <trackRevisions>false</trackRevisions>
    </reviewItem>
    <reviewItem>
      <errorID>b1f68688-5c2f-402f-8fc1-8d68289276c4</errorID>
      <errorWord>设</errorWord>
      <group>L1_Word</group>
      <groupName>字词问题</groupName>
      <ability>L2_Typo</ability>
      <abilityName>字词错误</abilityName>
      <candidateList>
        <item>设立</item>
      </candidateList>
      <explain/>
      <paraID>4F3AB093</paraID>
      <start>1</start>
      <end>2</end>
      <status>unmodified</status>
      <modifiedWord/>
      <trackRevisions>false</trackRevisions>
    </reviewItem>
    <reviewItem>
      <errorID>5a54172d-8aea-47f7-b63c-e66107ac56ba</errorID>
      <errorWord>、</errorWord>
      <group>L1_Punc</group>
      <groupName>标点问题</groupName>
      <ability>L2_Punc</ability>
      <abilityName>标点符号检查</abilityName>
      <candidateList>
        <item>.</item>
      </candidateList>
      <explain/>
      <paraID>16424716</paraID>
      <start>1</start>
      <end>2</end>
      <status>unmodified</status>
      <modifiedWord/>
      <trackRevisions>false</trackRevisions>
    </reviewItem>
    <reviewItem>
      <errorID>f0e72862-8545-4b53-8a37-ba094dce913a</errorID>
      <errorWord>、</errorWord>
      <group>L1_Punc</group>
      <groupName>标点问题</groupName>
      <ability>L2_Punc</ability>
      <abilityName>标点符号检查</abilityName>
      <candidateList>
        <item>.</item>
      </candidateList>
      <explain/>
      <paraID>731AA136</paraID>
      <start>1</start>
      <end>2</end>
      <status>unmodified</status>
      <modifiedWord/>
      <trackRevisions>false</trackRevisions>
    </reviewItem>
    <reviewItem>
      <errorID>13ad049a-6795-4f53-b8fc-c45f4de0c63a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17E00623</paraID>
      <start>32</start>
      <end>33</end>
      <status>unmodified</status>
      <modifiedWord/>
      <trackRevisions>false</trackRevisions>
    </reviewItem>
    <reviewItem>
      <errorID>103bf63f-8f7a-4d8d-9d05-fbb089258abf</errorID>
      <errorWord>、</errorWord>
      <group>L1_Punc</group>
      <groupName>标点问题</groupName>
      <ability>L2_Punc</ability>
      <abilityName>标点符号检查</abilityName>
      <candidateList>
        <item>.</item>
      </candidateList>
      <explain/>
      <paraID>27470842</paraID>
      <start>1</start>
      <end>2</end>
      <status>unmodified</status>
      <modifiedWord/>
      <trackRevisions>false</trackRevisions>
    </reviewItem>
    <reviewItem>
      <errorID>5b2f974b-e039-4c0d-8f28-011128b3079a</errorID>
      <errorWord>)</errorWord>
      <group>L1_Format</group>
      <groupName>格式问题</groupName>
      <ability>L2_HalfPunc</ability>
      <abilityName>全半角检查</abilityName>
      <candidateList>
        <item>）</item>
      </candidateList>
      <explain>文本全半角错误。</explain>
      <paraID>2AA0C4D9</paraID>
      <start>81</start>
      <end>82</end>
      <status>unmodified</status>
      <modifiedWord/>
      <trackRevisions>false</trackRevisions>
    </reviewItem>
    <reviewItem>
      <errorID>40bb6f76-f59f-4c0d-87ee-22dbfb4b3163</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5831AE10</paraID>
      <start>0</start>
      <end>2</end>
      <status>unmodified</status>
      <modifiedWord/>
      <trackRevisions>false</trackRevisions>
    </reviewItem>
    <reviewItem>
      <errorID>97f49745-2d80-49fc-8bf0-e43ceaaddb7e</errorID>
      <errorWord>，，</errorWord>
      <group>L1_Punc</group>
      <groupName>标点问题</groupName>
      <ability>L2_Punc</ability>
      <abilityName>标点符号检查</abilityName>
      <candidateList>
        <item>，</item>
      </candidateList>
      <explain/>
      <paraID>17865F6E</paraID>
      <start>169</start>
      <end>171</end>
      <status>unmodified</status>
      <modifiedWord/>
      <trackRevisions>false</trackRevisions>
    </reviewItem>
    <reviewItem>
      <errorID>0abecfe2-1fbf-464b-8bbe-526c4d1f117e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355A912D</paraID>
      <start>0</start>
      <end>2</end>
      <status>unmodified</status>
      <modifiedWord/>
      <trackRevisions>false</trackRevisions>
    </reviewItem>
    <reviewItem>
      <errorID>f4436230-ffd2-4822-a5f3-335a9bbf3780</errorID>
      <errorWord>小</errorWord>
      <group>L1_Word</group>
      <groupName>字词问题</groupName>
      <ability>L2_Typo</ability>
      <abilityName>字词错误</abilityName>
      <candidateList>
        <item>少</item>
      </candidateList>
      <explain>存在字形相近字词的误用。</explain>
      <paraID>2AE62DB9</paraID>
      <start>258</start>
      <end>259</end>
      <status>unmodified</status>
      <modifiedWord/>
      <trackRevisions>false</trackRevisions>
    </reviewItem>
    <reviewItem>
      <errorID>fdf16359-d8b8-487f-a3dd-34c0a685bdb2</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68D3BBDF</paraID>
      <start>0</start>
      <end>2</end>
      <status>unmodified</status>
      <modifiedWord/>
      <trackRevisions>false</trackRevisions>
    </reviewItem>
    <reviewItem>
      <errorID>96a3d559-9708-417a-8cc4-286ab705a5fe</errorID>
      <errorWord>2025年08月14日</errorWord>
      <group>L1_Knowledge</group>
      <groupName>知识性问题</groupName>
      <ability>L2_Time</ability>
      <abilityName>日期时间</abilityName>
      <candidateList>
        <item>2025年8月14日</item>
      </candidateList>
      <explain>根据日常书写习惯，月份一般会省略前导零。</explain>
      <paraID>432E5FC6</paraID>
      <start>0</start>
      <end>11</end>
      <status>unmodified</status>
      <modifiedWord/>
      <trackRevisions>false</trackRevisions>
    </reviewItem>
    <reviewItem>
      <errorID>4f895785-0972-4143-9a53-a4111aa8ad7f</errorID>
      <errorWord>废水不排放</errorWord>
      <group>L1_Knowledge</group>
      <groupName>知识性问题</groupName>
      <ability>L2_Term</ability>
      <abilityName>专业术语</abilityName>
      <candidateList>
        <item>废水零排放</item>
      </candidateList>
      <explain/>
      <paraID> 2DF898A</paraID>
      <start>124</start>
      <end>129</end>
      <status>unmodified</status>
      <modifiedWord/>
      <trackRevisions>false</trackRevisions>
    </reviewItem>
    <reviewItem>
      <errorID>b267a365-d71a-44c0-9a23-a9d2d9a86601</errorID>
      <errorWord>源源</errorWord>
      <group>L1_Word</group>
      <groupName>字词问题</groupName>
      <ability>L2_Typo</ability>
      <abilityName>字词错误</abilityName>
      <candidateList>
        <item>源</item>
      </candidateList>
      <explain/>
      <paraID>2C604F08</paraID>
      <start>1</start>
      <end>3</end>
      <status>unmodified</status>
      <modifiedWord/>
      <trackRevisions>false</trackRevisions>
    </reviewItem>
    <reviewItem>
      <errorID>2a5135f5-fb3d-4eef-b8f1-a0e846e6819a</errorID>
      <errorWord>减震</errorWord>
      <group>L1_Word</group>
      <groupName>字词问题</groupName>
      <ability>L2_Typo</ability>
      <abilityName>字词错误</abilityName>
      <candidateList>
        <item>减振</item>
      </candidateList>
      <explain>存在发音相同字词的误用。</explain>
      <paraID>3D021A79</paraID>
      <start>6</start>
      <end>8</end>
      <status>unmodified</status>
      <modifiedWord/>
      <trackRevisions>false</trackRevisions>
    </reviewItem>
    <reviewItem>
      <errorID>48f21d4f-fd80-4227-a6d3-55c3d31e00ee</errorID>
      <errorWord>(</errorWord>
      <group>L1_Format</group>
      <groupName>格式问题</groupName>
      <ability>L2_HalfPunc</ability>
      <abilityName>全半角检查</abilityName>
      <candidateList>
        <item>（</item>
      </candidateList>
      <explain>文本全半角错误。</explain>
      <paraID>15A74CD1</paraID>
      <start>32</start>
      <end>33</end>
      <status>unmodified</status>
      <modifiedWord/>
      <trackRevisions>false</trackRevisions>
    </reviewItem>
    <reviewItem>
      <errorID>7f09c005-aa44-4c36-afab-8ba335b24225</errorID>
      <errorWord>)</errorWord>
      <group>L1_Format</group>
      <groupName>格式问题</groupName>
      <ability>L2_HalfPunc</ability>
      <abilityName>全半角检查</abilityName>
      <candidateList>
        <item>）</item>
      </candidateList>
      <explain>文本全半角错误。</explain>
      <paraID>15A74CD1</paraID>
      <start>43</start>
      <end>44</end>
      <status>unmodified</status>
      <modifiedWord/>
      <trackRevisions>false</trackRevisions>
    </reviewItem>
    <reviewItem>
      <errorID>53466c50-4325-4212-9b27-c0d591fb7350</errorID>
      <errorWord>（</errorWord>
      <group>L1_Format</group>
      <groupName>格式问题</groupName>
      <ability>L2_HalfPunc</ability>
      <abilityName>全半角检查</abilityName>
      <candidateList>
        <item>(</item>
      </candidateList>
      <explain>文本全半角错误。</explain>
      <paraID>4DA560DE</paraID>
      <start>12</start>
      <end>13</end>
      <status>unmodified</status>
      <modifiedWord/>
      <trackRevisions>false</trackRevisions>
    </reviewItem>
    <reviewItem>
      <errorID>094fcb16-b148-4c3f-bb97-9733170eeaba</errorID>
      <errorWord>）</errorWord>
      <group>L1_Format</group>
      <groupName>格式问题</groupName>
      <ability>L2_HalfPunc</ability>
      <abilityName>全半角检查</abilityName>
      <candidateList>
        <item>)</item>
      </candidateList>
      <explain>文本全半角错误。</explain>
      <paraID>4DA560DE</paraID>
      <start>14</start>
      <end>15</end>
      <status>unmodified</status>
      <modifiedWord/>
      <trackRevisions>false</trackRevisions>
    </reviewItem>
    <reviewItem>
      <errorID>93053179-d32e-4a0c-bcfa-96f351928784</errorID>
      <errorWord>（</errorWord>
      <group>L1_Format</group>
      <groupName>格式问题</groupName>
      <ability>L2_HalfPunc</ability>
      <abilityName>全半角检查</abilityName>
      <candidateList>
        <item>(</item>
      </candidateList>
      <explain>文本全半角错误。</explain>
      <paraID>4DA560DE</paraID>
      <start>16</start>
      <end>17</end>
      <status>unmodified</status>
      <modifiedWord/>
      <trackRevisions>false</trackRevisions>
    </reviewItem>
    <reviewItem>
      <errorID>7870b44d-883b-4226-842c-0f529a155f94</errorID>
      <errorWord>）</errorWord>
      <group>L1_Format</group>
      <groupName>格式问题</groupName>
      <ability>L2_HalfPunc</ability>
      <abilityName>全半角检查</abilityName>
      <candidateList>
        <item>)</item>
      </candidateList>
      <explain>文本全半角错误。</explain>
      <paraID>4DA560DE</paraID>
      <start>22</start>
      <end>23</end>
      <status>unmodified</status>
      <modifiedWord/>
      <trackRevisions>false</trackRevisions>
    </reviewItem>
    <reviewItem>
      <errorID>a0d13a65-6e2a-41c2-82ec-089c8fad4e83</errorID>
      <errorWord>）中</errorWord>
      <group>L1_Word</group>
      <groupName>字词问题</groupName>
      <ability>L2_Typo</ability>
      <abilityName>字词错误</abilityName>
      <candidateList>
        <item>）</item>
      </candidateList>
      <explain/>
      <paraID>7950381B</paraID>
      <start>24</start>
      <end>26</end>
      <status>unmodified</status>
      <modifiedWord/>
      <trackRevisions>false</trackRevisions>
    </reviewItem>
    <reviewItem>
      <errorID>f56b75c5-add1-44b0-90e7-e41d8d30cd78</errorID>
      <errorWord>（</errorWord>
      <group>L1_Format</group>
      <groupName>格式问题</groupName>
      <ability>L2_HalfPunc</ability>
      <abilityName>全半角检查</abilityName>
      <candidateList>
        <item>(</item>
      </candidateList>
      <explain>文本全半角错误。</explain>
      <paraID>305650A5</paraID>
      <start>7</start>
      <end>8</end>
      <status>unmodified</status>
      <modifiedWord/>
      <trackRevisions>false</trackRevisions>
    </reviewItem>
    <reviewItem>
      <errorID>800d0b90-19ed-4faa-a8bc-3dab06773fc1</errorID>
      <errorWord>）</errorWord>
      <group>L1_Format</group>
      <groupName>格式问题</groupName>
      <ability>L2_HalfPunc</ability>
      <abilityName>全半角检查</abilityName>
      <candidateList>
        <item>)</item>
      </candidateList>
      <explain>文本全半角错误。</explain>
      <paraID>305650A5</paraID>
      <start>12</start>
      <end>13</end>
      <status>unmodified</status>
      <modifiedWord/>
      <trackRevisions>false</trackRevisions>
    </reviewItem>
    <reviewItem>
      <errorID>331318af-1fe7-4ab1-a6c5-888e8d1eb12b</errorID>
      <errorWord>)</errorWord>
      <group>L1_Format</group>
      <groupName>格式问题</groupName>
      <ability>L2_HalfPunc</ability>
      <abilityName>全半角检查</abilityName>
      <candidateList>
        <item>）</item>
      </candidateList>
      <explain>文本全半角错误。</explain>
      <paraID>608E9980</paraID>
      <start>28</start>
      <end>29</end>
      <status>unmodified</status>
      <modifiedWord/>
      <trackRevisions>false</trackRevisions>
    </reviewItem>
    <reviewItem>
      <errorID>df973812-72e2-4771-a3e2-1d52308535c8</errorID>
      <errorWord>)</errorWord>
      <group>L1_Format</group>
      <groupName>格式问题</groupName>
      <ability>L2_HalfPunc</ability>
      <abilityName>全半角检查</abilityName>
      <candidateList>
        <item>）</item>
      </candidateList>
      <explain>文本全半角错误。</explain>
      <paraID>59A3B085</paraID>
      <start>22</start>
      <end>23</end>
      <status>unmodified</status>
      <modifiedWord/>
      <trackRevisions>false</trackRevisions>
    </reviewItem>
    <reviewItem>
      <errorID>c934b55e-8f3c-4d8d-b5e9-4073d614f056</errorID>
      <errorWord>)</errorWord>
      <group>L1_Format</group>
      <groupName>格式问题</groupName>
      <ability>L2_HalfPunc</ability>
      <abilityName>全半角检查</abilityName>
      <candidateList>
        <item>）</item>
      </candidateList>
      <explain>文本全半角错误。</explain>
      <paraID>77B7C32B</paraID>
      <start>22</start>
      <end>23</end>
      <status>unmodified</status>
      <modifiedWord/>
      <trackRevisions>false</trackRevisions>
    </reviewItem>
    <reviewItem>
      <errorID>0f5a657e-2e35-4ad8-8b20-46f24dd0790c</errorID>
      <errorWord>(</errorWord>
      <group>L1_Format</group>
      <groupName>格式问题</groupName>
      <ability>L2_HalfPunc</ability>
      <abilityName>全半角检查</abilityName>
      <candidateList>
        <item>（</item>
      </candidateList>
      <explain>文本全半角错误。</explain>
      <paraID>30E376B7</paraID>
      <start>19</start>
      <end>20</end>
      <status>unmodified</status>
      <modifiedWord/>
      <trackRevisions>false</trackRevisions>
    </reviewItem>
    <reviewItem>
      <errorID>24751847-b2f2-42b8-9e3b-2dbf06967426</errorID>
      <errorWord>)</errorWord>
      <group>L1_Format</group>
      <groupName>格式问题</groupName>
      <ability>L2_HalfPunc</ability>
      <abilityName>全半角检查</abilityName>
      <candidateList>
        <item>）</item>
      </candidateList>
      <explain>文本全半角错误。</explain>
      <paraID>30E376B7</paraID>
      <start>31</start>
      <end>32</end>
      <status>unmodified</status>
      <modifiedWord/>
      <trackRevisions>false</trackRevisions>
    </reviewItem>
    <reviewItem>
      <errorID>bec8720b-895c-46f0-b536-640f9709e8be</errorID>
      <errorWord>(</errorWord>
      <group>L1_Format</group>
      <groupName>格式问题</groupName>
      <ability>L2_HalfPunc</ability>
      <abilityName>全半角检查</abilityName>
      <candidateList>
        <item>（</item>
      </candidateList>
      <explain>文本全半角错误。</explain>
      <paraID>30E376B7</paraID>
      <start>54</start>
      <end>55</end>
      <status>unmodified</status>
      <modifiedWord/>
      <trackRevisions>false</trackRevisions>
    </reviewItem>
    <reviewItem>
      <errorID>2e098854-1a30-41de-920c-4ea3a3d111b9</errorID>
      <errorWord>)</errorWord>
      <group>L1_Format</group>
      <groupName>格式问题</groupName>
      <ability>L2_HalfPunc</ability>
      <abilityName>全半角检查</abilityName>
      <candidateList>
        <item>）</item>
      </candidateList>
      <explain>文本全半角错误。</explain>
      <paraID>30E376B7</paraID>
      <start>67</start>
      <end>68</end>
      <status>unmodified</status>
      <modifiedWord/>
      <trackRevisions>false</trackRevisions>
    </reviewItem>
    <reviewItem>
      <errorID>1d30f9ce-4638-436e-9c85-51232a95cbf8</errorID>
      <errorWord>见</errorWord>
      <group>L1_Word</group>
      <groupName>字词问题</groupName>
      <ability>L2_Typo</ability>
      <abilityName>字词错误</abilityName>
      <candidateList>
        <item>见下</item>
      </candidateList>
      <explain/>
      <paraID>7A29947A</paraID>
      <start>98</start>
      <end>99</end>
      <status>unmodified</status>
      <modifiedWord/>
      <trackRevisions>false</trackRevisions>
    </reviewItem>
    <reviewItem>
      <errorID>352735b4-79de-4171-bafb-3d51cb09034d</errorID>
      <errorWord>总量的</errorWord>
      <group>L1_Word</group>
      <groupName>字词问题</groupName>
      <ability>L2_Typo</ability>
      <abilityName>字词错误</abilityName>
      <candidateList>
        <item>总量</item>
      </candidateList>
      <explain/>
      <paraID>1CD90741</paraID>
      <start>41</start>
      <end>44</end>
      <status>unmodified</status>
      <modifiedWord/>
      <trackRevisions>false</trackRevisions>
    </reviewItem>
    <reviewItem>
      <errorID>52c048c6-d940-4406-a422-5c42086e5815</errorID>
      <errorWord>作为</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24450DAA</paraID>
      <start>111</start>
      <end>113</end>
      <status>unmodified</status>
      <modifiedWord/>
      <trackRevisions>false</trackRevisions>
    </reviewItem>
    <reviewItem>
      <errorID>45e115c1-afce-4276-aa57-219ea2021344</errorID>
      <errorWord>可用</errorWord>
      <group>L1_Word</group>
      <groupName>字词问题</groupName>
      <ability>L2_Typo</ability>
      <abilityName>字词错误</abilityName>
      <candidateList>
        <item>可</item>
      </candidateList>
      <explain>〈动〉适合：～人意｜这回倒～了他的心了。</explain>
      <paraID>1F73EF03</paraID>
      <start>41</start>
      <end>43</end>
      <status>unmodified</status>
      <modifiedWord/>
      <trackRevisions>false</trackRevisions>
    </reviewItem>
    <reviewItem>
      <errorID>1e61cd44-b156-464b-8440-e1a8110474ce</errorID>
      <errorWord>作为</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1F73EF03</paraID>
      <start>43</start>
      <end>45</end>
      <status>unmodified</status>
      <modifiedWord/>
      <trackRevisions>false</trackRevisions>
    </reviewItem>
    <reviewItem>
      <errorID>f643af26-e5b4-4eca-a94e-6883823d1b0d</errorID>
      <errorWord>裙脚</errorWord>
      <group>L1_Word</group>
      <groupName>字词问题</groupName>
      <ability>L2_Typo</ability>
      <abilityName>字词错误</abilityName>
      <candidateList>
        <item>裙角</item>
      </candidateList>
      <explain/>
      <paraID>2A33B1F7</paraID>
      <start>16</start>
      <end>18</end>
      <status>unmodified</status>
      <modifiedWord/>
      <trackRevisions>false</trackRevisions>
    </reviewItem>
    <reviewItem>
      <errorID>adcbce04-fd64-4429-8f21-36ebcff2fc38</errorID>
      <errorWord>固体废物污染环境防治法</errorWord>
      <group>L1_Knowledge</group>
      <groupName>知识性问题</groupName>
      <ability>L2_Knowledge</ability>
      <abilityName>其他知识</abilityName>
      <candidateList>
        <item>中华人民共和国固体废物污染环境防治法</item>
      </candidateList>
      <explain>当前法律法规名称使用简称，请注意是否应当使用全称。</explain>
      <paraID>2B51C95B</paraID>
      <start>21</start>
      <end>32</end>
      <status>unmodified</status>
      <modifiedWord/>
      <trackRevisions>false</trackRevisions>
    </reviewItem>
    <reviewItem>
      <errorID>7dd6b92b-6d23-44f3-ac1a-c22e2616278a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2B51C95B</paraID>
      <start>128</start>
      <end>129</end>
      <status>unmodified</status>
      <modifiedWord/>
      <trackRevisions>false</trackRevisions>
    </reviewItem>
    <reviewItem>
      <errorID>f21dce5d-450f-49d9-96b9-3a88a9111e61</errorID>
      <errorWord>-</errorWord>
      <group>L1_Format</group>
      <groupName>格式问题</groupName>
      <ability>L2_HalfPunc</ability>
      <abilityName>全半角检查</abilityName>
      <candidateList>
        <item>－</item>
      </candidateList>
      <explain>文本全半角错误。</explain>
      <paraID>389F421B</paraID>
      <start>84</start>
      <end>85</end>
      <status>unmodified</status>
      <modifiedWord/>
      <trackRevisions>false</trackRevisions>
    </reviewItem>
    <reviewItem>
      <errorID>c8ecc69b-185f-4db9-9230-556423990800</errorID>
      <errorWord>-</errorWord>
      <group>L1_Format</group>
      <groupName>格式问题</groupName>
      <ability>L2_HalfPunc</ability>
      <abilityName>全半角检查</abilityName>
      <candidateList>
        <item>－</item>
      </candidateList>
      <explain>文本全半角错误。</explain>
      <paraID>389F421B</paraID>
      <start>93</start>
      <end>94</end>
      <status>unmodified</status>
      <modifiedWord/>
      <trackRevisions>false</trackRevisions>
    </reviewItem>
    <reviewItem>
      <errorID>d460199c-41fc-4ab9-be3b-49a2c849f448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101FFC04</paraID>
      <start>32</start>
      <end>33</end>
      <status>unmodified</status>
      <modifiedWord/>
      <trackRevisions>false</trackRevisions>
    </reviewItem>
    <reviewItem>
      <errorID>b1030926-1cc2-4186-9388-dfdf64e1dc2d</errorID>
      <errorWord>途经</errorWord>
      <group>L1_Word</group>
      <groupName>字词问题</groupName>
      <ability>L2_Typo</ability>
      <abilityName>字词错误</abilityName>
      <candidateList>
        <item>途径</item>
      </candidateList>
      <explain>〈名〉路径（多用于比喻）：寻找解决问题的～｜革新的～。</explain>
      <paraID>49D10AC4</paraID>
      <start>16</start>
      <end>18</end>
      <status>unmodified</status>
      <modifiedWord/>
      <trackRevisions>false</trackRevisions>
    </reviewItem>
    <reviewItem>
      <errorID>e7a3187a-24bf-4369-891c-9299b0daaf88</errorID>
      <errorWord>泄露</errorWord>
      <group>L1_Word</group>
      <groupName>字词问题</groupName>
      <ability>L2_Typo</ability>
      <abilityName>字词错误</abilityName>
      <candidateList>
        <item>泄漏</item>
      </candidateList>
      <explain/>
      <paraID>341FA079</paraID>
      <start>38</start>
      <end>40</end>
      <status>unmodified</status>
      <modifiedWord/>
      <trackRevisions>false</trackRevisions>
    </reviewItem>
    <reviewItem>
      <errorID>2403bc45-2682-431d-97cd-a57cc8ca3997</errorID>
      <errorWord>技渗</errorWord>
      <group>L1_Word</group>
      <groupName>字词问题</groupName>
      <ability>L2_Typo</ability>
      <abilityName>字词错误</abilityName>
      <candidateList>
        <item>技</item>
      </candidateList>
      <explain/>
      <paraID> 3D1CB34</paraID>
      <start>44</start>
      <end>46</end>
      <status>unmodified</status>
      <modifiedWord/>
      <trackRevisions>false</trackRevisions>
    </reviewItem>
    <reviewItem>
      <errorID>8da1f073-da7c-4aac-8717-03cc728de965</errorID>
      <errorWord>，</errorWord>
      <group>L1_Word</group>
      <groupName>字词问题</groupName>
      <ability>L2_Typo</ability>
      <abilityName>字词错误</abilityName>
      <candidateList>
        <item>，对</item>
      </candidateList>
      <explain/>
      <paraID>63D382FB</paraID>
      <start>31</start>
      <end>32</end>
      <status>unmodified</status>
      <modifiedWord/>
      <trackRevisions>false</trackRevisions>
    </reviewItem>
    <reviewItem>
      <errorID>83eae34d-6f60-492d-a2fd-88043de7f490</errorID>
      <errorWord>泄露</errorWord>
      <group>L1_Word</group>
      <groupName>字词问题</groupName>
      <ability>L2_Typo</ability>
      <abilityName>字词错误</abilityName>
      <candidateList>
        <item>泄漏</item>
      </candidateList>
      <explain>存在发音相同字词的误用。</explain>
      <paraID>4377DEE2</paraID>
      <start>105</start>
      <end>107</end>
      <status>unmodified</status>
      <modifiedWord/>
      <trackRevisions>false</trackRevisions>
    </reviewItem>
    <reviewItem>
      <errorID>cd416646-165a-4af4-980f-de735075da9b</errorID>
      <errorWord>泄露</errorWord>
      <group>L1_Word</group>
      <groupName>字词问题</groupName>
      <ability>L2_Typo</ability>
      <abilityName>字词错误</abilityName>
      <candidateList>
        <item>泄漏</item>
      </candidateList>
      <explain>存在发音相同字词的误用。</explain>
      <paraID>4377DEE2</paraID>
      <start>109</start>
      <end>111</end>
      <status>unmodified</status>
      <modifiedWord/>
      <trackRevisions>false</trackRevisions>
    </reviewItem>
    <reviewItem>
      <errorID>121b0582-b2ba-49eb-8702-51ca577120c5</errorID>
      <errorWord>，…，</errorWord>
      <group>L1_Punc</group>
      <groupName>标点问题</groupName>
      <ability>L2_Punc</ability>
      <abilityName>标点符号检查</abilityName>
      <candidateList>
        <item>，</item>
      </candidateList>
      <explain/>
      <paraID>6CE2D8FC</paraID>
      <start>8</start>
      <end>11</end>
      <status>unmodified</status>
      <modifiedWord/>
      <trackRevisions>false</trackRevisions>
    </reviewItem>
    <reviewItem>
      <errorID>bfc5a0d2-dbff-473a-b94b-297d04c18baa</errorID>
      <errorWord>，…，</errorWord>
      <group>L1_Punc</group>
      <groupName>标点问题</groupName>
      <ability>L2_Punc</ability>
      <abilityName>标点符号检查</abilityName>
      <candidateList>
        <item>，</item>
      </candidateList>
      <explain/>
      <paraID>55AB2FC2</paraID>
      <start>5</start>
      <end>8</end>
      <status>unmodified</status>
      <modifiedWord/>
      <trackRevisions>false</trackRevisions>
    </reviewItem>
    <reviewItem>
      <errorID>344c4d2f-6179-488c-941e-b78194245c47</errorID>
      <errorWord>泄露</errorWord>
      <group>L1_Word</group>
      <groupName>字词问题</groupName>
      <ability>L2_Typo</ability>
      <abilityName>字词错误</abilityName>
      <candidateList>
        <item>泄漏</item>
      </candidateList>
      <explain>存在发音相同字词的误用。</explain>
      <paraID>6707AFCC</paraID>
      <start>45</start>
      <end>47</end>
      <status>unmodified</status>
      <modifiedWord/>
      <trackRevisions>false</trackRevisions>
    </reviewItem>
    <reviewItem>
      <errorID>d801085b-e7e8-4092-88c4-34d76892814e</errorID>
      <errorWord>泄露</errorWord>
      <group>L1_Word</group>
      <groupName>字词问题</groupName>
      <ability>L2_Typo</ability>
      <abilityName>字词错误</abilityName>
      <candidateList>
        <item>泄漏</item>
      </candidateList>
      <explain>存在发音相同字词的误用。</explain>
      <paraID>6707AFCC</paraID>
      <start>49</start>
      <end>51</end>
      <status>unmodified</status>
      <modifiedWord/>
      <trackRevisions>false</trackRevisions>
    </reviewItem>
    <reviewItem>
      <errorID>e7645b2c-bfdf-451c-aa81-a254b986f208</errorID>
      <errorWord>物质的本</errorWord>
      <group>L1_Knowledge</group>
      <groupName>知识性问题</groupName>
      <ability>L2_Term</ability>
      <abilityName>专业术语</abilityName>
      <candidateList>
        <item>物质的量</item>
      </candidateList>
      <explain/>
      <paraID>6707AFCC</paraID>
      <start>223</start>
      <end>227</end>
      <status>unmodified</status>
      <modifiedWord/>
      <trackRevisions>false</trackRevisions>
    </reviewItem>
    <reviewItem>
      <errorID>4bf809ad-d78d-484f-9dc9-bd277c86f687</errorID>
      <errorWord>；</errorWord>
      <group>L1_Format</group>
      <groupName>格式问题</groupName>
      <ability>L2_HalfPunc</ability>
      <abilityName>全半角检查</abilityName>
      <candidateList>
        <item>; </item>
      </candidateList>
      <explain>文本全半角错误。</explain>
      <paraID>5C85A727</paraID>
      <start>15</start>
      <end>16</end>
      <status>unmodified</status>
      <modifiedWord/>
      <trackRevisions>false</trackRevisions>
    </reviewItem>
    <reviewItem>
      <errorID>5522e94e-8d83-4dda-9c13-35e8bc6c9f3c</errorID>
      <errorWord>～</errorWord>
      <group>L1_Format</group>
      <groupName>格式问题</groupName>
      <ability>L2_HalfPunc</ability>
      <abilityName>全半角检查</abilityName>
      <candidateList>
        <item>~</item>
      </candidateList>
      <explain>文本全半角错误。</explain>
      <paraID>68AD0C65</paraID>
      <start>3</start>
      <end>4</end>
      <status>unmodified</status>
      <modifiedWord/>
      <trackRevisions>false</trackRevisions>
    </reviewItem>
    <reviewItem>
      <errorID>ff61270d-09e1-4903-8f12-76f88370f35c</errorID>
      <errorWord>＜</errorWord>
      <group>L1_Format</group>
      <groupName>格式问题</groupName>
      <ability>L2_HalfPunc</ability>
      <abilityName>全半角检查</abilityName>
      <candidateList>
        <item>&lt;</item>
      </candidateList>
      <explain>文本全半角错误。</explain>
      <paraID>1E11163C</paraID>
      <start>0</start>
      <end>1</end>
      <status>unmodified</status>
      <modifiedWord/>
      <trackRevisions>false</trackRevisions>
    </reviewItem>
    <reviewItem>
      <errorID>8caba2dc-125f-42be-a446-6e865976dadd</errorID>
      <errorWord>（</errorWord>
      <group>L1_Format</group>
      <groupName>格式问题</groupName>
      <ability>L2_HalfPunc</ability>
      <abilityName>全半角检查</abilityName>
      <candidateList>
        <item>(</item>
      </candidateList>
      <explain>文本全半角错误。</explain>
      <paraID>3986F4A1</paraID>
      <start>4</start>
      <end>5</end>
      <status>unmodified</status>
      <modifiedWord/>
      <trackRevisions>false</trackRevisions>
    </reviewItem>
    <reviewItem>
      <errorID>9caa76e9-eaec-48c5-8131-8ccf451d0b30</errorID>
      <errorWord>）</errorWord>
      <group>L1_Format</group>
      <groupName>格式问题</groupName>
      <ability>L2_HalfPunc</ability>
      <abilityName>全半角检查</abilityName>
      <candidateList>
        <item>)</item>
      </candidateList>
      <explain>文本全半角错误。</explain>
      <paraID>3986F4A1</paraID>
      <start>10</start>
      <end>11</end>
      <status>unmodified</status>
      <modifiedWord/>
      <trackRevisions>false</trackRevisions>
    </reviewItem>
    <reviewItem>
      <errorID>6fea152f-126b-48e9-be9e-ae536c61742a</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44951A48</paraID>
      <start>71</start>
      <end>74</end>
      <status>unmodified</status>
      <modifiedWord/>
      <trackRevisions>false</trackRevisions>
    </reviewItem>
    <reviewItem>
      <errorID>f9702d64-0032-4cda-a2ec-3a77b663f573</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4B8C1D5C</paraID>
      <start>9</start>
      <end>12</end>
      <status>unmodified</status>
      <modifiedWord/>
      <trackRevisions>false</trackRevisions>
    </reviewItem>
    <reviewItem>
      <errorID>ac489383-e3c7-4e02-b21e-a0f73fe821f7</errorID>
      <errorWord>、</errorWord>
      <group>L1_Punc</group>
      <groupName>标点问题</groupName>
      <ability>L2_Punc</ability>
      <abilityName>标点符号检查</abilityName>
      <candidateList>
        <item>.</item>
      </candidateList>
      <explain/>
      <paraID>68FB4A5C</paraID>
      <start>1</start>
      <end>2</end>
      <status>unmodified</status>
      <modifiedWord/>
      <trackRevisions>false</trackRevisions>
    </reviewItem>
    <reviewItem>
      <errorID>f39b3f54-b667-448f-863f-0b0411d1788a</errorID>
      <errorWord>泄露</errorWord>
      <group>L1_Word</group>
      <groupName>字词问题</groupName>
      <ability>L2_Typo</ability>
      <abilityName>字词错误</abilityName>
      <candidateList>
        <item>泄漏</item>
      </candidateList>
      <explain/>
      <paraID>68FB4A5C</paraID>
      <start>260</start>
      <end>262</end>
      <status>unmodified</status>
      <modifiedWord/>
      <trackRevisions>false</trackRevisions>
    </reviewItem>
    <reviewItem>
      <errorID>58745404-ad0d-4a45-ba17-e4bffc22a022</errorID>
      <errorWord>、</errorWord>
      <group>L1_Punc</group>
      <groupName>标点问题</groupName>
      <ability>L2_Punc</ability>
      <abilityName>标点符号检查</abilityName>
      <candidateList>
        <item>.</item>
      </candidateList>
      <explain/>
      <paraID>117D8629</paraID>
      <start>1</start>
      <end>2</end>
      <status>unmodified</status>
      <modifiedWord/>
      <trackRevisions>false</trackRevisions>
    </reviewItem>
    <reviewItem>
      <errorID>66831913-d5a0-42c8-bf5d-11cb178cd411</errorID>
      <errorWord>泄露</errorWord>
      <group>L1_Word</group>
      <groupName>字词问题</groupName>
      <ability>L2_Typo</ability>
      <abilityName>字词错误</abilityName>
      <candidateList>
        <item>泄漏</item>
      </candidateList>
      <explain/>
      <paraID>117D8629</paraID>
      <start>56</start>
      <end>58</end>
      <status>unmodified</status>
      <modifiedWord/>
      <trackRevisions>false</trackRevisions>
    </reviewItem>
    <reviewItem>
      <errorID>19b85651-a37e-4f48-bad9-3d9d9dfcf5f9</errorID>
      <errorWord>用的</errorWord>
      <group>L1_Word</group>
      <groupName>字词问题</groupName>
      <ability>L2_Typo</ability>
      <abilityName>字词错误</abilityName>
      <candidateList>
        <item>用</item>
      </candidateList>
      <explain/>
      <paraID>1D597FD2</paraID>
      <start>21</start>
      <end>23</end>
      <status>unmodified</status>
      <modifiedWord/>
      <trackRevisions>false</trackRevisions>
    </reviewItem>
    <reviewItem>
      <errorID>e044328c-d772-4e9e-9ed7-73ffd9820c30</errorID>
      <errorWord>消防沙</errorWord>
      <group>L1_Word</group>
      <groupName>字词问题</groupName>
      <ability>L2_Typo</ability>
      <abilityName>字词错误</abilityName>
      <candidateList>
        <item>消防砂</item>
      </candidateList>
      <explain/>
      <paraID>1D597FD2</paraID>
      <start>26</start>
      <end>29</end>
      <status>unmodified</status>
      <modifiedWord/>
      <trackRevisions>false</trackRevisions>
    </reviewItem>
    <reviewItem>
      <errorID>d730926f-eb13-46a4-99f2-01dc71fb221d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6C9EAD53</paraID>
      <start>105</start>
      <end>106</end>
      <status>unmodified</status>
      <modifiedWord/>
      <trackRevisions>false</trackRevisions>
    </reviewItem>
    <reviewItem>
      <errorID>e03bc43d-ba34-4ed8-8902-62f6783e3c7c</errorID>
      <errorWord>泄露</errorWord>
      <group>L1_Word</group>
      <groupName>字词问题</groupName>
      <ability>L2_Typo</ability>
      <abilityName>字词错误</abilityName>
      <candidateList>
        <item>泄漏</item>
      </candidateList>
      <explain/>
      <paraID>76CA529B</paraID>
      <start>42</start>
      <end>44</end>
      <status>unmodified</status>
      <modifiedWord/>
      <trackRevisions>false</trackRevisions>
    </reviewItem>
    <reviewItem>
      <errorID>7ae17fde-74b9-4bab-a3f6-d724ef6bb280</errorID>
      <errorWord>用的</errorWord>
      <group>L1_Word</group>
      <groupName>字词问题</groupName>
      <ability>L2_Typo</ability>
      <abilityName>字词错误</abilityName>
      <candidateList>
        <item>用</item>
      </candidateList>
      <explain/>
      <paraID>57FDE8C2</paraID>
      <start>21</start>
      <end>23</end>
      <status>unmodified</status>
      <modifiedWord/>
      <trackRevisions>false</trackRevisions>
    </reviewItem>
    <reviewItem>
      <errorID>ee1415ed-fad5-437d-85be-f8cf6207d231</errorID>
      <errorWord>消防沙</errorWord>
      <group>L1_Word</group>
      <groupName>字词问题</groupName>
      <ability>L2_Typo</ability>
      <abilityName>字词错误</abilityName>
      <candidateList>
        <item>消防砂</item>
      </candidateList>
      <explain/>
      <paraID>57FDE8C2</paraID>
      <start>26</start>
      <end>29</end>
      <status>unmodified</status>
      <modifiedWord/>
      <trackRevisions>false</trackRevisions>
    </reviewItem>
    <reviewItem>
      <errorID>1f048dc1-4495-4cbb-9c8b-0e26251e78f5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57B0BA0F</paraID>
      <start>105</start>
      <end>106</end>
      <status>unmodified</status>
      <modifiedWord/>
      <trackRevisions>false</trackRevisions>
    </reviewItem>
    <reviewItem>
      <errorID>8a295162-cdad-4861-8d23-592ad3516546</errorID>
      <errorWord>项</errorWord>
      <group>L1_Word</group>
      <groupName>字词问题</groupName>
      <ability>L2_Typo</ability>
      <abilityName>字词错误</abilityName>
      <candidateList>
        <item>项目</item>
      </candidateList>
      <explain>〈名〉事物分成的门类：服务～｜体育～｜建设～。</explain>
      <paraID>44CC1489</paraID>
      <start>38</start>
      <end>39</end>
      <status>unmodified</status>
      <modifiedWord/>
      <trackRevisions>false</trackRevisions>
    </reviewItem>
    <reviewItem>
      <errorID>fd0132e2-b190-4e4b-ae16-764bdf4121e9</errorID>
      <errorWord>预</errorWord>
      <group>L1_Word</group>
      <groupName>字词问题</groupName>
      <ability>L2_Typo</ability>
      <abilityName>字词错误</abilityName>
      <candidateList>
        <item>遇</item>
      </candidateList>
      <explain>存在发音相同字词的误用。</explain>
      <paraID>1049F11F</paraID>
      <start>38</start>
      <end>39</end>
      <status>unmodified</status>
      <modifiedWord/>
      <trackRevisions>false</trackRevisions>
    </reviewItem>
    <reviewItem>
      <errorID>71cc36fe-73e8-4df5-9443-4c710e37b447</errorID>
      <errorWord>(</errorWord>
      <group>L1_Format</group>
      <groupName>格式问题</groupName>
      <ability>L2_HalfPunc</ability>
      <abilityName>全半角检查</abilityName>
      <candidateList>
        <item>（</item>
      </candidateList>
      <explain>文本全半角错误。</explain>
      <paraID>4915320D</paraID>
      <start>3</start>
      <end>4</end>
      <status>unmodified</status>
      <modifiedWord/>
      <trackRevisions>false</trackRevisions>
    </reviewItem>
    <reviewItem>
      <errorID>334cdf31-08db-4798-8caf-7fa5e3c3e82e</errorID>
      <errorWord>)</errorWord>
      <group>L1_Format</group>
      <groupName>格式问题</groupName>
      <ability>L2_HalfPunc</ability>
      <abilityName>全半角检查</abilityName>
      <candidateList>
        <item>）</item>
      </candidateList>
      <explain>文本全半角错误。</explain>
      <paraID>4D2DF3CA</paraID>
      <start>2</start>
      <end>3</end>
      <status>unmodified</status>
      <modifiedWord/>
      <trackRevisions>false</trackRevisions>
    </reviewItem>
    <reviewItem>
      <errorID>2a16c45f-bcc1-4bc9-b50d-4077d30d865b</errorID>
      <errorWord>标准标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5585FC0</paraID>
      <start>39</start>
      <end>42</end>
      <status>unmodified</status>
      <modifiedWord/>
      <trackRevisions>false</trackRevisions>
    </reviewItem>
    <reviewItem>
      <errorID>ce4832db-5059-4123-89ca-0215fda352c3</errorID>
      <errorWord>（</errorWord>
      <group>L1_Format</group>
      <groupName>格式问题</groupName>
      <ability>L2_HalfPunc</ability>
      <abilityName>全半角检查</abilityName>
      <candidateList>
        <item>(</item>
      </candidateList>
      <explain>文本全半角错误。</explain>
      <paraID>52FFC031</paraID>
      <start>3</start>
      <end>4</end>
      <status>unmodified</status>
      <modifiedWord/>
      <trackRevisions>false</trackRevisions>
    </reviewItem>
    <reviewItem>
      <errorID>23ca4e9e-1649-4705-8884-a8feb875ca80</errorID>
      <errorWord>）</errorWord>
      <group>L1_Format</group>
      <groupName>格式问题</groupName>
      <ability>L2_HalfPunc</ability>
      <abilityName>全半角检查</abilityName>
      <candidateList>
        <item>)</item>
      </candidateList>
      <explain>文本全半角错误。</explain>
      <paraID>52FFC031</paraID>
      <start>5</start>
      <end>6</end>
      <status>unmodified</status>
      <modifiedWord/>
      <trackRevisions>false</trackRevisions>
    </reviewItem>
    <reviewItem>
      <errorID>d39c0545-9678-46dd-bbfe-69ccea2352a6</errorID>
      <errorWord>作为</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1B80FE57</paraID>
      <start>43</start>
      <end>45</end>
      <status>unmodified</status>
      <modifiedWord/>
      <trackRevisions>false</trackRevisions>
    </reviewItem>
    <reviewItem>
      <errorID>0603ae09-e5f4-4b97-98fd-8c1c72f9c518</errorID>
      <errorWord>泄露</errorWord>
      <group>L1_Word</group>
      <groupName>字词问题</groupName>
      <ability>L2_Typo</ability>
      <abilityName>字词错误</abilityName>
      <candidateList>
        <item>泄漏</item>
      </candidateList>
      <explain/>
      <paraID>394511BE</paraID>
      <start>38</start>
      <end>40</end>
      <status>unmodified</status>
      <modifiedWord/>
      <trackRevisions>false</trackRevisions>
    </reviewItem>
    <reviewItem>
      <errorID>7feafef6-f43c-4ba1-861d-1a533b8d4d35</errorID>
      <errorWord>技渗</errorWord>
      <group>L1_Word</group>
      <groupName>字词问题</groupName>
      <ability>L2_Typo</ability>
      <abilityName>字词错误</abilityName>
      <candidateList>
        <item>技</item>
      </candidateList>
      <explain/>
      <paraID>2A1B2947</paraID>
      <start>44</start>
      <end>46</end>
      <status>unmodified</status>
      <modifiedWord/>
      <trackRevisions>false</trackRevisions>
    </reviewItem>
    <reviewItem>
      <errorID>dab5ff2f-e61a-48bd-a007-6741ee21d7ad</errorID>
      <errorWord>泄露</errorWord>
      <group>L1_Word</group>
      <groupName>字词问题</groupName>
      <ability>L2_Typo</ability>
      <abilityName>字词错误</abilityName>
      <candidateList>
        <item>泄漏</item>
      </candidateList>
      <explain/>
      <paraID>5D421B2F</paraID>
      <start>42</start>
      <end>44</end>
      <status>unmodified</status>
      <modifiedWord/>
      <trackRevisions>false</trackRevisions>
    </reviewItem>
    <reviewItem>
      <errorID>53f1622a-2326-45d3-b48b-89a51bf4ac7c</errorID>
      <errorWord>用的</errorWord>
      <group>L1_Word</group>
      <groupName>字词问题</groupName>
      <ability>L2_Typo</ability>
      <abilityName>字词错误</abilityName>
      <candidateList>
        <item>用</item>
      </candidateList>
      <explain/>
      <paraID>1C9EC544</paraID>
      <start>21</start>
      <end>23</end>
      <status>unmodified</status>
      <modifiedWord/>
      <trackRevisions>false</trackRevisions>
    </reviewItem>
    <reviewItem>
      <errorID>160f9e15-f60d-4301-8149-05bc00ab17cf</errorID>
      <errorWord>消防沙</errorWord>
      <group>L1_Word</group>
      <groupName>字词问题</groupName>
      <ability>L2_Typo</ability>
      <abilityName>字词错误</abilityName>
      <candidateList>
        <item>消防砂</item>
      </candidateList>
      <explain/>
      <paraID>1C9EC544</paraID>
      <start>26</start>
      <end>29</end>
      <status>unmodified</status>
      <modifiedWord/>
      <trackRevisions>false</trackRevisions>
    </reviewItem>
    <reviewItem>
      <errorID>6ec5f04a-548f-4adf-85e8-af3143700759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E2485CD</paraID>
      <start>105</start>
      <end>106</end>
      <status>unmodified</status>
      <modifiedWord/>
      <trackRevisions>false</trackRevisions>
    </reviewItem>
  </reviewItems>
  <config/>
</contractReview>
</file>

<file path=customXml/itemProps1.xml><?xml version="1.0" encoding="utf-8"?>
<ds:datastoreItem xmlns:ds="http://schemas.openxmlformats.org/officeDocument/2006/customXml" ds:itemID="{02429450-73e0-44a6-882e-32e42213ce46}">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96</Pages>
  <Words>20860</Words>
  <Characters>21976</Characters>
  <Lines>665</Lines>
  <Paragraphs>187</Paragraphs>
  <TotalTime>123</TotalTime>
  <ScaleCrop>false</ScaleCrop>
  <LinksUpToDate>false</LinksUpToDate>
  <CharactersWithSpaces>22072</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2026-02-27T02:47:23Z</dcterms:modified>
  <dc:title>附件2</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A28412760A694DBAB856FECC98E22D02_13</vt:lpwstr>
  </property>
  <property fmtid="{D5CDD505-2E9C-101B-9397-08002B2CF9AE}" pid="4" name="KSOTemplateDocerSaveRecord">
    <vt:lpwstr>eyJoZGlkIjoiOTNhNTNhYWIyYjc2NDMwYjM5NzAzYTI2Nzk1NzQ0NTkiLCJ1c2VySWQiOiIzNjQyNjQ4NzUifQ==</vt:lpwstr>
  </property>
</Properties>
</file>