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9F06B">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FF0000"/>
          <w:sz w:val="32"/>
          <w:szCs w:val="32"/>
          <w:lang w:val="en-US" w:eastAsia="zh-CN"/>
        </w:rPr>
      </w:pPr>
      <w:r>
        <w:rPr>
          <w:rFonts w:hint="eastAsia" w:eastAsia="方正小标宋_GBK" w:cs="Times New Roman"/>
          <w:color w:val="FF0000"/>
          <w:sz w:val="32"/>
          <w:szCs w:val="32"/>
          <w:lang w:val="en-US" w:eastAsia="zh-CN"/>
        </w:rPr>
        <w:t xml:space="preserve"> </w:t>
      </w:r>
    </w:p>
    <w:p w14:paraId="6CDF1AA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FF0000"/>
          <w:sz w:val="32"/>
          <w:szCs w:val="32"/>
          <w:lang w:val="en" w:eastAsia="zh-CN"/>
        </w:rPr>
      </w:pPr>
    </w:p>
    <w:p w14:paraId="6C0D37B4">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sz w:val="32"/>
          <w:szCs w:val="32"/>
          <w:lang w:val="en" w:eastAsia="zh-CN"/>
        </w:rPr>
      </w:pPr>
    </w:p>
    <w:p w14:paraId="4805A2E4">
      <w:pPr>
        <w:rPr>
          <w:rFonts w:hint="default" w:ascii="Times New Roman" w:hAnsi="Times New Roman" w:cs="Times New Roman"/>
        </w:rPr>
      </w:pPr>
    </w:p>
    <w:p w14:paraId="2CD1676D">
      <w:pPr>
        <w:pStyle w:val="19"/>
        <w:rPr>
          <w:rFonts w:hint="default" w:ascii="Times New Roman" w:hAnsi="Times New Roman" w:cs="Times New Roman"/>
        </w:rPr>
      </w:pPr>
    </w:p>
    <w:p w14:paraId="5F36A7B9">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rPr>
      </w:pPr>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1—</w:t>
      </w:r>
      <w:r>
        <w:rPr>
          <w:rFonts w:hint="eastAsia" w:eastAsia="方正仿宋_GBK" w:cs="Times New Roman"/>
          <w:sz w:val="32"/>
          <w:lang w:val="en-US" w:eastAsia="zh-CN"/>
        </w:rPr>
        <w:t>20</w:t>
      </w:r>
      <w:r>
        <w:rPr>
          <w:rFonts w:hint="default" w:ascii="Times New Roman" w:hAnsi="Times New Roman" w:eastAsia="方正仿宋_GBK" w:cs="Times New Roman"/>
          <w:sz w:val="32"/>
        </w:rPr>
        <w:t>号</w:t>
      </w:r>
    </w:p>
    <w:p w14:paraId="28AC8B17">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111F1A1C">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玉溪市生态环境局</w:t>
      </w:r>
      <w:r>
        <w:rPr>
          <w:rFonts w:hint="default" w:ascii="Times New Roman" w:hAnsi="Times New Roman" w:eastAsia="方正小标宋_GBK" w:cs="Times New Roman"/>
          <w:bCs/>
          <w:color w:val="auto"/>
          <w:sz w:val="44"/>
          <w:szCs w:val="44"/>
          <w:lang w:eastAsia="zh-CN"/>
        </w:rPr>
        <w:t>关于</w:t>
      </w:r>
      <w:r>
        <w:rPr>
          <w:rFonts w:hint="default" w:ascii="Times New Roman" w:hAnsi="Times New Roman" w:eastAsia="方正小标宋_GBK" w:cs="Times New Roman"/>
          <w:bCs/>
          <w:color w:val="auto"/>
          <w:sz w:val="44"/>
          <w:szCs w:val="44"/>
          <w:lang w:val="en-US" w:eastAsia="zh-CN"/>
        </w:rPr>
        <w:t>中橡科技（元江）轮胎专用胶生产项目</w:t>
      </w:r>
      <w:r>
        <w:rPr>
          <w:rFonts w:hint="default" w:ascii="Times New Roman" w:hAnsi="Times New Roman" w:eastAsia="方正小标宋_GBK" w:cs="Times New Roman"/>
          <w:bCs/>
          <w:sz w:val="44"/>
          <w:szCs w:val="44"/>
        </w:rPr>
        <w:t>环</w:t>
      </w:r>
      <w:r>
        <w:rPr>
          <w:rFonts w:hint="default" w:ascii="Times New Roman" w:hAnsi="Times New Roman" w:eastAsia="方正小标宋_GBK" w:cs="Times New Roman"/>
          <w:bCs/>
          <w:color w:val="auto"/>
          <w:sz w:val="44"/>
          <w:szCs w:val="44"/>
          <w:lang w:val="en-US" w:eastAsia="zh-CN"/>
        </w:rPr>
        <w:t>境影响报告表</w:t>
      </w:r>
      <w:r>
        <w:rPr>
          <w:rFonts w:hint="default" w:ascii="Times New Roman" w:hAnsi="Times New Roman" w:eastAsia="方正小标宋_GBK" w:cs="Times New Roman"/>
          <w:bCs/>
          <w:color w:val="auto"/>
          <w:sz w:val="44"/>
          <w:szCs w:val="44"/>
          <w:lang w:val="zh-CN" w:eastAsia="zh-CN"/>
        </w:rPr>
        <w:t>的</w:t>
      </w:r>
      <w:r>
        <w:rPr>
          <w:rFonts w:hint="default" w:ascii="Times New Roman" w:hAnsi="Times New Roman" w:eastAsia="方正小标宋_GBK" w:cs="Times New Roman"/>
          <w:bCs/>
          <w:color w:val="auto"/>
          <w:sz w:val="44"/>
          <w:szCs w:val="44"/>
        </w:rPr>
        <w:t>批复</w:t>
      </w:r>
    </w:p>
    <w:p w14:paraId="675BB2C5">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color w:val="auto"/>
          <w:sz w:val="32"/>
        </w:rPr>
      </w:pPr>
      <w:bookmarkStart w:id="1" w:name="_GoBack"/>
      <w:bookmarkEnd w:id="1"/>
    </w:p>
    <w:p w14:paraId="0FE724CB">
      <w:pPr>
        <w:keepNext w:val="0"/>
        <w:keepLines w:val="0"/>
        <w:pageBreakBefore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中橡科技（元江）有限公司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p>
    <w:p w14:paraId="166092BA">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你公司申请报批的</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rPr>
        <w:t>中橡科技（元江）轮胎专用胶生产项目</w:t>
      </w:r>
      <w:r>
        <w:rPr>
          <w:rFonts w:hint="default" w:ascii="Times New Roman" w:hAnsi="Times New Roman" w:eastAsia="方正仿宋_GBK" w:cs="Times New Roman"/>
          <w:color w:val="auto"/>
          <w:sz w:val="32"/>
          <w:szCs w:val="32"/>
          <w:lang w:val="en-US" w:eastAsia="zh-CN"/>
        </w:rPr>
        <w:t>环境影响报告表》（</w:t>
      </w:r>
      <w:r>
        <w:rPr>
          <w:rFonts w:hint="default" w:ascii="Times New Roman" w:hAnsi="Times New Roman" w:eastAsia="方正仿宋_GBK" w:cs="Times New Roman"/>
          <w:color w:val="auto"/>
          <w:sz w:val="32"/>
          <w:szCs w:val="32"/>
          <w:lang w:eastAsia="zh-CN"/>
        </w:rPr>
        <w:t>以下简称《报告表》）收悉。经研究，批复如下：</w:t>
      </w:r>
    </w:p>
    <w:p w14:paraId="4FBBD9FE">
      <w:pPr>
        <w:keepNext w:val="0"/>
        <w:keepLines w:val="0"/>
        <w:pageBreakBefore w:val="0"/>
        <w:widowControl w:val="0"/>
        <w:kinsoku/>
        <w:wordWrap/>
        <w:overflowPunct/>
        <w:topLinePunct/>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一、项目基本情况</w:t>
      </w:r>
    </w:p>
    <w:p w14:paraId="087A1627">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该项目位于云南元江产业园区</w:t>
      </w:r>
      <w:r>
        <w:rPr>
          <w:rFonts w:hint="eastAsia" w:ascii="Times New Roman" w:hAnsi="Times New Roman" w:eastAsia="方正仿宋_GBK" w:cs="Times New Roman"/>
          <w:color w:val="auto"/>
          <w:sz w:val="32"/>
          <w:szCs w:val="32"/>
          <w:lang w:val="en-US" w:eastAsia="zh-CN"/>
        </w:rPr>
        <w:t>甘庄片区</w:t>
      </w:r>
      <w:r>
        <w:rPr>
          <w:rFonts w:hint="default" w:ascii="Times New Roman" w:hAnsi="Times New Roman" w:eastAsia="方正仿宋_GBK" w:cs="Times New Roman"/>
          <w:color w:val="auto"/>
          <w:sz w:val="32"/>
          <w:szCs w:val="32"/>
          <w:lang w:val="en-US" w:eastAsia="zh-CN"/>
        </w:rPr>
        <w:t>。项目取得元江县发展和改革局核发的《云南省固定资产投资项目备案证》，项目代码：2510-530428-04-05-877987</w:t>
      </w:r>
      <w:r>
        <w:rPr>
          <w:rFonts w:hint="default" w:ascii="Times New Roman" w:hAnsi="Times New Roman" w:eastAsia="方正仿宋_GBK" w:cs="Times New Roman"/>
          <w:color w:val="auto"/>
          <w:sz w:val="32"/>
          <w:szCs w:val="32"/>
        </w:rPr>
        <w:t>。项目总投资为20000万元</w:t>
      </w:r>
      <w:r>
        <w:rPr>
          <w:rFonts w:hint="default" w:ascii="Times New Roman" w:hAnsi="Times New Roman" w:eastAsia="方正仿宋_GBK" w:cs="Times New Roman"/>
          <w:color w:val="auto"/>
          <w:sz w:val="32"/>
          <w:szCs w:val="32"/>
          <w:lang w:eastAsia="zh-CN"/>
        </w:rPr>
        <w:t>，其中</w:t>
      </w:r>
      <w:r>
        <w:rPr>
          <w:rFonts w:hint="default" w:ascii="Times New Roman" w:hAnsi="Times New Roman" w:eastAsia="方正仿宋_GBK" w:cs="Times New Roman"/>
          <w:color w:val="auto"/>
          <w:sz w:val="32"/>
          <w:szCs w:val="32"/>
        </w:rPr>
        <w:t>环保投资</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4.2万元</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主要建设水线区域（清洗切胶）、智能模块化干燥生产区域、打包线区域等，并配套建设相应的公辅设施和环保工程，项目建成后形成年产轮胎专用胶60000吨的生产规模。</w:t>
      </w:r>
    </w:p>
    <w:p w14:paraId="0DBCE31F">
      <w:pPr>
        <w:pStyle w:val="5"/>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全面落实生态环境保护法律法规、《报告表》和本批复提出的各项污染防治和生态保护措施后，项目产生的不良生态环境影响可以得到减缓和控制，根据《报告表》《专家评审意见》及技术评估结论，该项目建设从生态环境保护的角度可行，我局原则同意《报告表》的环境影响评价结论和拟采取的各项生态环境保护措施。</w:t>
      </w:r>
    </w:p>
    <w:p w14:paraId="2C320107">
      <w:pPr>
        <w:keepNext w:val="0"/>
        <w:keepLines w:val="0"/>
        <w:pageBreakBefore w:val="0"/>
        <w:kinsoku/>
        <w:wordWrap/>
        <w:overflowPunct/>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二、项目设计、建设和运营过程中应重点做好的工作</w:t>
      </w:r>
    </w:p>
    <w:p w14:paraId="2586FC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en-US"/>
        </w:rPr>
        <w:t>加强施工期环境管理，严格落实施工期各项环保措施。</w:t>
      </w:r>
      <w:r>
        <w:rPr>
          <w:rFonts w:hint="default" w:ascii="Times New Roman" w:hAnsi="Times New Roman" w:eastAsia="方正仿宋_GBK" w:cs="Times New Roman"/>
          <w:color w:val="auto"/>
          <w:sz w:val="32"/>
          <w:szCs w:val="32"/>
          <w:lang w:val="en-US" w:eastAsia="zh-CN"/>
        </w:rPr>
        <w:t>施工期采取洒水降尘、道路清扫、物料遮盖、封闭车辆运输、合理安排施工时间等措施减缓对周围环境的不良影响。</w:t>
      </w:r>
    </w:p>
    <w:p w14:paraId="6F4F890C">
      <w:pPr>
        <w:keepNext w:val="0"/>
        <w:keepLines w:val="0"/>
        <w:pageBreakBefore w:val="0"/>
        <w:numPr>
          <w:ilvl w:val="0"/>
          <w:numId w:val="0"/>
        </w:numPr>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kern w:val="2"/>
          <w:sz w:val="32"/>
          <w:szCs w:val="32"/>
          <w:u w:val="none"/>
        </w:rPr>
        <w:t>严格落实水污染防治措施。</w:t>
      </w:r>
      <w:r>
        <w:rPr>
          <w:rFonts w:hint="default" w:ascii="Times New Roman" w:hAnsi="Times New Roman" w:eastAsia="方正仿宋_GBK" w:cs="Times New Roman"/>
          <w:bCs/>
          <w:color w:val="000000"/>
          <w:sz w:val="32"/>
          <w:szCs w:val="32"/>
          <w:lang w:val="en-US" w:eastAsia="zh-CN"/>
        </w:rPr>
        <w:t>按照雨污分流、清污分流原则，建设排水和回用系统，确保满足项目废水处理、回用的要求</w:t>
      </w:r>
      <w:r>
        <w:rPr>
          <w:rFonts w:hint="default" w:ascii="Times New Roman" w:hAnsi="Times New Roman" w:eastAsia="方正仿宋_GBK" w:cs="Times New Roman"/>
          <w:color w:val="auto"/>
          <w:kern w:val="0"/>
          <w:sz w:val="32"/>
          <w:szCs w:val="32"/>
          <w:lang w:val="en-US" w:eastAsia="zh-CN"/>
        </w:rPr>
        <w:t>。</w:t>
      </w:r>
      <w:r>
        <w:rPr>
          <w:rFonts w:hint="eastAsia" w:eastAsia="方正仿宋_GBK" w:cs="Times New Roman"/>
          <w:color w:val="auto"/>
          <w:kern w:val="0"/>
          <w:sz w:val="32"/>
          <w:szCs w:val="32"/>
          <w:lang w:val="en-US" w:eastAsia="zh-CN"/>
        </w:rPr>
        <w:t>项目</w:t>
      </w:r>
      <w:r>
        <w:rPr>
          <w:rFonts w:hint="default" w:ascii="Times New Roman" w:hAnsi="Times New Roman" w:eastAsia="方正仿宋_GBK" w:cs="Times New Roman"/>
          <w:color w:val="auto"/>
          <w:kern w:val="0"/>
          <w:sz w:val="32"/>
          <w:szCs w:val="32"/>
          <w:lang w:val="en-US" w:eastAsia="zh-CN"/>
        </w:rPr>
        <w:t>产生的生产</w:t>
      </w:r>
      <w:r>
        <w:rPr>
          <w:rFonts w:hint="default" w:ascii="Times New Roman" w:hAnsi="Times New Roman" w:eastAsia="方正仿宋_GBK" w:cs="Times New Roman"/>
          <w:color w:val="auto"/>
          <w:sz w:val="32"/>
          <w:szCs w:val="32"/>
          <w:lang w:val="en-US" w:eastAsia="zh-CN"/>
        </w:rPr>
        <w:t>废水经收集处理后循环使用，严禁外排；生活污水经预处理达到《污水综合排放标准》（GB8978-1996）三级标准和《污水排入城镇下水道水质标准》（GB/T31962-2015）表1B等级标准规定的最严标准值后，排入园区污水管网</w:t>
      </w:r>
      <w:r>
        <w:rPr>
          <w:rFonts w:hint="eastAsia" w:ascii="Times New Roman" w:hAnsi="Times New Roman" w:eastAsia="方正仿宋_GBK" w:cs="Times New Roman"/>
          <w:color w:val="auto"/>
          <w:sz w:val="32"/>
          <w:szCs w:val="32"/>
          <w:lang w:val="en-US" w:eastAsia="zh-CN"/>
        </w:rPr>
        <w:t>，目前进入甘庄片区300立方米/日的过渡式污水处理站处理，后期进入园区污水处理厂处理。</w:t>
      </w:r>
    </w:p>
    <w:p w14:paraId="413776B4">
      <w:pPr>
        <w:keepNext w:val="0"/>
        <w:keepLines w:val="0"/>
        <w:pageBreakBefore w:val="0"/>
        <w:kinsoku/>
        <w:wordWrap/>
        <w:overflowPunct/>
        <w:autoSpaceDE/>
        <w:autoSpaceDN/>
        <w:bidi w:val="0"/>
        <w:adjustRightInd/>
        <w:snapToGrid/>
        <w:spacing w:line="590" w:lineRule="exact"/>
        <w:ind w:firstLine="620" w:firstLineChars="194"/>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kern w:val="2"/>
          <w:sz w:val="32"/>
          <w:szCs w:val="32"/>
          <w:lang w:val="en-US" w:eastAsia="zh-CN" w:bidi="ar-SA"/>
        </w:rPr>
        <w:t>（三）</w:t>
      </w:r>
      <w:r>
        <w:rPr>
          <w:rFonts w:hint="eastAsia" w:ascii="方正楷体_GBK" w:hAnsi="方正楷体_GBK" w:eastAsia="方正楷体_GBK" w:cs="方正楷体_GBK"/>
          <w:color w:val="auto"/>
          <w:sz w:val="32"/>
          <w:szCs w:val="32"/>
          <w:lang w:val="en-US" w:eastAsia="en-US"/>
        </w:rPr>
        <w:t>加强废气污染防治，确保大气污染物达标排放。</w:t>
      </w:r>
      <w:r>
        <w:rPr>
          <w:rFonts w:hint="default" w:ascii="Times New Roman" w:hAnsi="Times New Roman" w:eastAsia="方正仿宋_GBK" w:cs="Times New Roman"/>
          <w:sz w:val="32"/>
          <w:szCs w:val="32"/>
          <w:lang w:val="en-US" w:eastAsia="zh-CN"/>
        </w:rPr>
        <w:t>项目烘干采用电加热方式，其</w:t>
      </w:r>
      <w:r>
        <w:rPr>
          <w:rFonts w:hint="default" w:ascii="Times New Roman" w:hAnsi="Times New Roman" w:eastAsia="方正仿宋_GBK" w:cs="Times New Roman"/>
          <w:color w:val="auto"/>
          <w:sz w:val="32"/>
          <w:szCs w:val="32"/>
          <w:lang w:val="en-US" w:eastAsia="zh-CN"/>
        </w:rPr>
        <w:t>排湿、烘干过程产生的废气经收集通过活性炭吸附装置处理后，由1根不低于15米高的排气筒排放，</w:t>
      </w:r>
      <w:r>
        <w:rPr>
          <w:rFonts w:hint="default" w:ascii="Times New Roman" w:hAnsi="Times New Roman" w:eastAsia="方正仿宋_GBK" w:cs="Times New Roman"/>
          <w:color w:val="auto"/>
          <w:kern w:val="0"/>
          <w:sz w:val="32"/>
          <w:szCs w:val="32"/>
          <w:lang w:val="en-US" w:eastAsia="zh-CN"/>
        </w:rPr>
        <w:t>有组织排放的</w:t>
      </w:r>
      <w:r>
        <w:rPr>
          <w:rFonts w:hint="default" w:ascii="Times New Roman" w:hAnsi="Times New Roman" w:eastAsia="方正仿宋_GBK" w:cs="Times New Roman"/>
          <w:color w:val="auto"/>
          <w:sz w:val="32"/>
          <w:szCs w:val="32"/>
          <w:lang w:eastAsia="zh-CN"/>
        </w:rPr>
        <w:t>颗粒物、</w:t>
      </w:r>
      <w:r>
        <w:rPr>
          <w:rFonts w:hint="default" w:ascii="Times New Roman" w:hAnsi="Times New Roman" w:eastAsia="方正仿宋_GBK" w:cs="Times New Roman"/>
          <w:color w:val="auto"/>
          <w:sz w:val="32"/>
          <w:szCs w:val="32"/>
          <w:lang w:val="en-US" w:eastAsia="zh-CN"/>
        </w:rPr>
        <w:t>挥发性有机物</w:t>
      </w:r>
      <w:r>
        <w:rPr>
          <w:rFonts w:hint="default" w:ascii="Times New Roman" w:hAnsi="Times New Roman" w:eastAsia="方正仿宋_GBK" w:cs="Times New Roman"/>
          <w:color w:val="auto"/>
          <w:sz w:val="32"/>
          <w:szCs w:val="32"/>
          <w:lang w:eastAsia="zh-CN"/>
        </w:rPr>
        <w:t>浓度须达到</w:t>
      </w:r>
      <w:r>
        <w:rPr>
          <w:rFonts w:hint="default" w:ascii="Times New Roman" w:hAnsi="Times New Roman" w:eastAsia="方正仿宋_GBK" w:cs="Times New Roman"/>
          <w:color w:val="auto"/>
          <w:sz w:val="32"/>
          <w:szCs w:val="32"/>
        </w:rPr>
        <w:t>《橡胶制品工业污染物排放标准》</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GB27632-2011</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表5</w:t>
      </w:r>
      <w:r>
        <w:rPr>
          <w:rFonts w:hint="default" w:ascii="Times New Roman" w:hAnsi="Times New Roman" w:eastAsia="方正仿宋_GBK" w:cs="Times New Roman"/>
          <w:color w:val="auto"/>
          <w:sz w:val="32"/>
          <w:szCs w:val="32"/>
          <w:lang w:eastAsia="zh-CN"/>
        </w:rPr>
        <w:t>规定的</w:t>
      </w:r>
      <w:r>
        <w:rPr>
          <w:rFonts w:hint="default" w:ascii="Times New Roman" w:hAnsi="Times New Roman" w:eastAsia="方正仿宋_GBK" w:cs="Times New Roman"/>
          <w:color w:val="auto"/>
          <w:sz w:val="32"/>
          <w:szCs w:val="32"/>
          <w:lang w:val="en-US" w:eastAsia="zh-CN"/>
        </w:rPr>
        <w:t>限值要求，有组织排放的臭气浓度、硫化氢</w:t>
      </w:r>
      <w:r>
        <w:rPr>
          <w:rFonts w:hint="default" w:ascii="Times New Roman" w:hAnsi="Times New Roman" w:eastAsia="方正仿宋_GBK" w:cs="Times New Roman"/>
          <w:color w:val="auto"/>
          <w:sz w:val="32"/>
          <w:szCs w:val="32"/>
          <w:lang w:eastAsia="zh-CN"/>
        </w:rPr>
        <w:t>须达到</w:t>
      </w:r>
      <w:r>
        <w:rPr>
          <w:rFonts w:hint="default" w:ascii="Times New Roman" w:hAnsi="Times New Roman" w:eastAsia="方正仿宋_GBK" w:cs="Times New Roman"/>
          <w:color w:val="auto"/>
          <w:sz w:val="32"/>
          <w:szCs w:val="32"/>
          <w:lang w:val="en-US" w:eastAsia="zh-CN"/>
        </w:rPr>
        <w:t>《恶臭污染物排放标准》（GB14544-93）表2规定的限值要求</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kern w:val="0"/>
          <w:sz w:val="32"/>
          <w:szCs w:val="32"/>
          <w:lang w:val="en-US" w:eastAsia="zh-CN"/>
        </w:rPr>
        <w:t>切实加强生产过程中无组织排放废气的控制，</w:t>
      </w:r>
      <w:r>
        <w:rPr>
          <w:rFonts w:hint="default" w:ascii="Times New Roman" w:hAnsi="Times New Roman" w:eastAsia="方正仿宋_GBK" w:cs="Times New Roman"/>
          <w:sz w:val="32"/>
          <w:szCs w:val="32"/>
          <w:lang w:val="en-US" w:eastAsia="zh-CN"/>
        </w:rPr>
        <w:t>确保</w:t>
      </w:r>
      <w:r>
        <w:rPr>
          <w:rFonts w:hint="default" w:ascii="Times New Roman" w:hAnsi="Times New Roman" w:eastAsia="方正仿宋_GBK" w:cs="Times New Roman"/>
          <w:color w:val="auto"/>
          <w:sz w:val="32"/>
          <w:szCs w:val="32"/>
          <w:lang w:val="en-US" w:eastAsia="zh-CN"/>
        </w:rPr>
        <w:t>厂区无组织挥发性有机物排放满足《挥发性有机物无组织排放控制标准》（GB37822</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2019）要求；</w:t>
      </w:r>
      <w:r>
        <w:rPr>
          <w:rFonts w:hint="default" w:ascii="Times New Roman" w:hAnsi="Times New Roman" w:eastAsia="方正仿宋_GBK" w:cs="Times New Roman"/>
          <w:sz w:val="32"/>
          <w:szCs w:val="32"/>
        </w:rPr>
        <w:t>厂界</w:t>
      </w:r>
      <w:r>
        <w:rPr>
          <w:rFonts w:hint="default" w:ascii="Times New Roman" w:hAnsi="Times New Roman" w:eastAsia="方正仿宋_GBK" w:cs="Times New Roman"/>
          <w:color w:val="auto"/>
          <w:sz w:val="32"/>
          <w:szCs w:val="32"/>
        </w:rPr>
        <w:t>颗粒物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挥发性有机物浓度须达到《橡胶制品工业污染物排放标准》</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GB27632-2011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表6规定的限值要求，</w:t>
      </w:r>
      <w:r>
        <w:rPr>
          <w:rFonts w:hint="default" w:ascii="Times New Roman" w:hAnsi="Times New Roman" w:eastAsia="方正仿宋_GBK" w:cs="Times New Roman"/>
          <w:sz w:val="32"/>
          <w:szCs w:val="32"/>
        </w:rPr>
        <w:t>厂界</w:t>
      </w:r>
      <w:r>
        <w:rPr>
          <w:rFonts w:hint="default" w:ascii="Times New Roman" w:hAnsi="Times New Roman" w:eastAsia="方正仿宋_GBK" w:cs="Times New Roman"/>
          <w:color w:val="auto"/>
          <w:sz w:val="32"/>
          <w:szCs w:val="32"/>
          <w:lang w:val="en-US" w:eastAsia="zh-CN"/>
        </w:rPr>
        <w:t>臭气浓度、</w:t>
      </w:r>
      <w:r>
        <w:rPr>
          <w:rFonts w:hint="default" w:ascii="Times New Roman" w:hAnsi="Times New Roman" w:eastAsia="方正仿宋_GBK" w:cs="Times New Roman"/>
          <w:bCs/>
          <w:color w:val="000000"/>
          <w:sz w:val="32"/>
          <w:szCs w:val="32"/>
          <w:lang w:val="en-US" w:eastAsia="zh-CN"/>
        </w:rPr>
        <w:t>硫化氢</w:t>
      </w:r>
      <w:r>
        <w:rPr>
          <w:rFonts w:hint="default" w:ascii="Times New Roman" w:hAnsi="Times New Roman" w:eastAsia="方正仿宋_GBK" w:cs="Times New Roman"/>
          <w:color w:val="auto"/>
          <w:sz w:val="32"/>
          <w:szCs w:val="32"/>
          <w:lang w:val="en-US" w:eastAsia="zh-CN"/>
        </w:rPr>
        <w:t>达到</w:t>
      </w:r>
      <w:r>
        <w:rPr>
          <w:rFonts w:hint="default" w:ascii="Times New Roman" w:hAnsi="Times New Roman" w:eastAsia="方正仿宋_GBK" w:cs="Times New Roman"/>
          <w:b w:val="0"/>
          <w:bCs w:val="0"/>
          <w:i w:val="0"/>
          <w:iCs/>
          <w:color w:val="auto"/>
          <w:sz w:val="32"/>
          <w:szCs w:val="32"/>
          <w:vertAlign w:val="baseline"/>
          <w:lang w:val="en-US" w:eastAsia="zh-CN"/>
        </w:rPr>
        <w:t>《</w:t>
      </w:r>
      <w:r>
        <w:rPr>
          <w:rFonts w:hint="default" w:ascii="Times New Roman" w:hAnsi="Times New Roman" w:eastAsia="方正仿宋_GBK" w:cs="Times New Roman"/>
          <w:color w:val="auto"/>
          <w:sz w:val="32"/>
          <w:szCs w:val="32"/>
          <w:lang w:val="en-US" w:eastAsia="zh-CN"/>
        </w:rPr>
        <w:t>恶臭污染物排放标准》（GB14554</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93）规定的</w:t>
      </w:r>
      <w:r>
        <w:rPr>
          <w:rFonts w:hint="default" w:ascii="Times New Roman" w:hAnsi="Times New Roman" w:eastAsia="方正仿宋_GBK" w:cs="Times New Roman"/>
          <w:bCs/>
          <w:color w:val="000000"/>
          <w:sz w:val="32"/>
          <w:szCs w:val="32"/>
          <w:lang w:val="en-US" w:eastAsia="zh-CN"/>
        </w:rPr>
        <w:t>无组织排放监控浓度要求。</w:t>
      </w:r>
    </w:p>
    <w:p w14:paraId="250EFE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bCs/>
          <w:color w:val="auto"/>
          <w:sz w:val="32"/>
          <w:szCs w:val="32"/>
          <w:lang w:val="en-US" w:eastAsia="zh-CN"/>
        </w:rPr>
        <w:t>严格落实噪声污染防治措施。</w:t>
      </w:r>
      <w:r>
        <w:rPr>
          <w:rFonts w:hint="default" w:ascii="Times New Roman" w:hAnsi="Times New Roman" w:eastAsia="方正仿宋_GBK" w:cs="Times New Roman"/>
          <w:bCs/>
          <w:color w:val="000000"/>
          <w:sz w:val="32"/>
          <w:szCs w:val="32"/>
          <w:lang w:val="en-US" w:eastAsia="zh-CN"/>
        </w:rPr>
        <w:t>合理布局，选用低噪声设备，通过采取基础减震、距离衰减、厂房隔声、合理布置高噪声设备、加强绿化等措施，确保项目厂界噪声满足《工业企业厂界环境噪声排放标准》（GB12348-2008）3类标准要求。</w:t>
      </w:r>
    </w:p>
    <w:p w14:paraId="7F8A69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方正楷体_GBK" w:hAnsi="方正楷体_GBK" w:eastAsia="方正楷体_GBK" w:cs="方正楷体_GBK"/>
          <w:bCs/>
          <w:color w:val="auto"/>
          <w:sz w:val="32"/>
          <w:szCs w:val="32"/>
        </w:rPr>
        <w:t>（</w:t>
      </w:r>
      <w:r>
        <w:rPr>
          <w:rFonts w:hint="eastAsia" w:ascii="方正楷体_GBK" w:hAnsi="方正楷体_GBK" w:eastAsia="方正楷体_GBK" w:cs="方正楷体_GBK"/>
          <w:bCs/>
          <w:color w:val="auto"/>
          <w:sz w:val="32"/>
          <w:szCs w:val="32"/>
          <w:lang w:eastAsia="zh-CN"/>
        </w:rPr>
        <w:t>五</w:t>
      </w:r>
      <w:r>
        <w:rPr>
          <w:rFonts w:hint="eastAsia" w:ascii="方正楷体_GBK" w:hAnsi="方正楷体_GBK" w:eastAsia="方正楷体_GBK" w:cs="方正楷体_GBK"/>
          <w:bCs/>
          <w:color w:val="auto"/>
          <w:sz w:val="32"/>
          <w:szCs w:val="32"/>
        </w:rPr>
        <w:t>）</w:t>
      </w:r>
      <w:r>
        <w:rPr>
          <w:rFonts w:hint="eastAsia" w:ascii="方正楷体_GBK" w:hAnsi="方正楷体_GBK" w:eastAsia="方正楷体_GBK" w:cs="方正楷体_GBK"/>
          <w:bCs/>
          <w:color w:val="auto"/>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一般固体废物按照《一般工业固体废物贮存和填埋污染控制标准》（GB18599-2020）要求管理</w:t>
      </w:r>
      <w:r>
        <w:rPr>
          <w:rFonts w:hint="default" w:ascii="Times New Roman" w:hAnsi="Times New Roman" w:eastAsia="方正仿宋_GBK" w:cs="Times New Roman"/>
          <w:bCs/>
          <w:color w:val="000000"/>
          <w:sz w:val="32"/>
          <w:szCs w:val="32"/>
          <w:lang w:val="zh-CN" w:eastAsia="zh-CN"/>
        </w:rPr>
        <w:t>；</w:t>
      </w:r>
      <w:r>
        <w:rPr>
          <w:rFonts w:hint="default" w:ascii="Times New Roman" w:hAnsi="Times New Roman" w:eastAsia="方正仿宋_GBK" w:cs="Times New Roman"/>
          <w:bCs/>
          <w:color w:val="000000"/>
          <w:sz w:val="32"/>
          <w:szCs w:val="32"/>
          <w:lang w:val="en-US" w:eastAsia="zh-CN"/>
        </w:rPr>
        <w:t>危险废物严格按照国家有关规定进行收集、运输、暂存、处置和管理，建立管理台账，存档备查，废矿物油、废矿物油桶、废活性炭等危险废</w:t>
      </w:r>
      <w:r>
        <w:rPr>
          <w:rFonts w:hint="default" w:ascii="Times New Roman" w:hAnsi="Times New Roman" w:eastAsia="方正仿宋_GBK" w:cs="Times New Roman"/>
          <w:color w:val="auto"/>
          <w:sz w:val="32"/>
          <w:szCs w:val="32"/>
        </w:rPr>
        <w:t>物收集后暂存于危废暂存间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危险废物暂存间须按照《危险废物贮存污染控制标准》（GB18597-2023）要求进行建设和管理，危险废物必须委托有资质的单位定期处置，严格执行</w:t>
      </w:r>
      <w:r>
        <w:rPr>
          <w:rFonts w:hint="default" w:ascii="Times New Roman" w:hAnsi="Times New Roman" w:eastAsia="方正仿宋_GBK" w:cs="Times New Roman"/>
          <w:sz w:val="32"/>
          <w:szCs w:val="32"/>
          <w:lang w:val="en-US" w:eastAsia="zh-CN"/>
        </w:rPr>
        <w:t>《危险废物转移管理办</w:t>
      </w:r>
      <w:r>
        <w:rPr>
          <w:rFonts w:hint="default" w:ascii="Times New Roman" w:hAnsi="Times New Roman" w:eastAsia="方正仿宋_GBK" w:cs="Times New Roman"/>
          <w:bCs/>
          <w:color w:val="000000"/>
          <w:sz w:val="32"/>
          <w:szCs w:val="32"/>
          <w:lang w:val="en-US" w:eastAsia="zh-CN"/>
        </w:rPr>
        <w:t>法》及相关要求，强化各环节的环境保护措施，防止管理不当造成的二次污染。</w:t>
      </w:r>
    </w:p>
    <w:p w14:paraId="79581857">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sz w:val="32"/>
          <w:szCs w:val="32"/>
          <w:lang w:val="en-US" w:eastAsia="zh-CN"/>
        </w:rPr>
        <w:t>加强环境风险防范和管理。</w:t>
      </w:r>
      <w:r>
        <w:rPr>
          <w:rFonts w:hint="default" w:ascii="Times New Roman" w:hAnsi="Times New Roman" w:eastAsia="方正仿宋_GBK" w:cs="Times New Roman"/>
          <w:sz w:val="32"/>
          <w:szCs w:val="32"/>
          <w:lang w:val="en-US" w:eastAsia="zh-CN"/>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元江分局备案，开展必要的应急培训、宣传和演练。</w:t>
      </w:r>
    </w:p>
    <w:p w14:paraId="1A9CCE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color w:val="auto"/>
          <w:sz w:val="32"/>
          <w:szCs w:val="32"/>
          <w:lang w:val="en-US" w:eastAsia="zh-CN"/>
        </w:rPr>
        <w:t>切实做好环保设施的日常维护和管理，落实环境风险防范措施，确保污染物长期稳定达标排放，严防事故性排放。</w:t>
      </w:r>
    </w:p>
    <w:p w14:paraId="26EE9A30">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en-US"/>
        </w:rPr>
        <w:t>三、</w:t>
      </w:r>
      <w:r>
        <w:rPr>
          <w:rFonts w:hint="default" w:ascii="Times New Roman" w:hAnsi="Times New Roman" w:eastAsia="方正仿宋_GBK" w:cs="Times New Roman"/>
          <w:color w:val="auto"/>
          <w:sz w:val="32"/>
          <w:szCs w:val="32"/>
        </w:rPr>
        <w:t>在项目发生实际排污行为之前，应按照《排污许可管理条例》规定</w:t>
      </w:r>
      <w:r>
        <w:rPr>
          <w:rFonts w:hint="default" w:ascii="Times New Roman" w:hAnsi="Times New Roman" w:eastAsia="方正仿宋_GBK" w:cs="Times New Roman"/>
          <w:color w:val="auto"/>
          <w:sz w:val="32"/>
          <w:szCs w:val="32"/>
          <w:lang w:eastAsia="zh-CN"/>
        </w:rPr>
        <w:t>办理</w:t>
      </w:r>
      <w:r>
        <w:rPr>
          <w:rFonts w:hint="default" w:ascii="Times New Roman" w:hAnsi="Times New Roman" w:eastAsia="方正仿宋_GBK" w:cs="Times New Roman"/>
          <w:color w:val="auto"/>
          <w:sz w:val="32"/>
          <w:szCs w:val="32"/>
        </w:rPr>
        <w:t>排污许可</w:t>
      </w:r>
      <w:r>
        <w:rPr>
          <w:rFonts w:hint="default" w:ascii="Times New Roman" w:hAnsi="Times New Roman" w:eastAsia="方正仿宋_GBK" w:cs="Times New Roman"/>
          <w:color w:val="auto"/>
          <w:sz w:val="32"/>
          <w:szCs w:val="32"/>
          <w:lang w:eastAsia="zh-CN"/>
        </w:rPr>
        <w:t>手续</w:t>
      </w:r>
      <w:r>
        <w:rPr>
          <w:rFonts w:hint="default" w:ascii="Times New Roman" w:hAnsi="Times New Roman" w:eastAsia="方正仿宋_GBK" w:cs="Times New Roman"/>
          <w:color w:val="auto"/>
          <w:sz w:val="32"/>
          <w:szCs w:val="32"/>
        </w:rPr>
        <w:t>，未取得排污许可</w:t>
      </w:r>
      <w:r>
        <w:rPr>
          <w:rFonts w:hint="default" w:ascii="Times New Roman" w:hAnsi="Times New Roman" w:eastAsia="方正仿宋_GBK" w:cs="Times New Roman"/>
          <w:color w:val="auto"/>
          <w:sz w:val="32"/>
          <w:szCs w:val="32"/>
          <w:lang w:eastAsia="zh-CN"/>
        </w:rPr>
        <w:t>手续</w:t>
      </w:r>
      <w:r>
        <w:rPr>
          <w:rFonts w:hint="default" w:ascii="Times New Roman" w:hAnsi="Times New Roman" w:eastAsia="方正仿宋_GBK" w:cs="Times New Roman"/>
          <w:color w:val="auto"/>
          <w:sz w:val="32"/>
          <w:szCs w:val="32"/>
        </w:rPr>
        <w:t>不得排放污染物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项目运行应符合排污许可管理</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相关要求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lang w:val="en-US" w:eastAsia="en-US"/>
        </w:rPr>
        <w:t>按照信息公开相关规定，主动向社会公开污染源监测等相关信息</w:t>
      </w:r>
      <w:r>
        <w:rPr>
          <w:rFonts w:hint="default" w:ascii="Times New Roman" w:hAnsi="Times New Roman" w:eastAsia="方正仿宋_GBK" w:cs="Times New Roman"/>
          <w:sz w:val="32"/>
          <w:szCs w:val="32"/>
          <w:lang w:val="en-US" w:eastAsia="zh-CN"/>
        </w:rPr>
        <w:t>。</w:t>
      </w:r>
    </w:p>
    <w:p w14:paraId="500D3E4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color w:val="auto"/>
          <w:sz w:val="32"/>
          <w:szCs w:val="32"/>
        </w:rPr>
        <w:t>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制度；项目正式投运前，应当按照规定的标准和程序，自行组织开展竣工环境保护验收，经验收合格后方可正式投入生产。</w:t>
      </w:r>
    </w:p>
    <w:p w14:paraId="76FD502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Times New Roman" w:hAnsi="Times New Roman" w:eastAsia="方正仿宋_GBK" w:cs="Times New Roman"/>
          <w:sz w:val="32"/>
          <w:szCs w:val="32"/>
          <w:lang w:val="en-US" w:eastAsia="zh-CN"/>
        </w:rPr>
        <w:t>该项目大气</w:t>
      </w:r>
      <w:bookmarkStart w:id="0" w:name="OLE_LINK1"/>
      <w:r>
        <w:rPr>
          <w:rFonts w:hint="default" w:ascii="Times New Roman" w:hAnsi="Times New Roman" w:eastAsia="方正仿宋_GBK" w:cs="Times New Roman"/>
          <w:sz w:val="32"/>
          <w:szCs w:val="32"/>
          <w:lang w:val="en-US" w:eastAsia="zh-CN"/>
        </w:rPr>
        <w:t>主要污染物排放总量</w:t>
      </w:r>
      <w:bookmarkEnd w:id="0"/>
      <w:r>
        <w:rPr>
          <w:rFonts w:hint="default" w:ascii="Times New Roman" w:hAnsi="Times New Roman" w:eastAsia="方正仿宋_GBK" w:cs="Times New Roman"/>
          <w:sz w:val="32"/>
          <w:szCs w:val="32"/>
          <w:lang w:val="en-US" w:eastAsia="zh-CN"/>
        </w:rPr>
        <w:t>指标初步核定为：</w:t>
      </w:r>
      <w:r>
        <w:rPr>
          <w:rFonts w:hint="default" w:ascii="Times New Roman" w:hAnsi="Times New Roman" w:eastAsia="方正仿宋_GBK" w:cs="Times New Roman"/>
          <w:color w:val="auto"/>
          <w:sz w:val="32"/>
          <w:szCs w:val="32"/>
          <w:lang w:val="en-US" w:eastAsia="zh-CN"/>
        </w:rPr>
        <w:t>挥发性有机物0.53</w:t>
      </w:r>
      <w:r>
        <w:rPr>
          <w:rFonts w:hint="eastAsia" w:eastAsia="方正仿宋_GBK" w:cs="Times New Roman"/>
          <w:color w:val="auto"/>
          <w:sz w:val="32"/>
          <w:szCs w:val="32"/>
          <w:lang w:val="en-US" w:eastAsia="zh-CN"/>
        </w:rPr>
        <w:t>吨</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由玉溪市生态环境局元江分局纳入主要污染物排放总量控制计划。</w:t>
      </w:r>
    </w:p>
    <w:p w14:paraId="2910A5B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六、</w:t>
      </w:r>
      <w:r>
        <w:rPr>
          <w:rFonts w:hint="default" w:ascii="Times New Roman" w:hAnsi="Times New Roman" w:eastAsia="方正仿宋_GBK" w:cs="Times New Roman"/>
          <w:sz w:val="32"/>
          <w:szCs w:val="32"/>
          <w:lang w:val="en-US" w:eastAsia="zh-CN"/>
        </w:rPr>
        <w:t>《报告表》经批准后，如工程的性质、规模、工艺、地点或者防治污染、防止生态破坏的措施发生重大变动的，应当重新报批环境影响评价文件。</w:t>
      </w:r>
    </w:p>
    <w:p w14:paraId="7B552E0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七、</w:t>
      </w:r>
      <w:r>
        <w:rPr>
          <w:rFonts w:hint="default" w:ascii="Times New Roman" w:hAnsi="Times New Roman" w:eastAsia="方正仿宋_GBK" w:cs="Times New Roman"/>
          <w:sz w:val="32"/>
          <w:szCs w:val="32"/>
          <w:lang w:val="en-US" w:eastAsia="zh-CN"/>
        </w:rPr>
        <w:t>玉溪市生态环境保护综合行政执法支队、玉溪市生态环境局元江分局要切实承担事中事后监管责任，履行属地监管职责，按照相关法律法规及《关于进一步完善建设项目环境保护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及竣工环境保护自主验收监管工作机制的意见》（环执法〔2021〕70号）要求，加强对该项目环境保护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及自主验收的监管。</w:t>
      </w:r>
    </w:p>
    <w:p w14:paraId="2158B5AD">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default" w:ascii="Times New Roman" w:hAnsi="Times New Roman" w:eastAsia="方正仿宋_GBK" w:cs="Times New Roman"/>
          <w:sz w:val="32"/>
          <w:szCs w:val="32"/>
          <w:lang w:val="en-US" w:eastAsia="zh-CN"/>
        </w:rPr>
      </w:pPr>
    </w:p>
    <w:p w14:paraId="36EA7EB6">
      <w:pPr>
        <w:pStyle w:val="2"/>
        <w:keepNext w:val="0"/>
        <w:keepLines w:val="0"/>
        <w:pageBreakBefore w:val="0"/>
        <w:kinsoku/>
        <w:wordWrap/>
        <w:overflowPunct/>
        <w:autoSpaceDE/>
        <w:autoSpaceDN/>
        <w:bidi w:val="0"/>
        <w:adjustRightInd/>
        <w:snapToGrid/>
        <w:spacing w:line="590" w:lineRule="exact"/>
        <w:textAlignment w:val="auto"/>
        <w:rPr>
          <w:rFonts w:hint="default"/>
          <w:lang w:val="en-US" w:eastAsia="zh-CN"/>
        </w:rPr>
      </w:pPr>
    </w:p>
    <w:p w14:paraId="62FB623D">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2026年2月</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p w14:paraId="55E5B83B">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3BAADFC0">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61FB32C8">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2555183D">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br w:type="textWrapping"/>
      </w:r>
    </w:p>
    <w:p w14:paraId="4B976AFE">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57DF648C">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1101BB28">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46A015B9">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453E05B2">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6C4ED841">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514CF104">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3B05F67F">
      <w:pPr>
        <w:pStyle w:val="18"/>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 w:val="21"/>
          <w:szCs w:val="21"/>
          <w:lang w:val="en-US" w:eastAsia="zh-CN"/>
        </w:rPr>
      </w:pPr>
    </w:p>
    <w:p w14:paraId="4F36A680">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sz w:val="21"/>
          <w:szCs w:val="21"/>
          <w:lang w:val="en-US" w:eastAsia="zh-CN"/>
        </w:rPr>
      </w:pPr>
    </w:p>
    <w:p w14:paraId="3973B839">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sz w:val="21"/>
          <w:szCs w:val="21"/>
          <w:lang w:val="en-US" w:eastAsia="zh-CN"/>
        </w:rPr>
      </w:pPr>
    </w:p>
    <w:p w14:paraId="403012CA">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sz w:val="21"/>
          <w:szCs w:val="21"/>
          <w:lang w:val="en-US" w:eastAsia="zh-CN"/>
        </w:rPr>
      </w:pPr>
    </w:p>
    <w:p w14:paraId="1DB2B477">
      <w:pPr>
        <w:pStyle w:val="18"/>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sz w:val="21"/>
          <w:szCs w:val="21"/>
          <w:lang w:val="en-US" w:eastAsia="zh-CN"/>
        </w:rPr>
      </w:pPr>
    </w:p>
    <w:p w14:paraId="26B0E2F8">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43920D19">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526B05C2">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64DBE5C4">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1C0A3222">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09A85CE1">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4B33BE7A">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50DEFB47">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090B3BBA">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宋体" w:cs="Times New Roman"/>
          <w:sz w:val="21"/>
          <w:szCs w:val="21"/>
          <w:lang w:val="en-US" w:eastAsia="zh-CN"/>
        </w:rPr>
      </w:pPr>
    </w:p>
    <w:p w14:paraId="4BA7AEC8">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cs="Times New Roman"/>
          <w:sz w:val="21"/>
          <w:szCs w:val="21"/>
          <w:lang w:val="en-US" w:eastAsia="zh-CN"/>
        </w:rPr>
      </w:pPr>
    </w:p>
    <w:p w14:paraId="2D20DB0F">
      <w:pPr>
        <w:pStyle w:val="18"/>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cs="Times New Roman"/>
          <w:sz w:val="21"/>
          <w:szCs w:val="21"/>
          <w:lang w:val="en-US" w:eastAsia="zh-CN"/>
        </w:rPr>
      </w:pPr>
    </w:p>
    <w:p w14:paraId="4A14F64E">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000000" w:themeColor="text1"/>
          <w:sz w:val="28"/>
          <w:szCs w:val="28"/>
          <w:lang w:val="en-US"/>
          <w14:textFill>
            <w14:solidFill>
              <w14:schemeClr w14:val="tx1"/>
            </w14:solidFill>
          </w14:textFill>
        </w:rPr>
        <w:t>抄送：</w:t>
      </w:r>
      <w:r>
        <w:rPr>
          <w:rFonts w:hint="default" w:ascii="Times New Roman" w:hAnsi="Times New Roman" w:eastAsia="方正仿宋_GBK" w:cs="Times New Roman"/>
          <w:sz w:val="28"/>
          <w:szCs w:val="28"/>
          <w:lang w:val="en-US" w:eastAsia="zh-CN"/>
        </w:rPr>
        <w:t>玉溪市生态环境保护综合行政执法支队，玉溪市生态环境局</w:t>
      </w:r>
      <w:r>
        <w:rPr>
          <w:rFonts w:hint="eastAsia" w:eastAsia="方正仿宋_GBK" w:cs="Times New Roman"/>
          <w:sz w:val="28"/>
          <w:szCs w:val="28"/>
          <w:lang w:val="en-US" w:eastAsia="zh-CN"/>
        </w:rPr>
        <w:t>元江</w:t>
      </w:r>
      <w:r>
        <w:rPr>
          <w:rFonts w:hint="default" w:ascii="Times New Roman" w:hAnsi="Times New Roman" w:eastAsia="方正仿宋_GBK" w:cs="Times New Roman"/>
          <w:sz w:val="28"/>
          <w:szCs w:val="28"/>
          <w:lang w:val="en-US" w:eastAsia="zh-CN"/>
        </w:rPr>
        <w:t>分局</w:t>
      </w:r>
      <w:r>
        <w:rPr>
          <w:rFonts w:hint="eastAsia" w:eastAsia="方正仿宋_GBK" w:cs="Times New Roman"/>
          <w:sz w:val="28"/>
          <w:szCs w:val="28"/>
          <w:lang w:val="en-US" w:eastAsia="zh-CN"/>
        </w:rPr>
        <w:t>，</w:t>
      </w:r>
      <w:r>
        <w:rPr>
          <w:rFonts w:hint="default" w:ascii="Times New Roman" w:hAnsi="Times New Roman" w:eastAsia="方正仿宋_GBK" w:cs="Times New Roman"/>
          <w:w w:val="96"/>
          <w:sz w:val="28"/>
          <w:szCs w:val="28"/>
          <w:lang w:val="en-US" w:eastAsia="zh-CN"/>
        </w:rPr>
        <w:t>云南玉诚环境评估有限公司，云南绿诚环境科技有限公司</w:t>
      </w:r>
      <w:r>
        <w:rPr>
          <w:rFonts w:hint="eastAsia" w:eastAsia="方正仿宋_GBK" w:cs="Times New Roman"/>
          <w:sz w:val="28"/>
          <w:szCs w:val="28"/>
          <w:lang w:val="zh-CN" w:eastAsia="zh-CN"/>
        </w:rPr>
        <w:t>。</w:t>
      </w:r>
    </w:p>
    <w:p w14:paraId="5CE8291D">
      <w:pPr>
        <w:pStyle w:val="10"/>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28"/>
          <w:szCs w:val="28"/>
          <w:lang w:val="en-US"/>
          <w14:textFill>
            <w14:solidFill>
              <w14:schemeClr w14:val="tx1"/>
            </w14:solidFill>
          </w14:textFill>
        </w:rPr>
        <w:t>玉溪市生态环境局</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办公室</w:t>
      </w:r>
      <w:r>
        <w:rPr>
          <w:rFonts w:hint="default" w:ascii="Times New Roman" w:hAnsi="Times New Roman" w:eastAsia="方正仿宋_GBK" w:cs="Times New Roman"/>
          <w:color w:val="000000" w:themeColor="text1"/>
          <w:sz w:val="28"/>
          <w:szCs w:val="28"/>
          <w:lang w:val="en-US"/>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          2026</w:t>
      </w:r>
      <w:r>
        <w:rPr>
          <w:rFonts w:hint="default" w:ascii="Times New Roman" w:hAnsi="Times New Roman" w:eastAsia="方正仿宋_GBK" w:cs="Times New Roman"/>
          <w:color w:val="000000" w:themeColor="text1"/>
          <w:sz w:val="28"/>
          <w:szCs w:val="28"/>
          <w:lang w:val="en-US"/>
          <w14:textFill>
            <w14:solidFill>
              <w14:schemeClr w14:val="tx1"/>
            </w14:solidFill>
          </w14:textFill>
        </w:rPr>
        <w:t>年</w:t>
      </w:r>
      <w:r>
        <w:rPr>
          <w:rFonts w:hint="eastAsia" w:eastAsia="方正仿宋_GBK" w:cs="Times New Roman"/>
          <w:color w:val="000000" w:themeColor="text1"/>
          <w:sz w:val="28"/>
          <w:szCs w:val="28"/>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lang w:val="en-US"/>
          <w14:textFill>
            <w14:solidFill>
              <w14:schemeClr w14:val="tx1"/>
            </w14:solidFill>
          </w14:textFill>
        </w:rPr>
        <w:t>月</w:t>
      </w:r>
      <w:r>
        <w:rPr>
          <w:rFonts w:hint="eastAsia" w:eastAsia="方正仿宋_GBK" w:cs="Times New Roman"/>
          <w:color w:val="000000" w:themeColor="text1"/>
          <w:sz w:val="28"/>
          <w:szCs w:val="28"/>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lang w:val="en-US"/>
          <w14:textFill>
            <w14:solidFill>
              <w14:schemeClr w14:val="tx1"/>
            </w14:solidFill>
          </w14:textFill>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3190CBD9-51F3-428E-89BB-FC7ED0B81E13}"/>
  </w:font>
  <w:font w:name="方正仿宋_GBK">
    <w:panose1 w:val="03000509000000000000"/>
    <w:charset w:val="86"/>
    <w:family w:val="script"/>
    <w:pitch w:val="default"/>
    <w:sig w:usb0="00000001" w:usb1="080E0000" w:usb2="00000000" w:usb3="00000000" w:csb0="00040000" w:csb1="00000000"/>
    <w:embedRegular r:id="rId2" w:fontKey="{FF38400E-EE76-4A55-A380-21AB922EA22E}"/>
  </w:font>
  <w:font w:name="方正黑体_GBK">
    <w:panose1 w:val="03000509000000000000"/>
    <w:charset w:val="86"/>
    <w:family w:val="auto"/>
    <w:pitch w:val="default"/>
    <w:sig w:usb0="00000001" w:usb1="080E0000" w:usb2="00000000" w:usb3="00000000" w:csb0="00040000" w:csb1="00000000"/>
    <w:embedRegular r:id="rId3" w:fontKey="{F1C17565-8D1B-409F-B75A-7D4D99D02B34}"/>
  </w:font>
  <w:font w:name="方正楷体_GBK">
    <w:panose1 w:val="03000509000000000000"/>
    <w:charset w:val="86"/>
    <w:family w:val="auto"/>
    <w:pitch w:val="default"/>
    <w:sig w:usb0="00000001" w:usb1="080E0000" w:usb2="00000000" w:usb3="00000000" w:csb0="00040000" w:csb1="00000000"/>
    <w:embedRegular r:id="rId4" w:fontKey="{25DFBCE9-B64F-465C-9138-E28FA50BD0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72E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A3C94">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637AE8CA">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DA3C94">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637AE8CA">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D93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48A92">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55C4D0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648A92">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55C4D05"/>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62917"/>
    <w:rsid w:val="01BE4F18"/>
    <w:rsid w:val="021C1620"/>
    <w:rsid w:val="022E6AD9"/>
    <w:rsid w:val="02C92423"/>
    <w:rsid w:val="02D359C2"/>
    <w:rsid w:val="02DD4218"/>
    <w:rsid w:val="03405326"/>
    <w:rsid w:val="034D4756"/>
    <w:rsid w:val="039E6FA1"/>
    <w:rsid w:val="03CD6287"/>
    <w:rsid w:val="03DF7990"/>
    <w:rsid w:val="047A7F1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2B51DC"/>
    <w:rsid w:val="0EB827B5"/>
    <w:rsid w:val="0EB92DA5"/>
    <w:rsid w:val="0EDA1504"/>
    <w:rsid w:val="0EE81C04"/>
    <w:rsid w:val="0F046CBD"/>
    <w:rsid w:val="0F674CA9"/>
    <w:rsid w:val="0F7142A9"/>
    <w:rsid w:val="0F725F1C"/>
    <w:rsid w:val="0F806825"/>
    <w:rsid w:val="0FE76F0B"/>
    <w:rsid w:val="10085FCB"/>
    <w:rsid w:val="10600A97"/>
    <w:rsid w:val="10A16249"/>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F53A51"/>
    <w:rsid w:val="15B44512"/>
    <w:rsid w:val="15BD14B0"/>
    <w:rsid w:val="16297009"/>
    <w:rsid w:val="16D33FA6"/>
    <w:rsid w:val="16E04139"/>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4F29E1"/>
    <w:rsid w:val="3BA00084"/>
    <w:rsid w:val="3C6D08FC"/>
    <w:rsid w:val="3C7F7E1B"/>
    <w:rsid w:val="3D5745D4"/>
    <w:rsid w:val="3DAF65B1"/>
    <w:rsid w:val="3DBA029B"/>
    <w:rsid w:val="3DE505E7"/>
    <w:rsid w:val="3EF1250A"/>
    <w:rsid w:val="3F155B26"/>
    <w:rsid w:val="3FAF78C6"/>
    <w:rsid w:val="401641A9"/>
    <w:rsid w:val="40201682"/>
    <w:rsid w:val="40B13B1F"/>
    <w:rsid w:val="41332E43"/>
    <w:rsid w:val="416A0536"/>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2226B4"/>
    <w:rsid w:val="4D3229AB"/>
    <w:rsid w:val="4D6E25E7"/>
    <w:rsid w:val="4D83575F"/>
    <w:rsid w:val="4DD53083"/>
    <w:rsid w:val="4DF62B26"/>
    <w:rsid w:val="4E843945"/>
    <w:rsid w:val="4FA4567A"/>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D71E89"/>
    <w:rsid w:val="55F72314"/>
    <w:rsid w:val="56685559"/>
    <w:rsid w:val="566F2302"/>
    <w:rsid w:val="568752BF"/>
    <w:rsid w:val="56972233"/>
    <w:rsid w:val="56BD2497"/>
    <w:rsid w:val="56DA0B1D"/>
    <w:rsid w:val="570502E5"/>
    <w:rsid w:val="57253366"/>
    <w:rsid w:val="572D4713"/>
    <w:rsid w:val="58035187"/>
    <w:rsid w:val="5873667C"/>
    <w:rsid w:val="591816AF"/>
    <w:rsid w:val="59F12363"/>
    <w:rsid w:val="5A4822A0"/>
    <w:rsid w:val="5A754143"/>
    <w:rsid w:val="5A7D0E49"/>
    <w:rsid w:val="5B0F5D9A"/>
    <w:rsid w:val="5B370783"/>
    <w:rsid w:val="5B530E0D"/>
    <w:rsid w:val="5BBB79D4"/>
    <w:rsid w:val="5BEC4998"/>
    <w:rsid w:val="5C590380"/>
    <w:rsid w:val="5C8327F4"/>
    <w:rsid w:val="5CC05903"/>
    <w:rsid w:val="5D1626B8"/>
    <w:rsid w:val="5DED7F19"/>
    <w:rsid w:val="5E04242A"/>
    <w:rsid w:val="5E052FF8"/>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44F7208"/>
    <w:rsid w:val="64550AA6"/>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D15D7"/>
    <w:rsid w:val="720019E1"/>
    <w:rsid w:val="7278158D"/>
    <w:rsid w:val="72814495"/>
    <w:rsid w:val="72AD3FBA"/>
    <w:rsid w:val="72B73CFC"/>
    <w:rsid w:val="730F0F49"/>
    <w:rsid w:val="737547B1"/>
    <w:rsid w:val="73A20074"/>
    <w:rsid w:val="73A33523"/>
    <w:rsid w:val="7417602D"/>
    <w:rsid w:val="74EC3061"/>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C51E91"/>
    <w:rsid w:val="7E7801ED"/>
    <w:rsid w:val="7E8004BE"/>
    <w:rsid w:val="7F0D259B"/>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2"/>
    <w:next w:val="1"/>
    <w:qFormat/>
    <w:uiPriority w:val="0"/>
    <w:pPr>
      <w:widowControl/>
      <w:ind w:firstLine="420" w:firstLineChars="100"/>
      <w:jc w:val="left"/>
    </w:pPr>
    <w:rPr>
      <w:rFonts w:ascii="Calibri" w:hAnsi="Calibri" w:cs="宋体"/>
      <w:kern w:val="0"/>
    </w:rPr>
  </w:style>
  <w:style w:type="paragraph" w:styleId="14">
    <w:name w:val="Body Text First Indent 2"/>
    <w:basedOn w:val="1"/>
    <w:next w:val="13"/>
    <w:qFormat/>
    <w:uiPriority w:val="0"/>
    <w:pPr>
      <w:ind w:firstLine="420" w:firstLineChars="200"/>
    </w:pPr>
  </w:style>
  <w:style w:type="character" w:styleId="17">
    <w:name w:val="page number"/>
    <w:basedOn w:val="16"/>
    <w:qFormat/>
    <w:uiPriority w:val="0"/>
  </w:style>
  <w:style w:type="paragraph" w:customStyle="1" w:styleId="18">
    <w:name w:val="Plain Text1"/>
    <w:basedOn w:val="1"/>
    <w:qFormat/>
    <w:uiPriority w:val="0"/>
    <w:rPr>
      <w:rFonts w:ascii="宋体" w:hAnsi="Courier New"/>
    </w:rPr>
  </w:style>
  <w:style w:type="paragraph" w:customStyle="1" w:styleId="19">
    <w:name w:val="纯文本1"/>
    <w:basedOn w:val="1"/>
    <w:qFormat/>
    <w:uiPriority w:val="0"/>
    <w:rPr>
      <w:rFonts w:ascii="宋体" w:hAnsi="Courier New"/>
    </w:rPr>
  </w:style>
  <w:style w:type="paragraph" w:customStyle="1" w:styleId="20">
    <w:name w:val="样式 HC 正文 + 字距调整小四"/>
    <w:basedOn w:val="21"/>
    <w:next w:val="1"/>
    <w:qFormat/>
    <w:uiPriority w:val="0"/>
    <w:pPr>
      <w:snapToGrid w:val="0"/>
      <w:ind w:firstLine="640"/>
    </w:pPr>
    <w:rPr>
      <w:bCs w:val="0"/>
      <w:kern w:val="24"/>
      <w:lang w:val="zh-CN"/>
    </w:rPr>
  </w:style>
  <w:style w:type="paragraph" w:customStyle="1" w:styleId="21">
    <w:name w:val="HC 正文"/>
    <w:basedOn w:val="1"/>
    <w:qFormat/>
    <w:uiPriority w:val="0"/>
    <w:pPr>
      <w:autoSpaceDE w:val="0"/>
      <w:spacing w:line="360" w:lineRule="auto"/>
      <w:ind w:firstLine="480" w:firstLineChars="200"/>
    </w:pPr>
    <w:rPr>
      <w:bCs/>
      <w:color w:val="0000FF"/>
      <w:sz w:val="24"/>
    </w:rPr>
  </w:style>
  <w:style w:type="paragraph" w:customStyle="1" w:styleId="22">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3">
    <w:name w:val="Default"/>
    <w:basedOn w:val="19"/>
    <w:next w:val="1"/>
    <w:unhideWhenUsed/>
    <w:qFormat/>
    <w:uiPriority w:val="0"/>
    <w:pPr>
      <w:autoSpaceDE w:val="0"/>
      <w:autoSpaceDN w:val="0"/>
    </w:pPr>
    <w:rPr>
      <w:rFonts w:hAnsi="宋体"/>
      <w:color w:val="000000"/>
    </w:rPr>
  </w:style>
  <w:style w:type="paragraph" w:customStyle="1" w:styleId="24">
    <w:name w:val="Normal Indent1"/>
    <w:basedOn w:val="1"/>
    <w:qFormat/>
    <w:uiPriority w:val="0"/>
    <w:pPr>
      <w:ind w:firstLine="420"/>
    </w:pPr>
  </w:style>
  <w:style w:type="paragraph" w:customStyle="1" w:styleId="2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2436</Words>
  <Characters>2575</Characters>
  <Lines>17</Lines>
  <Paragraphs>4</Paragraphs>
  <TotalTime>22</TotalTime>
  <ScaleCrop>false</ScaleCrop>
  <LinksUpToDate>false</LinksUpToDate>
  <CharactersWithSpaces>2593</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2026-01-28T04:03:00Z</cp:lastPrinted>
  <dcterms:modified xsi:type="dcterms:W3CDTF">2026-02-24T06:21:27Z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8601CF4462B44DC8A685CAD5F1EA1AF2_13</vt:lpwstr>
  </property>
  <property fmtid="{D5CDD505-2E9C-101B-9397-08002B2CF9AE}" pid="4" name="KSOTemplateDocerSaveRecord">
    <vt:lpwstr>eyJoZGlkIjoiN2QwZTEyMDA2YTk0ZjkwMmJjYjhmNmM0NmZmYWY5N2EiLCJ1c2VySWQiOiIxMDY3ODYwMTEzIn0=</vt:lpwstr>
  </property>
</Properties>
</file>