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embeddings/Microsoft_Visio_2003-2010___3.vsd" ContentType="application/vnd.visio"/>
  <Override PartName="/word/embeddings/Microsoft_Visio_2003-2010___4.vsd" ContentType="application/vnd.visio"/>
  <Override PartName="/word/embeddings/Microsoft_Visio_2003-2010___5.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06A93C">
      <w:pPr>
        <w:rPr>
          <w:rFonts w:hint="default" w:ascii="Times New Roman" w:hAnsi="Times New Roman" w:eastAsia="仿宋_GB2312" w:cs="Times New Roman"/>
          <w:color w:val="auto"/>
          <w:sz w:val="36"/>
          <w:szCs w:val="36"/>
        </w:rPr>
      </w:pPr>
    </w:p>
    <w:p w14:paraId="5C971B24">
      <w:pPr>
        <w:adjustRightInd w:val="0"/>
        <w:snapToGrid w:val="0"/>
        <w:jc w:val="center"/>
        <w:outlineLvl w:val="0"/>
        <w:rPr>
          <w:rFonts w:hint="default" w:ascii="Times New Roman" w:hAnsi="Times New Roman" w:eastAsia="方正小标宋_GBK" w:cs="Times New Roman"/>
          <w:bCs/>
          <w:color w:val="auto"/>
          <w:sz w:val="44"/>
          <w:szCs w:val="44"/>
        </w:rPr>
      </w:pPr>
      <w:bookmarkStart w:id="0" w:name="_Toc6965"/>
      <w:bookmarkStart w:id="1" w:name="_Toc4502"/>
    </w:p>
    <w:p w14:paraId="2BF924B2">
      <w:pPr>
        <w:adjustRightInd w:val="0"/>
        <w:snapToGrid w:val="0"/>
        <w:jc w:val="center"/>
        <w:outlineLvl w:val="0"/>
        <w:rPr>
          <w:rFonts w:hint="default" w:ascii="Times New Roman" w:hAnsi="Times New Roman" w:eastAsia="方正小标宋_GBK" w:cs="Times New Roman"/>
          <w:bCs/>
          <w:color w:val="auto"/>
          <w:sz w:val="72"/>
          <w:szCs w:val="72"/>
        </w:rPr>
      </w:pPr>
      <w:bookmarkStart w:id="2" w:name="_Toc28869"/>
      <w:bookmarkStart w:id="3" w:name="_Toc19186"/>
      <w:r>
        <w:rPr>
          <w:rFonts w:hint="default" w:ascii="Times New Roman" w:hAnsi="Times New Roman" w:eastAsia="方正小标宋_GBK" w:cs="Times New Roman"/>
          <w:bCs/>
          <w:color w:val="auto"/>
          <w:sz w:val="72"/>
          <w:szCs w:val="72"/>
        </w:rPr>
        <w:t>建设项目环境影响报告表</w:t>
      </w:r>
      <w:bookmarkEnd w:id="0"/>
      <w:bookmarkEnd w:id="1"/>
      <w:bookmarkEnd w:id="2"/>
      <w:bookmarkEnd w:id="3"/>
    </w:p>
    <w:p w14:paraId="10019ABB">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14:paraId="2899B826">
      <w:pPr>
        <w:adjustRightInd w:val="0"/>
        <w:snapToGrid w:val="0"/>
        <w:spacing w:line="288" w:lineRule="auto"/>
        <w:rPr>
          <w:rFonts w:hint="default" w:ascii="Times New Roman" w:hAnsi="Times New Roman" w:eastAsia="仿宋_GB2312" w:cs="Times New Roman"/>
          <w:color w:val="auto"/>
          <w:sz w:val="36"/>
          <w:szCs w:val="36"/>
        </w:rPr>
      </w:pPr>
    </w:p>
    <w:p w14:paraId="2C3A56D5">
      <w:pPr>
        <w:pStyle w:val="18"/>
        <w:rPr>
          <w:rFonts w:hint="default" w:ascii="Times New Roman" w:hAnsi="Times New Roman" w:cs="Times New Roman"/>
          <w:color w:val="auto"/>
        </w:rPr>
      </w:pPr>
    </w:p>
    <w:p w14:paraId="5521F8BA">
      <w:pPr>
        <w:rPr>
          <w:rFonts w:hint="default" w:ascii="Times New Roman" w:hAnsi="Times New Roman" w:cs="Times New Roman"/>
          <w:color w:val="auto"/>
        </w:rPr>
      </w:pPr>
    </w:p>
    <w:p w14:paraId="134FDF20">
      <w:pPr>
        <w:pStyle w:val="18"/>
        <w:rPr>
          <w:rFonts w:hint="default" w:ascii="Times New Roman" w:hAnsi="Times New Roman" w:cs="Times New Roman"/>
          <w:color w:val="auto"/>
        </w:rPr>
      </w:pPr>
    </w:p>
    <w:p w14:paraId="7A2F8326">
      <w:pPr>
        <w:adjustRightInd w:val="0"/>
        <w:snapToGrid w:val="0"/>
        <w:spacing w:line="288" w:lineRule="auto"/>
        <w:jc w:val="left"/>
        <w:rPr>
          <w:rFonts w:hint="default" w:ascii="Times New Roman" w:hAnsi="Times New Roman" w:eastAsia="仿宋_GB2312" w:cs="Times New Roman"/>
          <w:color w:val="auto"/>
          <w:sz w:val="36"/>
          <w:szCs w:val="36"/>
        </w:rPr>
      </w:pPr>
    </w:p>
    <w:p w14:paraId="0BC72F4F">
      <w:pPr>
        <w:pStyle w:val="18"/>
        <w:rPr>
          <w:rFonts w:hint="default" w:ascii="Times New Roman" w:hAnsi="Times New Roman" w:eastAsia="仿宋_GB2312" w:cs="Times New Roman"/>
          <w:color w:val="auto"/>
          <w:sz w:val="36"/>
          <w:szCs w:val="36"/>
        </w:rPr>
      </w:pPr>
    </w:p>
    <w:p w14:paraId="736EAFC1">
      <w:pPr>
        <w:pStyle w:val="18"/>
        <w:rPr>
          <w:rFonts w:hint="default" w:ascii="Times New Roman" w:hAnsi="Times New Roman" w:eastAsia="仿宋_GB2312" w:cs="Times New Roman"/>
          <w:color w:val="auto"/>
          <w:sz w:val="36"/>
          <w:szCs w:val="36"/>
        </w:rPr>
      </w:pPr>
    </w:p>
    <w:p w14:paraId="785978F2">
      <w:pPr>
        <w:rPr>
          <w:rFonts w:hint="default" w:ascii="Times New Roman" w:hAnsi="Times New Roman" w:eastAsia="仿宋_GB2312" w:cs="Times New Roman"/>
          <w:color w:val="auto"/>
          <w:sz w:val="36"/>
          <w:szCs w:val="36"/>
        </w:rPr>
      </w:pPr>
    </w:p>
    <w:p w14:paraId="1B81C33E">
      <w:pPr>
        <w:pStyle w:val="18"/>
        <w:rPr>
          <w:rFonts w:hint="default" w:ascii="Times New Roman" w:hAnsi="Times New Roman" w:eastAsia="仿宋_GB2312" w:cs="Times New Roman"/>
          <w:color w:val="auto"/>
          <w:sz w:val="36"/>
          <w:szCs w:val="36"/>
        </w:rPr>
      </w:pPr>
    </w:p>
    <w:p w14:paraId="5C2BE794">
      <w:pPr>
        <w:rPr>
          <w:rFonts w:hint="default" w:ascii="Times New Roman" w:hAnsi="Times New Roman" w:eastAsia="仿宋_GB2312" w:cs="Times New Roman"/>
          <w:color w:val="auto"/>
          <w:sz w:val="36"/>
          <w:szCs w:val="36"/>
        </w:rPr>
      </w:pPr>
    </w:p>
    <w:p w14:paraId="1B60129A">
      <w:pPr>
        <w:pStyle w:val="18"/>
        <w:rPr>
          <w:rFonts w:hint="default" w:ascii="Times New Roman" w:hAnsi="Times New Roman" w:cs="Times New Roman"/>
          <w:color w:val="auto"/>
        </w:rPr>
      </w:pPr>
    </w:p>
    <w:p w14:paraId="4FB65EC2">
      <w:pPr>
        <w:jc w:val="left"/>
        <w:rPr>
          <w:rFonts w:hint="default" w:ascii="Times New Roman" w:hAnsi="Times New Roman" w:eastAsia="仿宋" w:cs="Times New Roman"/>
          <w:color w:val="auto"/>
          <w:sz w:val="44"/>
          <w:szCs w:val="44"/>
        </w:rPr>
      </w:pPr>
    </w:p>
    <w:p w14:paraId="225E16E3">
      <w:pPr>
        <w:jc w:val="left"/>
        <w:rPr>
          <w:rFonts w:hint="default" w:ascii="Times New Roman" w:hAnsi="Times New Roman" w:eastAsia="仿宋" w:cs="Times New Roman"/>
          <w:color w:val="auto"/>
          <w:sz w:val="32"/>
          <w:szCs w:val="32"/>
        </w:rPr>
      </w:pPr>
    </w:p>
    <w:p w14:paraId="0EA0D736">
      <w:pPr>
        <w:adjustRightInd w:val="0"/>
        <w:snapToGrid w:val="0"/>
        <w:spacing w:line="360" w:lineRule="auto"/>
        <w:jc w:val="center"/>
        <w:rPr>
          <w:rFonts w:hint="default" w:ascii="Times New Roman" w:hAnsi="Times New Roman" w:eastAsia="黑体" w:cs="Times New Roman"/>
          <w:color w:val="auto"/>
          <w:sz w:val="32"/>
          <w:szCs w:val="32"/>
          <w:u w:val="single"/>
        </w:rPr>
      </w:pPr>
      <w:r>
        <w:rPr>
          <w:rFonts w:hint="default" w:ascii="Times New Roman" w:hAnsi="Times New Roman" w:eastAsia="黑体" w:cs="Times New Roman"/>
          <w:color w:val="auto"/>
          <w:sz w:val="32"/>
          <w:szCs w:val="32"/>
        </w:rPr>
        <w:t>项 目 名 称：</w:t>
      </w:r>
      <w:r>
        <w:rPr>
          <w:rFonts w:hint="default" w:ascii="Times New Roman" w:hAnsi="Times New Roman" w:eastAsia="黑体" w:cs="Times New Roman"/>
          <w:color w:val="auto"/>
          <w:sz w:val="32"/>
          <w:szCs w:val="32"/>
          <w:u w:val="single"/>
        </w:rPr>
        <w:t xml:space="preserve"> </w:t>
      </w:r>
      <w:bookmarkStart w:id="4" w:name="_Hlk220318636"/>
      <w:r>
        <w:rPr>
          <w:rFonts w:hint="default" w:ascii="Times New Roman" w:hAnsi="Times New Roman" w:eastAsia="黑体" w:cs="Times New Roman"/>
          <w:color w:val="auto"/>
          <w:sz w:val="32"/>
          <w:szCs w:val="32"/>
          <w:u w:val="single"/>
        </w:rPr>
        <w:t>新建年产3万吨无缝钢管生产线项目</w:t>
      </w:r>
      <w:bookmarkEnd w:id="4"/>
      <w:r>
        <w:rPr>
          <w:rFonts w:hint="default" w:ascii="Times New Roman" w:hAnsi="Times New Roman" w:eastAsia="黑体" w:cs="Times New Roman"/>
          <w:color w:val="auto"/>
          <w:sz w:val="32"/>
          <w:szCs w:val="32"/>
          <w:u w:val="single"/>
        </w:rPr>
        <w:t xml:space="preserve"> </w:t>
      </w:r>
    </w:p>
    <w:p w14:paraId="4B6CF6CD">
      <w:pPr>
        <w:adjustRightInd w:val="0"/>
        <w:snapToGrid w:val="0"/>
        <w:spacing w:before="360" w:beforeLines="150" w:line="600" w:lineRule="auto"/>
        <w:ind w:firstLine="640" w:firstLineChars="200"/>
        <w:rPr>
          <w:rFonts w:hint="default" w:ascii="Times New Roman" w:hAnsi="Times New Roman" w:eastAsia="黑体" w:cs="Times New Roman"/>
          <w:color w:val="auto"/>
          <w:sz w:val="32"/>
          <w:szCs w:val="32"/>
          <w:u w:val="single"/>
        </w:rPr>
      </w:pPr>
      <w:r>
        <w:rPr>
          <w:rFonts w:hint="default" w:ascii="Times New Roman" w:hAnsi="Times New Roman" w:eastAsia="黑体" w:cs="Times New Roman"/>
          <w:color w:val="auto"/>
          <w:sz w:val="32"/>
          <w:szCs w:val="32"/>
        </w:rPr>
        <w:t>建设单位（盖章）：</w:t>
      </w:r>
      <w:r>
        <w:rPr>
          <w:rFonts w:hint="default" w:ascii="Times New Roman" w:hAnsi="Times New Roman" w:eastAsia="黑体" w:cs="Times New Roman"/>
          <w:color w:val="auto"/>
          <w:sz w:val="32"/>
          <w:szCs w:val="32"/>
          <w:u w:val="single"/>
        </w:rPr>
        <w:t xml:space="preserve"> 通海南方钢铁有限公司        </w:t>
      </w:r>
    </w:p>
    <w:p w14:paraId="2E44FB8D">
      <w:pPr>
        <w:adjustRightInd w:val="0"/>
        <w:snapToGrid w:val="0"/>
        <w:spacing w:line="600" w:lineRule="auto"/>
        <w:ind w:firstLine="640" w:firstLineChars="200"/>
        <w:rPr>
          <w:rFonts w:hint="default" w:ascii="Times New Roman" w:hAnsi="Times New Roman" w:eastAsia="黑体" w:cs="Times New Roman"/>
          <w:color w:val="auto"/>
          <w:sz w:val="32"/>
          <w:szCs w:val="32"/>
          <w:u w:val="single"/>
        </w:rPr>
      </w:pPr>
      <w:r>
        <w:rPr>
          <w:rFonts w:hint="default" w:ascii="Times New Roman" w:hAnsi="Times New Roman" w:eastAsia="黑体" w:cs="Times New Roman"/>
          <w:color w:val="auto"/>
          <w:sz w:val="32"/>
          <w:szCs w:val="32"/>
        </w:rPr>
        <w:t xml:space="preserve">编 制 日 期：     </w:t>
      </w:r>
      <w:r>
        <w:rPr>
          <w:rFonts w:hint="default" w:ascii="Times New Roman" w:hAnsi="Times New Roman" w:eastAsia="黑体" w:cs="Times New Roman"/>
          <w:color w:val="auto"/>
          <w:sz w:val="32"/>
          <w:szCs w:val="32"/>
          <w:u w:val="single"/>
        </w:rPr>
        <w:t xml:space="preserve">     2026年</w:t>
      </w:r>
      <w:r>
        <w:rPr>
          <w:rFonts w:hint="eastAsia" w:eastAsia="黑体" w:cs="Times New Roman"/>
          <w:color w:val="auto"/>
          <w:sz w:val="32"/>
          <w:szCs w:val="32"/>
          <w:u w:val="single"/>
          <w:lang w:val="en-US" w:eastAsia="zh-CN"/>
        </w:rPr>
        <w:t>2</w:t>
      </w:r>
      <w:r>
        <w:rPr>
          <w:rFonts w:hint="default" w:ascii="Times New Roman" w:hAnsi="Times New Roman" w:eastAsia="黑体" w:cs="Times New Roman"/>
          <w:color w:val="auto"/>
          <w:sz w:val="32"/>
          <w:szCs w:val="32"/>
          <w:u w:val="single"/>
        </w:rPr>
        <w:t xml:space="preserve">月              </w:t>
      </w:r>
    </w:p>
    <w:p w14:paraId="27732B56">
      <w:pPr>
        <w:adjustRightInd w:val="0"/>
        <w:snapToGrid w:val="0"/>
        <w:spacing w:line="288" w:lineRule="auto"/>
        <w:ind w:firstLine="1040"/>
        <w:rPr>
          <w:rFonts w:hint="default" w:ascii="Times New Roman" w:hAnsi="Times New Roman" w:eastAsia="仿宋_GB2312" w:cs="Times New Roman"/>
          <w:color w:val="auto"/>
          <w:sz w:val="36"/>
          <w:szCs w:val="36"/>
        </w:rPr>
      </w:pPr>
      <w:bookmarkStart w:id="5" w:name="_Hlk57884087"/>
    </w:p>
    <w:bookmarkEnd w:id="5"/>
    <w:p w14:paraId="0852574A">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14:paraId="59EB6B94">
      <w:pPr>
        <w:pStyle w:val="18"/>
        <w:rPr>
          <w:rFonts w:hint="default" w:ascii="Times New Roman" w:hAnsi="Times New Roman" w:eastAsia="楷体_GB2312" w:cs="Times New Roman"/>
          <w:color w:val="auto"/>
          <w:sz w:val="36"/>
          <w:szCs w:val="36"/>
        </w:rPr>
      </w:pPr>
    </w:p>
    <w:p w14:paraId="50537B3D">
      <w:pPr>
        <w:rPr>
          <w:rFonts w:hint="default" w:ascii="Times New Roman" w:hAnsi="Times New Roman" w:cs="Times New Roman"/>
          <w:color w:val="auto"/>
        </w:rPr>
        <w:sectPr>
          <w:headerReference r:id="rId3" w:type="default"/>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744653F2">
      <w:pPr>
        <w:pStyle w:val="18"/>
        <w:rPr>
          <w:rFonts w:hint="default" w:ascii="Times New Roman" w:hAnsi="Times New Roman" w:cs="Times New Roman"/>
          <w:color w:val="auto"/>
        </w:rPr>
      </w:pPr>
    </w:p>
    <w:p w14:paraId="490F6054">
      <w:pPr>
        <w:rPr>
          <w:rFonts w:hint="default" w:ascii="Times New Roman" w:hAnsi="Times New Roman" w:cs="Times New Roman"/>
          <w:color w:val="auto"/>
        </w:rPr>
      </w:pPr>
    </w:p>
    <w:p w14:paraId="6DEF4244">
      <w:pPr>
        <w:pStyle w:val="18"/>
        <w:rPr>
          <w:rFonts w:hint="default" w:ascii="Times New Roman" w:hAnsi="Times New Roman" w:cs="Times New Roman"/>
          <w:color w:val="auto"/>
        </w:rPr>
      </w:pPr>
    </w:p>
    <w:p w14:paraId="0ECE1D0C">
      <w:pPr>
        <w:rPr>
          <w:rFonts w:hint="default" w:ascii="Times New Roman" w:hAnsi="Times New Roman" w:cs="Times New Roman"/>
          <w:color w:val="auto"/>
        </w:rPr>
      </w:pPr>
    </w:p>
    <w:p w14:paraId="143D1008">
      <w:pPr>
        <w:pStyle w:val="18"/>
        <w:rPr>
          <w:rFonts w:hint="default" w:ascii="Times New Roman" w:hAnsi="Times New Roman" w:cs="Times New Roman"/>
          <w:color w:val="auto"/>
        </w:rPr>
      </w:pPr>
    </w:p>
    <w:p w14:paraId="059CBF01">
      <w:pPr>
        <w:rPr>
          <w:rFonts w:hint="default" w:ascii="Times New Roman" w:hAnsi="Times New Roman" w:cs="Times New Roman"/>
          <w:color w:val="auto"/>
        </w:rPr>
      </w:pPr>
    </w:p>
    <w:p w14:paraId="69583066">
      <w:pPr>
        <w:pStyle w:val="25"/>
        <w:tabs>
          <w:tab w:val="right" w:leader="dot" w:pos="8834"/>
        </w:tabs>
        <w:jc w:val="center"/>
        <w:rPr>
          <w:rFonts w:hint="default" w:ascii="Times New Roman" w:hAnsi="Times New Roman" w:cs="Times New Roman"/>
          <w:b/>
          <w:bCs/>
          <w:color w:val="auto"/>
          <w:sz w:val="36"/>
          <w:szCs w:val="36"/>
        </w:rPr>
      </w:pPr>
      <w:r>
        <w:rPr>
          <w:rFonts w:hint="default" w:ascii="Times New Roman" w:hAnsi="Times New Roman" w:cs="Times New Roman"/>
          <w:b/>
          <w:bCs/>
          <w:color w:val="auto"/>
          <w:sz w:val="36"/>
          <w:szCs w:val="36"/>
        </w:rPr>
        <w:t>目  录</w:t>
      </w:r>
    </w:p>
    <w:p w14:paraId="7745AB3E">
      <w:pPr>
        <w:rPr>
          <w:rFonts w:hint="default" w:ascii="Times New Roman" w:hAnsi="Times New Roman" w:cs="Times New Roman"/>
          <w:color w:val="auto"/>
        </w:rPr>
      </w:pPr>
    </w:p>
    <w:p w14:paraId="46C762D5">
      <w:pPr>
        <w:pStyle w:val="25"/>
        <w:tabs>
          <w:tab w:val="right" w:leader="dot" w:pos="8844"/>
        </w:tabs>
        <w:spacing w:line="360" w:lineRule="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TOC \o "1-1" \h \u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"_Toc7759"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 w:val="28"/>
          <w:szCs w:val="28"/>
        </w:rPr>
        <w:t>一、建设项目基本情况</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_Toc7759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14:paraId="6A276236">
      <w:pPr>
        <w:pStyle w:val="25"/>
        <w:tabs>
          <w:tab w:val="right" w:leader="dot" w:pos="8844"/>
        </w:tabs>
        <w:spacing w:line="360" w:lineRule="auto"/>
        <w:rPr>
          <w:rFonts w:hint="default" w:ascii="Times New Roman" w:hAnsi="Times New Roman" w:cs="Times New Roman"/>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"_Toc27802"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 w:val="28"/>
          <w:szCs w:val="28"/>
        </w:rPr>
        <w:t>二、建设项目工程分析</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_Toc27802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32</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14:paraId="03EFB3D9">
      <w:pPr>
        <w:pStyle w:val="25"/>
        <w:tabs>
          <w:tab w:val="right" w:leader="dot" w:pos="8844"/>
        </w:tabs>
        <w:spacing w:line="360" w:lineRule="auto"/>
        <w:rPr>
          <w:rFonts w:hint="default" w:ascii="Times New Roman" w:hAnsi="Times New Roman" w:cs="Times New Roman"/>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"_Toc32177"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 w:val="28"/>
          <w:szCs w:val="28"/>
        </w:rPr>
        <w:t>三、区域环境质量现状、环境保护目标及评价标准</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_Toc32177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65</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14:paraId="1DD33379">
      <w:pPr>
        <w:pStyle w:val="25"/>
        <w:tabs>
          <w:tab w:val="right" w:leader="dot" w:pos="8844"/>
        </w:tabs>
        <w:spacing w:line="360" w:lineRule="auto"/>
        <w:rPr>
          <w:rFonts w:hint="default" w:ascii="Times New Roman" w:hAnsi="Times New Roman" w:cs="Times New Roman"/>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"_Toc5241"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 w:val="28"/>
          <w:szCs w:val="28"/>
        </w:rPr>
        <w:t>四、主要环境影响和保护措施</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_Toc5241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77</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14:paraId="4A6A5FCE">
      <w:pPr>
        <w:pStyle w:val="25"/>
        <w:tabs>
          <w:tab w:val="right" w:leader="dot" w:pos="8844"/>
        </w:tabs>
        <w:spacing w:line="360" w:lineRule="auto"/>
        <w:rPr>
          <w:rFonts w:hint="default" w:ascii="Times New Roman" w:hAnsi="Times New Roman" w:cs="Times New Roman"/>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"_Toc30765"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 w:val="28"/>
          <w:szCs w:val="28"/>
        </w:rPr>
        <w:t>五、环境保护措施监督检查清单</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_Toc30765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102</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14:paraId="6DEA3A2D">
      <w:pPr>
        <w:pStyle w:val="25"/>
        <w:tabs>
          <w:tab w:val="right" w:leader="dot" w:pos="8844"/>
        </w:tabs>
        <w:spacing w:line="360" w:lineRule="auto"/>
        <w:rPr>
          <w:rFonts w:hint="default" w:ascii="Times New Roman" w:hAnsi="Times New Roman" w:cs="Times New Roman"/>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"_Toc602"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 w:val="28"/>
          <w:szCs w:val="28"/>
        </w:rPr>
        <w:t>六、结论</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_Toc602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104</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14:paraId="4DC6B01B">
      <w:pPr>
        <w:pStyle w:val="25"/>
        <w:tabs>
          <w:tab w:val="right" w:leader="dot" w:pos="8844"/>
        </w:tabs>
        <w:spacing w:line="360" w:lineRule="auto"/>
        <w:rPr>
          <w:rFonts w:hint="default" w:ascii="Times New Roman" w:hAnsi="Times New Roman" w:cs="Times New Roman"/>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"_Toc31654"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 w:val="28"/>
          <w:szCs w:val="28"/>
        </w:rPr>
        <w:t>附表</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_Toc31654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105</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14:paraId="5A5EDB0B">
      <w:pPr>
        <w:spacing w:line="360" w:lineRule="auto"/>
        <w:rPr>
          <w:rFonts w:hint="default" w:ascii="Times New Roman" w:hAnsi="Times New Roman" w:cs="Times New Roman"/>
          <w:color w:val="auto"/>
        </w:rPr>
      </w:pPr>
      <w:r>
        <w:rPr>
          <w:rFonts w:hint="default" w:ascii="Times New Roman" w:hAnsi="Times New Roman" w:cs="Times New Roman"/>
          <w:color w:val="auto"/>
          <w:sz w:val="28"/>
          <w:szCs w:val="28"/>
        </w:rPr>
        <w:fldChar w:fldCharType="end"/>
      </w:r>
    </w:p>
    <w:p w14:paraId="040609AB">
      <w:pPr>
        <w:tabs>
          <w:tab w:val="left" w:pos="0"/>
        </w:tabs>
        <w:spacing w:line="360" w:lineRule="auto"/>
        <w:rPr>
          <w:rFonts w:hint="default" w:ascii="Times New Roman" w:hAnsi="Times New Roman" w:eastAsia="黑体" w:cs="Times New Roman"/>
          <w:b/>
          <w:bCs/>
          <w:color w:val="auto"/>
          <w:szCs w:val="21"/>
        </w:rPr>
      </w:pPr>
    </w:p>
    <w:p w14:paraId="76ADA256">
      <w:pPr>
        <w:tabs>
          <w:tab w:val="left" w:pos="0"/>
        </w:tabs>
        <w:spacing w:line="360" w:lineRule="auto"/>
        <w:rPr>
          <w:rFonts w:hint="default" w:ascii="Times New Roman" w:hAnsi="Times New Roman" w:eastAsia="黑体" w:cs="Times New Roman"/>
          <w:b/>
          <w:bCs/>
          <w:color w:val="auto"/>
          <w:szCs w:val="21"/>
        </w:rPr>
      </w:pPr>
    </w:p>
    <w:p w14:paraId="7E39A670">
      <w:pPr>
        <w:tabs>
          <w:tab w:val="left" w:pos="0"/>
        </w:tabs>
        <w:spacing w:line="360" w:lineRule="auto"/>
        <w:rPr>
          <w:rFonts w:hint="default" w:ascii="Times New Roman" w:hAnsi="Times New Roman" w:eastAsia="黑体" w:cs="Times New Roman"/>
          <w:b/>
          <w:bCs/>
          <w:color w:val="auto"/>
          <w:szCs w:val="21"/>
        </w:rPr>
      </w:pPr>
    </w:p>
    <w:p w14:paraId="04B317CB">
      <w:pPr>
        <w:tabs>
          <w:tab w:val="left" w:pos="0"/>
        </w:tabs>
        <w:spacing w:line="360" w:lineRule="auto"/>
        <w:rPr>
          <w:rFonts w:hint="default" w:ascii="Times New Roman" w:hAnsi="Times New Roman" w:eastAsia="黑体" w:cs="Times New Roman"/>
          <w:b/>
          <w:bCs/>
          <w:color w:val="auto"/>
          <w:szCs w:val="21"/>
        </w:rPr>
      </w:pPr>
    </w:p>
    <w:p w14:paraId="65A47905">
      <w:pPr>
        <w:pStyle w:val="13"/>
        <w:rPr>
          <w:rFonts w:hint="default" w:ascii="Times New Roman" w:hAnsi="Times New Roman" w:eastAsia="黑体" w:cs="Times New Roman"/>
          <w:b/>
          <w:bCs/>
          <w:color w:val="auto"/>
          <w:sz w:val="21"/>
          <w:szCs w:val="21"/>
        </w:rPr>
      </w:pPr>
      <w:bookmarkStart w:id="137" w:name="_GoBack"/>
      <w:bookmarkEnd w:id="137"/>
    </w:p>
    <w:p w14:paraId="71C3B072">
      <w:pPr>
        <w:rPr>
          <w:rFonts w:hint="default" w:ascii="Times New Roman" w:hAnsi="Times New Roman" w:eastAsia="黑体" w:cs="Times New Roman"/>
          <w:b/>
          <w:bCs/>
          <w:color w:val="auto"/>
          <w:szCs w:val="21"/>
        </w:rPr>
      </w:pPr>
    </w:p>
    <w:p w14:paraId="7B54FA60">
      <w:pPr>
        <w:pStyle w:val="13"/>
        <w:rPr>
          <w:rFonts w:hint="default" w:ascii="Times New Roman" w:hAnsi="Times New Roman" w:eastAsia="黑体" w:cs="Times New Roman"/>
          <w:b/>
          <w:bCs/>
          <w:color w:val="auto"/>
          <w:sz w:val="21"/>
          <w:szCs w:val="21"/>
        </w:rPr>
      </w:pPr>
    </w:p>
    <w:p w14:paraId="0616238C">
      <w:pPr>
        <w:rPr>
          <w:rFonts w:hint="default" w:ascii="Times New Roman" w:hAnsi="Times New Roman" w:eastAsia="黑体" w:cs="Times New Roman"/>
          <w:b/>
          <w:bCs/>
          <w:color w:val="auto"/>
          <w:szCs w:val="21"/>
        </w:rPr>
      </w:pPr>
    </w:p>
    <w:p w14:paraId="1A5E7047">
      <w:pPr>
        <w:pStyle w:val="13"/>
        <w:rPr>
          <w:rFonts w:hint="default" w:ascii="Times New Roman" w:hAnsi="Times New Roman" w:eastAsia="黑体" w:cs="Times New Roman"/>
          <w:b/>
          <w:bCs/>
          <w:color w:val="auto"/>
          <w:sz w:val="21"/>
          <w:szCs w:val="21"/>
        </w:rPr>
      </w:pPr>
    </w:p>
    <w:p w14:paraId="34061309">
      <w:pPr>
        <w:rPr>
          <w:rFonts w:hint="default" w:ascii="Times New Roman" w:hAnsi="Times New Roman" w:cs="Times New Roman"/>
          <w:color w:val="auto"/>
        </w:rPr>
      </w:pPr>
    </w:p>
    <w:p w14:paraId="6814FF6F">
      <w:pPr>
        <w:tabs>
          <w:tab w:val="left" w:pos="0"/>
        </w:tabs>
        <w:spacing w:line="360" w:lineRule="auto"/>
        <w:rPr>
          <w:rFonts w:hint="default" w:ascii="Times New Roman" w:hAnsi="Times New Roman" w:eastAsia="黑体" w:cs="Times New Roman"/>
          <w:b/>
          <w:bCs/>
          <w:color w:val="auto"/>
          <w:szCs w:val="21"/>
        </w:rPr>
      </w:pPr>
    </w:p>
    <w:p w14:paraId="089823E3">
      <w:pPr>
        <w:tabs>
          <w:tab w:val="left" w:pos="0"/>
        </w:tabs>
        <w:spacing w:line="360" w:lineRule="auto"/>
        <w:rPr>
          <w:rFonts w:hint="default" w:ascii="Times New Roman" w:hAnsi="Times New Roman" w:eastAsia="黑体" w:cs="Times New Roman"/>
          <w:b/>
          <w:bCs/>
          <w:color w:val="auto"/>
          <w:szCs w:val="21"/>
        </w:rPr>
      </w:pPr>
    </w:p>
    <w:p w14:paraId="4FA577C8">
      <w:pPr>
        <w:tabs>
          <w:tab w:val="left" w:pos="0"/>
        </w:tabs>
        <w:spacing w:line="360" w:lineRule="auto"/>
        <w:rPr>
          <w:rFonts w:hint="default" w:ascii="Times New Roman" w:hAnsi="Times New Roman" w:eastAsia="黑体" w:cs="Times New Roman"/>
          <w:b/>
          <w:bCs/>
          <w:color w:val="auto"/>
          <w:szCs w:val="21"/>
        </w:rPr>
      </w:pPr>
    </w:p>
    <w:p w14:paraId="19F115F7">
      <w:pPr>
        <w:tabs>
          <w:tab w:val="left" w:pos="0"/>
        </w:tabs>
        <w:spacing w:line="360" w:lineRule="auto"/>
        <w:rPr>
          <w:rFonts w:hint="default" w:ascii="Times New Roman" w:hAnsi="Times New Roman" w:eastAsia="黑体" w:cs="Times New Roman"/>
          <w:b/>
          <w:bCs/>
          <w:color w:val="auto"/>
          <w:szCs w:val="21"/>
        </w:rPr>
      </w:pPr>
    </w:p>
    <w:p w14:paraId="50E46432">
      <w:pPr>
        <w:tabs>
          <w:tab w:val="left" w:pos="0"/>
        </w:tabs>
        <w:spacing w:line="360" w:lineRule="auto"/>
        <w:rPr>
          <w:rFonts w:hint="default" w:ascii="Times New Roman" w:hAnsi="Times New Roman" w:eastAsia="黑体" w:cs="Times New Roman"/>
          <w:b/>
          <w:bCs/>
          <w:color w:val="auto"/>
          <w:szCs w:val="21"/>
        </w:rPr>
      </w:pPr>
    </w:p>
    <w:p w14:paraId="1C38DDC7">
      <w:pPr>
        <w:pStyle w:val="18"/>
        <w:rPr>
          <w:rFonts w:hint="default" w:ascii="Times New Roman" w:hAnsi="Times New Roman" w:eastAsia="黑体" w:cs="Times New Roman"/>
          <w:b/>
          <w:bCs/>
          <w:color w:val="auto"/>
        </w:rPr>
      </w:pPr>
    </w:p>
    <w:p w14:paraId="28F64F56">
      <w:pPr>
        <w:rPr>
          <w:rFonts w:hint="default" w:ascii="Times New Roman" w:hAnsi="Times New Roman" w:cs="Times New Roman"/>
          <w:color w:val="auto"/>
        </w:rPr>
      </w:pPr>
    </w:p>
    <w:p w14:paraId="64E4A63B">
      <w:pPr>
        <w:pStyle w:val="13"/>
        <w:rPr>
          <w:rFonts w:hint="default" w:ascii="Times New Roman" w:hAnsi="Times New Roman" w:cs="Times New Roman"/>
          <w:color w:val="auto"/>
        </w:rPr>
      </w:pPr>
    </w:p>
    <w:p w14:paraId="2D78DB18">
      <w:pPr>
        <w:pStyle w:val="13"/>
        <w:rPr>
          <w:rFonts w:hint="default" w:ascii="Times New Roman" w:hAnsi="Times New Roman" w:cs="Times New Roman"/>
          <w:color w:val="auto"/>
        </w:rPr>
      </w:pPr>
    </w:p>
    <w:p w14:paraId="56346CEA">
      <w:pPr>
        <w:pStyle w:val="13"/>
        <w:rPr>
          <w:rFonts w:hint="default" w:ascii="Times New Roman" w:hAnsi="Times New Roman" w:cs="Times New Roman"/>
          <w:color w:val="auto"/>
        </w:rPr>
      </w:pPr>
    </w:p>
    <w:p w14:paraId="32CA1DFF">
      <w:pPr>
        <w:pStyle w:val="43"/>
        <w:rPr>
          <w:rFonts w:hint="default" w:ascii="Times New Roman" w:hAnsi="Times New Roman" w:cs="Times New Roman"/>
          <w:color w:val="auto"/>
        </w:rPr>
      </w:pPr>
    </w:p>
    <w:p w14:paraId="0EED7D15">
      <w:pPr>
        <w:rPr>
          <w:rFonts w:hint="default" w:ascii="Times New Roman" w:hAnsi="Times New Roman" w:cs="Times New Roman"/>
          <w:color w:val="auto"/>
        </w:rPr>
      </w:pPr>
    </w:p>
    <w:p w14:paraId="234BC6BB">
      <w:pPr>
        <w:pStyle w:val="31"/>
        <w:pageBreakBefore/>
        <w:spacing w:before="0" w:beforeAutospacing="0" w:after="0" w:afterAutospacing="0" w:line="360" w:lineRule="auto"/>
        <w:outlineLvl w:val="0"/>
        <w:rPr>
          <w:rFonts w:hint="default" w:ascii="Times New Roman" w:hAnsi="Times New Roman" w:eastAsia="黑体" w:cs="Times New Roman"/>
          <w:color w:val="auto"/>
          <w:sz w:val="28"/>
          <w:szCs w:val="28"/>
        </w:rPr>
      </w:pPr>
      <w:bookmarkStart w:id="6" w:name="_Toc68870549"/>
      <w:bookmarkStart w:id="7" w:name="_Toc70692544"/>
      <w:bookmarkStart w:id="8" w:name="_Toc7759"/>
      <w:r>
        <w:rPr>
          <w:rFonts w:hint="default" w:ascii="Times New Roman" w:hAnsi="Times New Roman" w:eastAsia="黑体" w:cs="Times New Roman"/>
          <w:color w:val="auto"/>
          <w:sz w:val="28"/>
          <w:szCs w:val="28"/>
        </w:rPr>
        <w:t>一、建设项目基本情况</w:t>
      </w:r>
      <w:bookmarkEnd w:id="6"/>
      <w:bookmarkEnd w:id="7"/>
      <w:bookmarkEnd w:id="8"/>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82"/>
        <w:gridCol w:w="290"/>
        <w:gridCol w:w="367"/>
        <w:gridCol w:w="1602"/>
        <w:gridCol w:w="2038"/>
        <w:gridCol w:w="1730"/>
        <w:gridCol w:w="1617"/>
      </w:tblGrid>
      <w:tr w14:paraId="55D1E4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1339" w:type="dxa"/>
            <w:gridSpan w:val="3"/>
            <w:tcMar>
              <w:top w:w="16" w:type="dxa"/>
              <w:left w:w="16" w:type="dxa"/>
              <w:right w:w="16" w:type="dxa"/>
            </w:tcMar>
            <w:vAlign w:val="center"/>
          </w:tcPr>
          <w:p w14:paraId="2D13C72E">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建设项目名称</w:t>
            </w:r>
          </w:p>
        </w:tc>
        <w:tc>
          <w:tcPr>
            <w:tcW w:w="6987" w:type="dxa"/>
            <w:gridSpan w:val="4"/>
            <w:vAlign w:val="center"/>
          </w:tcPr>
          <w:p w14:paraId="6ACD01FB">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新建年产3万吨无缝钢管生产线项目</w:t>
            </w:r>
          </w:p>
        </w:tc>
      </w:tr>
      <w:tr w14:paraId="518247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77" w:hRule="atLeast"/>
          <w:jc w:val="center"/>
        </w:trPr>
        <w:tc>
          <w:tcPr>
            <w:tcW w:w="1339" w:type="dxa"/>
            <w:gridSpan w:val="3"/>
            <w:tcMar>
              <w:top w:w="16" w:type="dxa"/>
              <w:left w:w="16" w:type="dxa"/>
              <w:right w:w="16" w:type="dxa"/>
            </w:tcMar>
            <w:vAlign w:val="center"/>
          </w:tcPr>
          <w:p w14:paraId="70495EB2">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项目代码</w:t>
            </w:r>
          </w:p>
        </w:tc>
        <w:tc>
          <w:tcPr>
            <w:tcW w:w="6987" w:type="dxa"/>
            <w:gridSpan w:val="4"/>
            <w:vAlign w:val="center"/>
          </w:tcPr>
          <w:p w14:paraId="49C2CEBF">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2206-530423-04-01-231764</w:t>
            </w:r>
          </w:p>
        </w:tc>
      </w:tr>
      <w:tr w14:paraId="2F0EB7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9" w:type="dxa"/>
            <w:gridSpan w:val="3"/>
            <w:tcMar>
              <w:top w:w="16" w:type="dxa"/>
              <w:left w:w="16" w:type="dxa"/>
              <w:right w:w="16" w:type="dxa"/>
            </w:tcMar>
            <w:vAlign w:val="center"/>
          </w:tcPr>
          <w:p w14:paraId="0DFB4332">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建设单位联系人</w:t>
            </w:r>
          </w:p>
        </w:tc>
        <w:tc>
          <w:tcPr>
            <w:tcW w:w="1602" w:type="dxa"/>
            <w:vAlign w:val="center"/>
          </w:tcPr>
          <w:p w14:paraId="7B4D8EC8">
            <w:pPr>
              <w:autoSpaceDE w:val="0"/>
              <w:autoSpaceDN w:val="0"/>
              <w:adjustRightInd w:val="0"/>
              <w:snapToGrid w:val="0"/>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徐明俊</w:t>
            </w:r>
          </w:p>
        </w:tc>
        <w:tc>
          <w:tcPr>
            <w:tcW w:w="2038" w:type="dxa"/>
            <w:vAlign w:val="center"/>
          </w:tcPr>
          <w:p w14:paraId="696B82A5">
            <w:pPr>
              <w:autoSpaceDE w:val="0"/>
              <w:autoSpaceDN w:val="0"/>
              <w:adjustRightInd w:val="0"/>
              <w:snapToGrid w:val="0"/>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联系方式</w:t>
            </w:r>
          </w:p>
        </w:tc>
        <w:tc>
          <w:tcPr>
            <w:tcW w:w="3347" w:type="dxa"/>
            <w:gridSpan w:val="2"/>
            <w:vAlign w:val="center"/>
          </w:tcPr>
          <w:p w14:paraId="5C7FD4AC">
            <w:pPr>
              <w:autoSpaceDE w:val="0"/>
              <w:autoSpaceDN w:val="0"/>
              <w:adjustRightInd w:val="0"/>
              <w:snapToGrid w:val="0"/>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13708678333</w:t>
            </w:r>
          </w:p>
        </w:tc>
      </w:tr>
      <w:tr w14:paraId="4F442C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1" w:hRule="atLeast"/>
          <w:jc w:val="center"/>
        </w:trPr>
        <w:tc>
          <w:tcPr>
            <w:tcW w:w="1339" w:type="dxa"/>
            <w:gridSpan w:val="3"/>
            <w:tcMar>
              <w:top w:w="16" w:type="dxa"/>
              <w:left w:w="16" w:type="dxa"/>
              <w:right w:w="16" w:type="dxa"/>
            </w:tcMar>
            <w:vAlign w:val="center"/>
          </w:tcPr>
          <w:p w14:paraId="629FD4D8">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建设地点</w:t>
            </w:r>
          </w:p>
        </w:tc>
        <w:tc>
          <w:tcPr>
            <w:tcW w:w="6987" w:type="dxa"/>
            <w:gridSpan w:val="4"/>
            <w:vAlign w:val="center"/>
          </w:tcPr>
          <w:p w14:paraId="28B5532A">
            <w:pPr>
              <w:autoSpaceDE w:val="0"/>
              <w:autoSpaceDN w:val="0"/>
              <w:adjustRightInd w:val="0"/>
              <w:snapToGrid w:val="0"/>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u w:val="single"/>
              </w:rPr>
              <w:t>云南</w:t>
            </w:r>
            <w:r>
              <w:rPr>
                <w:rFonts w:hint="default" w:ascii="Times New Roman" w:hAnsi="Times New Roman" w:cs="Times New Roman"/>
                <w:color w:val="auto"/>
                <w:sz w:val="24"/>
              </w:rPr>
              <w:t>省（自治区）</w:t>
            </w:r>
            <w:r>
              <w:rPr>
                <w:rFonts w:hint="default" w:ascii="Times New Roman" w:hAnsi="Times New Roman" w:cs="Times New Roman"/>
                <w:color w:val="auto"/>
                <w:sz w:val="24"/>
                <w:u w:val="single"/>
              </w:rPr>
              <w:t>玉溪</w:t>
            </w:r>
            <w:r>
              <w:rPr>
                <w:rFonts w:hint="default" w:ascii="Times New Roman" w:hAnsi="Times New Roman" w:cs="Times New Roman"/>
                <w:color w:val="auto"/>
                <w:sz w:val="24"/>
              </w:rPr>
              <w:t>市</w:t>
            </w:r>
            <w:r>
              <w:rPr>
                <w:rFonts w:hint="default" w:ascii="Times New Roman" w:hAnsi="Times New Roman" w:cs="Times New Roman"/>
                <w:color w:val="auto"/>
                <w:sz w:val="24"/>
                <w:u w:val="single"/>
              </w:rPr>
              <w:t>通海</w:t>
            </w:r>
            <w:r>
              <w:rPr>
                <w:rFonts w:hint="default" w:ascii="Times New Roman" w:hAnsi="Times New Roman" w:cs="Times New Roman"/>
                <w:color w:val="auto"/>
                <w:sz w:val="24"/>
              </w:rPr>
              <w:t>县（区）</w:t>
            </w:r>
            <w:r>
              <w:rPr>
                <w:rFonts w:hint="default" w:ascii="Times New Roman" w:hAnsi="Times New Roman" w:cs="Times New Roman"/>
                <w:color w:val="auto"/>
                <w:sz w:val="24"/>
                <w:u w:val="single"/>
              </w:rPr>
              <w:t xml:space="preserve"> / </w:t>
            </w:r>
            <w:r>
              <w:rPr>
                <w:rFonts w:hint="default" w:ascii="Times New Roman" w:hAnsi="Times New Roman" w:cs="Times New Roman"/>
                <w:color w:val="auto"/>
                <w:sz w:val="24"/>
              </w:rPr>
              <w:t>镇（街道）</w:t>
            </w:r>
            <w:bookmarkStart w:id="9" w:name="_Hlk220319425"/>
            <w:r>
              <w:rPr>
                <w:rFonts w:hint="default" w:ascii="Times New Roman" w:hAnsi="Times New Roman" w:cs="Times New Roman"/>
                <w:color w:val="auto"/>
                <w:sz w:val="24"/>
                <w:u w:val="single"/>
              </w:rPr>
              <w:t>云南通海产业园区里山片区</w:t>
            </w:r>
            <w:bookmarkEnd w:id="9"/>
            <w:r>
              <w:rPr>
                <w:rFonts w:hint="default" w:ascii="Times New Roman" w:hAnsi="Times New Roman" w:cs="Times New Roman"/>
                <w:color w:val="auto"/>
                <w:sz w:val="24"/>
              </w:rPr>
              <w:t>（具体地址）</w:t>
            </w:r>
          </w:p>
        </w:tc>
      </w:tr>
      <w:tr w14:paraId="468EEB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1339" w:type="dxa"/>
            <w:gridSpan w:val="3"/>
            <w:tcMar>
              <w:top w:w="16" w:type="dxa"/>
              <w:left w:w="16" w:type="dxa"/>
              <w:right w:w="16" w:type="dxa"/>
            </w:tcMar>
            <w:vAlign w:val="center"/>
          </w:tcPr>
          <w:p w14:paraId="057C628F">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地理坐标</w:t>
            </w:r>
          </w:p>
        </w:tc>
        <w:tc>
          <w:tcPr>
            <w:tcW w:w="6987" w:type="dxa"/>
            <w:gridSpan w:val="4"/>
            <w:vAlign w:val="center"/>
          </w:tcPr>
          <w:p w14:paraId="0FDDAEFD">
            <w:pPr>
              <w:pStyle w:val="18"/>
              <w:rPr>
                <w:rFonts w:hint="default" w:ascii="Times New Roman" w:hAnsi="Times New Roman" w:cs="Times New Roman"/>
                <w:color w:val="auto"/>
                <w:sz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rPr>
              <w:t>东经：</w:t>
            </w:r>
            <w:r>
              <w:rPr>
                <w:rFonts w:hint="default" w:ascii="Times New Roman" w:hAnsi="Times New Roman" w:cs="Times New Roman"/>
                <w:color w:val="auto"/>
                <w:sz w:val="24"/>
                <w:u w:val="single"/>
              </w:rPr>
              <w:t>102</w:t>
            </w:r>
            <w:r>
              <w:rPr>
                <w:rFonts w:hint="default" w:ascii="Times New Roman" w:hAnsi="Times New Roman" w:cs="Times New Roman"/>
                <w:color w:val="auto"/>
                <w:sz w:val="24"/>
                <w:szCs w:val="24"/>
              </w:rPr>
              <w:t>度</w:t>
            </w:r>
            <w:r>
              <w:rPr>
                <w:rFonts w:hint="default" w:ascii="Times New Roman" w:hAnsi="Times New Roman" w:cs="Times New Roman"/>
                <w:color w:val="auto"/>
                <w:sz w:val="24"/>
                <w:u w:val="single"/>
              </w:rPr>
              <w:t>46</w:t>
            </w:r>
            <w:r>
              <w:rPr>
                <w:rFonts w:hint="default" w:ascii="Times New Roman" w:hAnsi="Times New Roman" w:cs="Times New Roman"/>
                <w:color w:val="auto"/>
                <w:sz w:val="24"/>
                <w:szCs w:val="24"/>
              </w:rPr>
              <w:t>分</w:t>
            </w:r>
            <w:r>
              <w:rPr>
                <w:rFonts w:hint="default" w:ascii="Times New Roman" w:hAnsi="Times New Roman" w:cs="Times New Roman"/>
                <w:color w:val="auto"/>
                <w:sz w:val="24"/>
                <w:u w:val="single"/>
              </w:rPr>
              <w:t>44.540</w:t>
            </w:r>
            <w:r>
              <w:rPr>
                <w:rFonts w:hint="default" w:ascii="Times New Roman" w:hAnsi="Times New Roman" w:cs="Times New Roman"/>
                <w:color w:val="auto"/>
                <w:sz w:val="24"/>
                <w:szCs w:val="24"/>
              </w:rPr>
              <w:t>秒，</w:t>
            </w:r>
            <w:r>
              <w:rPr>
                <w:rFonts w:hint="default" w:ascii="Times New Roman" w:hAnsi="Times New Roman" w:cs="Times New Roman"/>
                <w:color w:val="auto"/>
                <w:sz w:val="24"/>
              </w:rPr>
              <w:t>北纬：</w:t>
            </w:r>
            <w:r>
              <w:rPr>
                <w:rFonts w:hint="default" w:ascii="Times New Roman" w:hAnsi="Times New Roman" w:cs="Times New Roman"/>
                <w:color w:val="auto"/>
                <w:sz w:val="24"/>
                <w:u w:val="single"/>
              </w:rPr>
              <w:t>24</w:t>
            </w:r>
            <w:r>
              <w:rPr>
                <w:rFonts w:hint="default" w:ascii="Times New Roman" w:hAnsi="Times New Roman" w:cs="Times New Roman"/>
                <w:color w:val="auto"/>
                <w:sz w:val="24"/>
                <w:szCs w:val="24"/>
              </w:rPr>
              <w:t>度</w:t>
            </w:r>
            <w:r>
              <w:rPr>
                <w:rFonts w:hint="default" w:ascii="Times New Roman" w:hAnsi="Times New Roman" w:cs="Times New Roman"/>
                <w:color w:val="auto"/>
                <w:sz w:val="24"/>
                <w:u w:val="single"/>
              </w:rPr>
              <w:t>5</w:t>
            </w:r>
            <w:r>
              <w:rPr>
                <w:rFonts w:hint="default" w:ascii="Times New Roman" w:hAnsi="Times New Roman" w:cs="Times New Roman"/>
                <w:color w:val="auto"/>
                <w:sz w:val="24"/>
                <w:szCs w:val="24"/>
              </w:rPr>
              <w:t>分</w:t>
            </w:r>
            <w:r>
              <w:rPr>
                <w:rFonts w:hint="default" w:ascii="Times New Roman" w:hAnsi="Times New Roman" w:cs="Times New Roman"/>
                <w:color w:val="auto"/>
                <w:sz w:val="24"/>
                <w:u w:val="single"/>
              </w:rPr>
              <w:t>25.491</w:t>
            </w:r>
            <w:r>
              <w:rPr>
                <w:rFonts w:hint="default" w:ascii="Times New Roman" w:hAnsi="Times New Roman" w:cs="Times New Roman"/>
                <w:color w:val="auto"/>
                <w:sz w:val="24"/>
                <w:szCs w:val="24"/>
              </w:rPr>
              <w:t>秒）</w:t>
            </w:r>
          </w:p>
        </w:tc>
      </w:tr>
      <w:tr w14:paraId="297C20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9" w:type="dxa"/>
            <w:gridSpan w:val="3"/>
            <w:tcMar>
              <w:top w:w="16" w:type="dxa"/>
              <w:left w:w="16" w:type="dxa"/>
              <w:right w:w="16" w:type="dxa"/>
            </w:tcMar>
            <w:vAlign w:val="center"/>
          </w:tcPr>
          <w:p w14:paraId="73F6849A">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国民经济行业类别</w:t>
            </w:r>
          </w:p>
        </w:tc>
        <w:tc>
          <w:tcPr>
            <w:tcW w:w="1602" w:type="dxa"/>
            <w:vAlign w:val="center"/>
          </w:tcPr>
          <w:p w14:paraId="534A0B12">
            <w:pPr>
              <w:autoSpaceDE w:val="0"/>
              <w:autoSpaceDN w:val="0"/>
              <w:adjustRightInd w:val="0"/>
              <w:snapToGrid w:val="0"/>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C3130钢压延加工</w:t>
            </w:r>
          </w:p>
        </w:tc>
        <w:tc>
          <w:tcPr>
            <w:tcW w:w="2038" w:type="dxa"/>
            <w:vAlign w:val="center"/>
          </w:tcPr>
          <w:p w14:paraId="5A978695">
            <w:pPr>
              <w:autoSpaceDE w:val="0"/>
              <w:autoSpaceDN w:val="0"/>
              <w:adjustRightInd w:val="0"/>
              <w:snapToGrid w:val="0"/>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建设项目行业类别</w:t>
            </w:r>
          </w:p>
        </w:tc>
        <w:tc>
          <w:tcPr>
            <w:tcW w:w="3347" w:type="dxa"/>
            <w:gridSpan w:val="2"/>
            <w:vAlign w:val="center"/>
          </w:tcPr>
          <w:p w14:paraId="0212E231">
            <w:pPr>
              <w:autoSpaceDE w:val="0"/>
              <w:autoSpaceDN w:val="0"/>
              <w:adjustRightInd w:val="0"/>
              <w:snapToGrid w:val="0"/>
              <w:spacing w:line="400" w:lineRule="exact"/>
              <w:jc w:val="center"/>
              <w:rPr>
                <w:rFonts w:hint="default" w:ascii="Times New Roman" w:hAnsi="Times New Roman" w:cs="Times New Roman"/>
                <w:color w:val="auto"/>
              </w:rPr>
            </w:pPr>
            <w:r>
              <w:rPr>
                <w:rFonts w:hint="default" w:ascii="Times New Roman" w:hAnsi="Times New Roman" w:cs="Times New Roman"/>
                <w:color w:val="auto"/>
                <w:sz w:val="24"/>
              </w:rPr>
              <w:t>二十八、黑色金属冶炼和压延加工业31—钢压延加工313—其他</w:t>
            </w:r>
          </w:p>
        </w:tc>
      </w:tr>
      <w:tr w14:paraId="517C34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26" w:hRule="atLeast"/>
          <w:jc w:val="center"/>
        </w:trPr>
        <w:tc>
          <w:tcPr>
            <w:tcW w:w="1339" w:type="dxa"/>
            <w:gridSpan w:val="3"/>
            <w:tcMar>
              <w:top w:w="16" w:type="dxa"/>
              <w:left w:w="16" w:type="dxa"/>
              <w:right w:w="16" w:type="dxa"/>
            </w:tcMar>
            <w:vAlign w:val="center"/>
          </w:tcPr>
          <w:p w14:paraId="19E5AF86">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建设性质</w:t>
            </w:r>
          </w:p>
        </w:tc>
        <w:tc>
          <w:tcPr>
            <w:tcW w:w="1602" w:type="dxa"/>
            <w:vAlign w:val="center"/>
          </w:tcPr>
          <w:p w14:paraId="1B8B5F47">
            <w:pPr>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新建（迁建）</w:t>
            </w:r>
          </w:p>
          <w:p w14:paraId="4CD2F817">
            <w:pPr>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改建</w:t>
            </w:r>
          </w:p>
          <w:p w14:paraId="54846744">
            <w:pPr>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扩建</w:t>
            </w:r>
          </w:p>
          <w:p w14:paraId="767A7E88">
            <w:pPr>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技术改造</w:t>
            </w:r>
          </w:p>
        </w:tc>
        <w:tc>
          <w:tcPr>
            <w:tcW w:w="2038" w:type="dxa"/>
            <w:vAlign w:val="center"/>
          </w:tcPr>
          <w:p w14:paraId="545517A6">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建设项目申报情形</w:t>
            </w:r>
          </w:p>
        </w:tc>
        <w:tc>
          <w:tcPr>
            <w:tcW w:w="3347" w:type="dxa"/>
            <w:gridSpan w:val="2"/>
            <w:vAlign w:val="center"/>
          </w:tcPr>
          <w:p w14:paraId="5F79190A">
            <w:pPr>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首次申报项目</w:t>
            </w:r>
          </w:p>
          <w:p w14:paraId="43C27763">
            <w:pPr>
              <w:ind w:left="240" w:hanging="240" w:hangingChars="100"/>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不予批准后再次申报项目</w:t>
            </w:r>
          </w:p>
          <w:p w14:paraId="166AFA3E">
            <w:pPr>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超五年重新审核项目</w:t>
            </w:r>
          </w:p>
          <w:p w14:paraId="210ED7DE">
            <w:pPr>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重大变动重新报批项目</w:t>
            </w:r>
          </w:p>
        </w:tc>
      </w:tr>
      <w:tr w14:paraId="6BC52A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56" w:hRule="atLeast"/>
          <w:jc w:val="center"/>
        </w:trPr>
        <w:tc>
          <w:tcPr>
            <w:tcW w:w="1339" w:type="dxa"/>
            <w:gridSpan w:val="3"/>
            <w:tcMar>
              <w:top w:w="16" w:type="dxa"/>
              <w:left w:w="16" w:type="dxa"/>
              <w:right w:w="16" w:type="dxa"/>
            </w:tcMar>
            <w:vAlign w:val="center"/>
          </w:tcPr>
          <w:p w14:paraId="24E74B65">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w:t>
            </w:r>
          </w:p>
          <w:p w14:paraId="584430E4">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备案）部门（选填）</w:t>
            </w:r>
          </w:p>
        </w:tc>
        <w:tc>
          <w:tcPr>
            <w:tcW w:w="1602" w:type="dxa"/>
            <w:vAlign w:val="center"/>
          </w:tcPr>
          <w:p w14:paraId="4B147471">
            <w:pPr>
              <w:autoSpaceDE w:val="0"/>
              <w:autoSpaceDN w:val="0"/>
              <w:adjustRightInd w:val="0"/>
              <w:snapToGrid w:val="0"/>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通海县发展和改革局</w:t>
            </w:r>
          </w:p>
        </w:tc>
        <w:tc>
          <w:tcPr>
            <w:tcW w:w="2038" w:type="dxa"/>
            <w:vAlign w:val="center"/>
          </w:tcPr>
          <w:p w14:paraId="6AC3F62E">
            <w:pPr>
              <w:autoSpaceDE w:val="0"/>
              <w:autoSpaceDN w:val="0"/>
              <w:adjustRightInd w:val="0"/>
              <w:snapToGrid w:val="0"/>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项目审批（核准/备案）文号（选填）</w:t>
            </w:r>
          </w:p>
        </w:tc>
        <w:tc>
          <w:tcPr>
            <w:tcW w:w="3347" w:type="dxa"/>
            <w:gridSpan w:val="2"/>
            <w:vAlign w:val="center"/>
          </w:tcPr>
          <w:p w14:paraId="7AC82876">
            <w:pPr>
              <w:autoSpaceDE w:val="0"/>
              <w:autoSpaceDN w:val="0"/>
              <w:adjustRightInd w:val="0"/>
              <w:snapToGrid w:val="0"/>
              <w:spacing w:line="400" w:lineRule="exact"/>
              <w:jc w:val="center"/>
              <w:rPr>
                <w:rFonts w:hint="default" w:ascii="Times New Roman" w:hAnsi="Times New Roman" w:cs="Times New Roman"/>
                <w:color w:val="auto"/>
                <w:sz w:val="24"/>
              </w:rPr>
            </w:pPr>
            <w:bookmarkStart w:id="10" w:name="_Hlk220319412"/>
            <w:r>
              <w:rPr>
                <w:rFonts w:hint="default" w:ascii="Times New Roman" w:hAnsi="Times New Roman" w:cs="Times New Roman"/>
                <w:color w:val="auto"/>
                <w:sz w:val="24"/>
              </w:rPr>
              <w:t>2206-530423-04-01-231764</w:t>
            </w:r>
            <w:bookmarkEnd w:id="10"/>
          </w:p>
        </w:tc>
      </w:tr>
      <w:tr w14:paraId="6DA1E2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339" w:type="dxa"/>
            <w:gridSpan w:val="3"/>
            <w:tcMar>
              <w:top w:w="16" w:type="dxa"/>
              <w:left w:w="16" w:type="dxa"/>
              <w:right w:w="16" w:type="dxa"/>
            </w:tcMar>
            <w:vAlign w:val="center"/>
          </w:tcPr>
          <w:p w14:paraId="05F5D546">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总投资（万元）</w:t>
            </w:r>
          </w:p>
        </w:tc>
        <w:tc>
          <w:tcPr>
            <w:tcW w:w="1602" w:type="dxa"/>
            <w:vAlign w:val="center"/>
          </w:tcPr>
          <w:p w14:paraId="4303A28A">
            <w:pPr>
              <w:autoSpaceDE w:val="0"/>
              <w:autoSpaceDN w:val="0"/>
              <w:adjustRightInd w:val="0"/>
              <w:snapToGrid w:val="0"/>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300</w:t>
            </w:r>
          </w:p>
        </w:tc>
        <w:tc>
          <w:tcPr>
            <w:tcW w:w="2038" w:type="dxa"/>
            <w:tcMar>
              <w:top w:w="16" w:type="dxa"/>
              <w:left w:w="16" w:type="dxa"/>
              <w:right w:w="16" w:type="dxa"/>
            </w:tcMar>
            <w:vAlign w:val="center"/>
          </w:tcPr>
          <w:p w14:paraId="7D7F663D">
            <w:pPr>
              <w:autoSpaceDE w:val="0"/>
              <w:autoSpaceDN w:val="0"/>
              <w:adjustRightInd w:val="0"/>
              <w:snapToGrid w:val="0"/>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环保投资（万元）</w:t>
            </w:r>
          </w:p>
        </w:tc>
        <w:tc>
          <w:tcPr>
            <w:tcW w:w="3347" w:type="dxa"/>
            <w:gridSpan w:val="2"/>
            <w:vAlign w:val="center"/>
          </w:tcPr>
          <w:p w14:paraId="1B8237C3">
            <w:pPr>
              <w:autoSpaceDE w:val="0"/>
              <w:autoSpaceDN w:val="0"/>
              <w:adjustRightInd w:val="0"/>
              <w:snapToGrid w:val="0"/>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28.5</w:t>
            </w:r>
          </w:p>
        </w:tc>
      </w:tr>
      <w:tr w14:paraId="45E1DB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72" w:type="dxa"/>
            <w:gridSpan w:val="2"/>
            <w:tcMar>
              <w:top w:w="16" w:type="dxa"/>
              <w:left w:w="16" w:type="dxa"/>
              <w:right w:w="16" w:type="dxa"/>
            </w:tcMar>
            <w:vAlign w:val="center"/>
          </w:tcPr>
          <w:p w14:paraId="767068E4">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环保投资占比（%）</w:t>
            </w:r>
          </w:p>
        </w:tc>
        <w:tc>
          <w:tcPr>
            <w:tcW w:w="1969" w:type="dxa"/>
            <w:gridSpan w:val="2"/>
            <w:vAlign w:val="center"/>
          </w:tcPr>
          <w:p w14:paraId="5174D80E">
            <w:pPr>
              <w:autoSpaceDE w:val="0"/>
              <w:autoSpaceDN w:val="0"/>
              <w:adjustRightInd w:val="0"/>
              <w:snapToGrid w:val="0"/>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9.5</w:t>
            </w:r>
          </w:p>
        </w:tc>
        <w:tc>
          <w:tcPr>
            <w:tcW w:w="3768" w:type="dxa"/>
            <w:gridSpan w:val="2"/>
            <w:tcMar>
              <w:top w:w="16" w:type="dxa"/>
              <w:left w:w="16" w:type="dxa"/>
              <w:right w:w="16" w:type="dxa"/>
            </w:tcMar>
            <w:vAlign w:val="center"/>
          </w:tcPr>
          <w:p w14:paraId="0A917A37">
            <w:pPr>
              <w:autoSpaceDE w:val="0"/>
              <w:autoSpaceDN w:val="0"/>
              <w:adjustRightInd w:val="0"/>
              <w:snapToGrid w:val="0"/>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施工工期</w:t>
            </w:r>
          </w:p>
        </w:tc>
        <w:tc>
          <w:tcPr>
            <w:tcW w:w="1617" w:type="dxa"/>
            <w:vAlign w:val="center"/>
          </w:tcPr>
          <w:p w14:paraId="0A0A3D64">
            <w:pPr>
              <w:autoSpaceDE w:val="0"/>
              <w:autoSpaceDN w:val="0"/>
              <w:adjustRightInd w:val="0"/>
              <w:snapToGrid w:val="0"/>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6个月</w:t>
            </w:r>
          </w:p>
        </w:tc>
      </w:tr>
      <w:tr w14:paraId="0F25FA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72" w:type="dxa"/>
            <w:gridSpan w:val="2"/>
            <w:tcMar>
              <w:top w:w="16" w:type="dxa"/>
              <w:left w:w="16" w:type="dxa"/>
              <w:right w:w="16" w:type="dxa"/>
            </w:tcMar>
            <w:vAlign w:val="center"/>
          </w:tcPr>
          <w:p w14:paraId="04B46399">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是否开工建设</w:t>
            </w:r>
          </w:p>
        </w:tc>
        <w:tc>
          <w:tcPr>
            <w:tcW w:w="4007" w:type="dxa"/>
            <w:gridSpan w:val="3"/>
            <w:vAlign w:val="center"/>
          </w:tcPr>
          <w:p w14:paraId="175D9477">
            <w:pPr>
              <w:autoSpaceDE w:val="0"/>
              <w:autoSpaceDN w:val="0"/>
              <w:adjustRightInd w:val="0"/>
              <w:snapToGrid w:val="0"/>
              <w:spacing w:line="400" w:lineRule="exact"/>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否</w:t>
            </w:r>
          </w:p>
          <w:p w14:paraId="7C154F53">
            <w:pPr>
              <w:autoSpaceDE w:val="0"/>
              <w:autoSpaceDN w:val="0"/>
              <w:adjustRightInd w:val="0"/>
              <w:snapToGrid w:val="0"/>
              <w:spacing w:line="360" w:lineRule="auto"/>
              <w:jc w:val="left"/>
              <w:rPr>
                <w:rFonts w:hint="default" w:ascii="Times New Roman" w:hAnsi="Times New Roman" w:cs="Times New Roman"/>
                <w:color w:val="auto"/>
                <w:sz w:val="24"/>
                <w:u w:val="single"/>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是</w:t>
            </w:r>
            <w:r>
              <w:rPr>
                <w:rFonts w:hint="default" w:ascii="Times New Roman" w:hAnsi="Times New Roman" w:cs="Times New Roman"/>
                <w:color w:val="auto"/>
                <w:szCs w:val="21"/>
                <w:u w:val="single"/>
              </w:rPr>
              <w:t xml:space="preserve"> 项目已于2024年9月开工建设，2025年2月建成，项目建设投产后未进行生产。</w:t>
            </w:r>
            <w:bookmarkStart w:id="11" w:name="_Hlk220319368"/>
            <w:r>
              <w:rPr>
                <w:rFonts w:hint="default" w:ascii="Times New Roman" w:hAnsi="Times New Roman" w:cs="Times New Roman"/>
                <w:color w:val="auto"/>
                <w:szCs w:val="21"/>
                <w:u w:val="single"/>
              </w:rPr>
              <w:t>2025年12月21日，玉溪市生态环境局下发了《行政处罚决定书》，对项目“未批先建”的违法行为进行了处罚，2026年1月5日，建设单位按要求缴纳了罚款。</w:t>
            </w:r>
            <w:bookmarkEnd w:id="11"/>
          </w:p>
        </w:tc>
        <w:tc>
          <w:tcPr>
            <w:tcW w:w="1730" w:type="dxa"/>
            <w:tcMar>
              <w:top w:w="16" w:type="dxa"/>
              <w:left w:w="16" w:type="dxa"/>
              <w:right w:w="16" w:type="dxa"/>
            </w:tcMar>
            <w:vAlign w:val="center"/>
          </w:tcPr>
          <w:p w14:paraId="589128E6">
            <w:pPr>
              <w:autoSpaceDE w:val="0"/>
              <w:autoSpaceDN w:val="0"/>
              <w:adjustRightInd w:val="0"/>
              <w:snapToGrid w:val="0"/>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pacing w:val="-6"/>
                <w:sz w:val="24"/>
              </w:rPr>
              <w:t>用地（用海）面积（m</w:t>
            </w:r>
            <w:r>
              <w:rPr>
                <w:rFonts w:hint="default" w:ascii="Times New Roman" w:hAnsi="Times New Roman" w:cs="Times New Roman"/>
                <w:color w:val="auto"/>
                <w:spacing w:val="-6"/>
                <w:sz w:val="24"/>
                <w:vertAlign w:val="superscript"/>
              </w:rPr>
              <w:t>2</w:t>
            </w:r>
            <w:r>
              <w:rPr>
                <w:rFonts w:hint="default" w:ascii="Times New Roman" w:hAnsi="Times New Roman" w:cs="Times New Roman"/>
                <w:color w:val="auto"/>
                <w:spacing w:val="-6"/>
                <w:sz w:val="24"/>
              </w:rPr>
              <w:t>）</w:t>
            </w:r>
          </w:p>
        </w:tc>
        <w:tc>
          <w:tcPr>
            <w:tcW w:w="1617" w:type="dxa"/>
            <w:vAlign w:val="center"/>
          </w:tcPr>
          <w:p w14:paraId="53DAE23C">
            <w:pPr>
              <w:autoSpaceDE w:val="0"/>
              <w:autoSpaceDN w:val="0"/>
              <w:adjustRightInd w:val="0"/>
              <w:snapToGrid w:val="0"/>
              <w:spacing w:line="40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3500</w:t>
            </w:r>
          </w:p>
        </w:tc>
      </w:tr>
      <w:tr w14:paraId="5F3B39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Align w:val="center"/>
          </w:tcPr>
          <w:p w14:paraId="3EF89D46">
            <w:pPr>
              <w:autoSpaceDE w:val="0"/>
              <w:autoSpaceDN w:val="0"/>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专项评价设置情况</w:t>
            </w:r>
          </w:p>
        </w:tc>
        <w:tc>
          <w:tcPr>
            <w:tcW w:w="7644" w:type="dxa"/>
            <w:gridSpan w:val="6"/>
            <w:vAlign w:val="center"/>
          </w:tcPr>
          <w:p w14:paraId="62B65A7F">
            <w:pPr>
              <w:autoSpaceDE w:val="0"/>
              <w:autoSpaceDN w:val="0"/>
              <w:spacing w:before="120" w:beforeLines="50"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根据《建设项目环境影响报告表编制技术指南  污染影响类》（试行），项目周边不涉及集中式饮用水水源和热水、矿泉水、温泉等特殊地下水资源保护区，因此本项目不设地下水专项评价工作。同时结合《建设项目环境影响报告表编制技术指南（污染影响类）》（试行）中表1确定是否设置项目专项评价。</w:t>
            </w:r>
          </w:p>
          <w:p w14:paraId="08BAB2B3">
            <w:pPr>
              <w:autoSpaceDE w:val="0"/>
              <w:autoSpaceDN w:val="0"/>
              <w:spacing w:line="360" w:lineRule="auto"/>
              <w:jc w:val="center"/>
              <w:rPr>
                <w:rFonts w:hint="default" w:ascii="Times New Roman" w:hAnsi="Times New Roman" w:eastAsia="黑体" w:cs="Times New Roman"/>
                <w:bCs/>
                <w:color w:val="auto"/>
                <w:szCs w:val="21"/>
              </w:rPr>
            </w:pPr>
            <w:r>
              <w:rPr>
                <w:rFonts w:hint="default" w:ascii="Times New Roman" w:hAnsi="Times New Roman" w:eastAsia="黑体" w:cs="Times New Roman"/>
                <w:bCs/>
                <w:color w:val="auto"/>
                <w:szCs w:val="21"/>
              </w:rPr>
              <w:t>表1-1    专项评价设置原则表</w:t>
            </w:r>
          </w:p>
          <w:tbl>
            <w:tblPr>
              <w:tblStyle w:val="3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6"/>
              <w:gridCol w:w="3245"/>
              <w:gridCol w:w="2584"/>
              <w:gridCol w:w="640"/>
            </w:tblGrid>
            <w:tr w14:paraId="66BC1C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pct"/>
                  <w:tcBorders>
                    <w:tl2br w:val="nil"/>
                    <w:tr2bl w:val="nil"/>
                  </w:tcBorders>
                  <w:vAlign w:val="center"/>
                </w:tcPr>
                <w:p w14:paraId="7D663A77">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专项评价的类别</w:t>
                  </w:r>
                </w:p>
              </w:tc>
              <w:tc>
                <w:tcPr>
                  <w:tcW w:w="2185" w:type="pct"/>
                  <w:tcBorders>
                    <w:tl2br w:val="nil"/>
                    <w:tr2bl w:val="nil"/>
                  </w:tcBorders>
                  <w:vAlign w:val="center"/>
                </w:tcPr>
                <w:p w14:paraId="55DDE555">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设置原则</w:t>
                  </w:r>
                </w:p>
              </w:tc>
              <w:tc>
                <w:tcPr>
                  <w:tcW w:w="1740" w:type="pct"/>
                  <w:tcBorders>
                    <w:tl2br w:val="nil"/>
                    <w:tr2bl w:val="nil"/>
                  </w:tcBorders>
                  <w:vAlign w:val="center"/>
                </w:tcPr>
                <w:p w14:paraId="3CB3E2B1">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本项目情况</w:t>
                  </w:r>
                </w:p>
              </w:tc>
              <w:tc>
                <w:tcPr>
                  <w:tcW w:w="429" w:type="pct"/>
                  <w:tcBorders>
                    <w:tl2br w:val="nil"/>
                    <w:tr2bl w:val="nil"/>
                  </w:tcBorders>
                  <w:vAlign w:val="center"/>
                </w:tcPr>
                <w:p w14:paraId="5C0C80F5">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设置与否</w:t>
                  </w:r>
                </w:p>
              </w:tc>
            </w:tr>
            <w:tr w14:paraId="315C83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pct"/>
                  <w:tcBorders>
                    <w:tl2br w:val="nil"/>
                    <w:tr2bl w:val="nil"/>
                  </w:tcBorders>
                  <w:vAlign w:val="center"/>
                </w:tcPr>
                <w:p w14:paraId="59B0AB30">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大气</w:t>
                  </w:r>
                </w:p>
              </w:tc>
              <w:tc>
                <w:tcPr>
                  <w:tcW w:w="2185" w:type="pct"/>
                  <w:tcBorders>
                    <w:tl2br w:val="nil"/>
                    <w:tr2bl w:val="nil"/>
                  </w:tcBorders>
                  <w:vAlign w:val="center"/>
                </w:tcPr>
                <w:p w14:paraId="69A440C1">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排放废气中含有有毒有害污染物、二噁英、苯并芘、氰化物、氯气且厂外500m范围内有环境空气保护目标的建设项目。</w:t>
                  </w:r>
                </w:p>
              </w:tc>
              <w:tc>
                <w:tcPr>
                  <w:tcW w:w="1740" w:type="pct"/>
                  <w:tcBorders>
                    <w:tl2br w:val="nil"/>
                    <w:tr2bl w:val="nil"/>
                  </w:tcBorders>
                  <w:vAlign w:val="center"/>
                </w:tcPr>
                <w:p w14:paraId="5D5510AA">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项目厂界外500m范围内没有村庄，且排放的废气中不涉及有毒有害物质，因此不设大气专项评价。</w:t>
                  </w:r>
                </w:p>
              </w:tc>
              <w:tc>
                <w:tcPr>
                  <w:tcW w:w="429" w:type="pct"/>
                  <w:tcBorders>
                    <w:tl2br w:val="nil"/>
                    <w:tr2bl w:val="nil"/>
                  </w:tcBorders>
                  <w:vAlign w:val="center"/>
                </w:tcPr>
                <w:p w14:paraId="236D40D2">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否</w:t>
                  </w:r>
                </w:p>
              </w:tc>
            </w:tr>
            <w:tr w14:paraId="3A818E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pct"/>
                  <w:tcBorders>
                    <w:tl2br w:val="nil"/>
                    <w:tr2bl w:val="nil"/>
                  </w:tcBorders>
                  <w:vAlign w:val="center"/>
                </w:tcPr>
                <w:p w14:paraId="4539C65D">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地表水</w:t>
                  </w:r>
                </w:p>
              </w:tc>
              <w:tc>
                <w:tcPr>
                  <w:tcW w:w="2185" w:type="pct"/>
                  <w:tcBorders>
                    <w:tl2br w:val="nil"/>
                    <w:tr2bl w:val="nil"/>
                  </w:tcBorders>
                  <w:vAlign w:val="center"/>
                </w:tcPr>
                <w:p w14:paraId="547BA4AB">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新增工业废水直排建设项目（槽罐车外运污水处理厂的除外）；新增废水直排的污水集中处理厂</w:t>
                  </w:r>
                </w:p>
              </w:tc>
              <w:tc>
                <w:tcPr>
                  <w:tcW w:w="1740" w:type="pct"/>
                  <w:tcBorders>
                    <w:tl2br w:val="nil"/>
                    <w:tr2bl w:val="nil"/>
                  </w:tcBorders>
                  <w:vAlign w:val="center"/>
                </w:tcPr>
                <w:p w14:paraId="26690785">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本项目生产废水全部回用，不外排。</w:t>
                  </w:r>
                </w:p>
              </w:tc>
              <w:tc>
                <w:tcPr>
                  <w:tcW w:w="429" w:type="pct"/>
                  <w:tcBorders>
                    <w:tl2br w:val="nil"/>
                    <w:tr2bl w:val="nil"/>
                  </w:tcBorders>
                  <w:vAlign w:val="center"/>
                </w:tcPr>
                <w:p w14:paraId="2652332A">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否</w:t>
                  </w:r>
                </w:p>
              </w:tc>
            </w:tr>
            <w:tr w14:paraId="159925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pct"/>
                  <w:tcBorders>
                    <w:tl2br w:val="nil"/>
                    <w:tr2bl w:val="nil"/>
                  </w:tcBorders>
                  <w:vAlign w:val="center"/>
                </w:tcPr>
                <w:p w14:paraId="1741BFF8">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环境风险</w:t>
                  </w:r>
                </w:p>
              </w:tc>
              <w:tc>
                <w:tcPr>
                  <w:tcW w:w="2185" w:type="pct"/>
                  <w:tcBorders>
                    <w:tl2br w:val="nil"/>
                    <w:tr2bl w:val="nil"/>
                  </w:tcBorders>
                  <w:vAlign w:val="center"/>
                </w:tcPr>
                <w:p w14:paraId="506E54CD">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有毒有害和易燃易爆危险物质存储量超过临界量的建设项目</w:t>
                  </w:r>
                </w:p>
              </w:tc>
              <w:tc>
                <w:tcPr>
                  <w:tcW w:w="1740" w:type="pct"/>
                  <w:tcBorders>
                    <w:tl2br w:val="nil"/>
                    <w:tr2bl w:val="nil"/>
                  </w:tcBorders>
                  <w:vAlign w:val="center"/>
                </w:tcPr>
                <w:p w14:paraId="33B80FCB">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本项目厂内的易燃易爆物质不超过临界量。</w:t>
                  </w:r>
                </w:p>
              </w:tc>
              <w:tc>
                <w:tcPr>
                  <w:tcW w:w="429" w:type="pct"/>
                  <w:tcBorders>
                    <w:tl2br w:val="nil"/>
                    <w:tr2bl w:val="nil"/>
                  </w:tcBorders>
                  <w:vAlign w:val="center"/>
                </w:tcPr>
                <w:p w14:paraId="3742B7FD">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否</w:t>
                  </w:r>
                </w:p>
              </w:tc>
            </w:tr>
            <w:tr w14:paraId="5C98ED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pct"/>
                  <w:tcBorders>
                    <w:tl2br w:val="nil"/>
                    <w:tr2bl w:val="nil"/>
                  </w:tcBorders>
                  <w:vAlign w:val="center"/>
                </w:tcPr>
                <w:p w14:paraId="2F34E986">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生态</w:t>
                  </w:r>
                </w:p>
              </w:tc>
              <w:tc>
                <w:tcPr>
                  <w:tcW w:w="2185" w:type="pct"/>
                  <w:tcBorders>
                    <w:tl2br w:val="nil"/>
                    <w:tr2bl w:val="nil"/>
                  </w:tcBorders>
                  <w:vAlign w:val="center"/>
                </w:tcPr>
                <w:p w14:paraId="1BEF84E9">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取水口下游500m范围有重要水生生物的自然产卵场、索饵场、越冬场和洄游通道的新增河道取水的污染类建设项目</w:t>
                  </w:r>
                </w:p>
              </w:tc>
              <w:tc>
                <w:tcPr>
                  <w:tcW w:w="1740" w:type="pct"/>
                  <w:tcBorders>
                    <w:tl2br w:val="nil"/>
                    <w:tr2bl w:val="nil"/>
                  </w:tcBorders>
                  <w:vAlign w:val="center"/>
                </w:tcPr>
                <w:p w14:paraId="4ECAA035">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本项目用水由园区自来水管网供给，不从河道直接取水。</w:t>
                  </w:r>
                </w:p>
              </w:tc>
              <w:tc>
                <w:tcPr>
                  <w:tcW w:w="429" w:type="pct"/>
                  <w:tcBorders>
                    <w:tl2br w:val="nil"/>
                    <w:tr2bl w:val="nil"/>
                  </w:tcBorders>
                  <w:vAlign w:val="center"/>
                </w:tcPr>
                <w:p w14:paraId="4E70E89F">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否</w:t>
                  </w:r>
                </w:p>
              </w:tc>
            </w:tr>
            <w:tr w14:paraId="67EF22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4" w:type="pct"/>
                  <w:tcBorders>
                    <w:tl2br w:val="nil"/>
                    <w:tr2bl w:val="nil"/>
                  </w:tcBorders>
                  <w:vAlign w:val="center"/>
                </w:tcPr>
                <w:p w14:paraId="71E23453">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地下水</w:t>
                  </w:r>
                </w:p>
              </w:tc>
              <w:tc>
                <w:tcPr>
                  <w:tcW w:w="2185" w:type="pct"/>
                  <w:tcBorders>
                    <w:tl2br w:val="nil"/>
                    <w:tr2bl w:val="nil"/>
                  </w:tcBorders>
                  <w:vAlign w:val="center"/>
                </w:tcPr>
                <w:p w14:paraId="0DFE3C62">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涉及集中式饮用水水源和热水、矿泉水、温泉等特殊地下水资源保护区</w:t>
                  </w:r>
                </w:p>
              </w:tc>
              <w:tc>
                <w:tcPr>
                  <w:tcW w:w="1740" w:type="pct"/>
                  <w:tcBorders>
                    <w:tl2br w:val="nil"/>
                    <w:tr2bl w:val="nil"/>
                  </w:tcBorders>
                  <w:vAlign w:val="center"/>
                </w:tcPr>
                <w:p w14:paraId="6D5F2230">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本项目不涉及集中式饮用水水源和热水、矿泉水、温泉等特殊地下水资源保护区。</w:t>
                  </w:r>
                </w:p>
              </w:tc>
              <w:tc>
                <w:tcPr>
                  <w:tcW w:w="429" w:type="pct"/>
                  <w:tcBorders>
                    <w:tl2br w:val="nil"/>
                    <w:tr2bl w:val="nil"/>
                  </w:tcBorders>
                  <w:vAlign w:val="center"/>
                </w:tcPr>
                <w:p w14:paraId="75AF7A2E">
                  <w:pPr>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否</w:t>
                  </w:r>
                </w:p>
              </w:tc>
            </w:tr>
            <w:tr w14:paraId="192E44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Borders>
                    <w:tl2br w:val="nil"/>
                    <w:tr2bl w:val="nil"/>
                  </w:tcBorders>
                  <w:vAlign w:val="center"/>
                </w:tcPr>
                <w:p w14:paraId="5C0CA3EE">
                  <w:pPr>
                    <w:autoSpaceDE w:val="0"/>
                    <w:autoSpaceDN w:val="0"/>
                    <w:adjustRightInd w:val="0"/>
                    <w:snapToGrid w:val="0"/>
                    <w:spacing w:line="276" w:lineRule="auto"/>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注：</w:t>
                  </w:r>
                </w:p>
                <w:p w14:paraId="6BF9CA35">
                  <w:pPr>
                    <w:autoSpaceDE w:val="0"/>
                    <w:autoSpaceDN w:val="0"/>
                    <w:adjustRightInd w:val="0"/>
                    <w:snapToGrid w:val="0"/>
                    <w:spacing w:line="276" w:lineRule="auto"/>
                    <w:ind w:firstLine="360" w:firstLineChars="200"/>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1、废气中有毒有害污染物指纳入《有毒有害大气污染物名录》的污染物（不包括无排放标准的污染物）；</w:t>
                  </w:r>
                </w:p>
                <w:p w14:paraId="68CF50E8">
                  <w:pPr>
                    <w:autoSpaceDE w:val="0"/>
                    <w:autoSpaceDN w:val="0"/>
                    <w:adjustRightInd w:val="0"/>
                    <w:snapToGrid w:val="0"/>
                    <w:spacing w:line="276" w:lineRule="auto"/>
                    <w:ind w:firstLine="360" w:firstLineChars="200"/>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2、环境空气保护目标指自然保护区、风景名胜区、居住区、文化区和农村地区中人群较集中的区域。</w:t>
                  </w:r>
                </w:p>
                <w:p w14:paraId="745FC5A5">
                  <w:pPr>
                    <w:ind w:firstLine="360" w:firstLineChars="200"/>
                    <w:textAlignment w:val="baseline"/>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3、临界量及其计算方法可参照《建设项目环境风险评价技术原则》（HJ169）附录B、附录C。</w:t>
                  </w:r>
                </w:p>
              </w:tc>
            </w:tr>
          </w:tbl>
          <w:p w14:paraId="1F0007E2">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sz w:val="24"/>
              </w:rPr>
              <w:t>综上所述，项目大气、地表水、地下水、土壤、生态、环境风险均不设置专项评价。</w:t>
            </w:r>
          </w:p>
        </w:tc>
      </w:tr>
      <w:tr w14:paraId="6832E9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82" w:type="dxa"/>
            <w:vAlign w:val="center"/>
          </w:tcPr>
          <w:p w14:paraId="7E2818DE">
            <w:pPr>
              <w:autoSpaceDE w:val="0"/>
              <w:autoSpaceDN w:val="0"/>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sz w:val="24"/>
              </w:rPr>
              <w:t>规划情况</w:t>
            </w:r>
          </w:p>
        </w:tc>
        <w:tc>
          <w:tcPr>
            <w:tcW w:w="7644" w:type="dxa"/>
            <w:gridSpan w:val="6"/>
            <w:vAlign w:val="center"/>
          </w:tcPr>
          <w:p w14:paraId="634EFC53">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sz w:val="24"/>
              </w:rPr>
              <w:t>云南通海产业园区管理委员会委托河北城翔市政工程设计院有限公司编制完成了《云南通海产业园区总体规划修编（2021~2035）》。</w:t>
            </w:r>
          </w:p>
        </w:tc>
      </w:tr>
      <w:tr w14:paraId="0A8C4E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82" w:type="dxa"/>
            <w:vAlign w:val="center"/>
          </w:tcPr>
          <w:p w14:paraId="043F20CF">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规划环境影响</w:t>
            </w:r>
          </w:p>
          <w:p w14:paraId="04DA4A71">
            <w:pPr>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sz w:val="24"/>
              </w:rPr>
              <w:t>评价情况</w:t>
            </w:r>
          </w:p>
        </w:tc>
        <w:tc>
          <w:tcPr>
            <w:tcW w:w="7644" w:type="dxa"/>
            <w:gridSpan w:val="6"/>
            <w:vAlign w:val="center"/>
          </w:tcPr>
          <w:p w14:paraId="45668F17">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sz w:val="24"/>
              </w:rPr>
              <w:t>《云南通海产业园区总体规划修编（2021~2035年）环境影响报告书》已于2023年8月10日通过玉溪市生态环境局审查，取得了玉溪市生态环境局“关于《云南通海产业园区总体规划修编（2021~2035年）环境影响报告书》审查意见的函”。</w:t>
            </w:r>
          </w:p>
        </w:tc>
      </w:tr>
      <w:tr w14:paraId="5A85CD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vAlign w:val="center"/>
          </w:tcPr>
          <w:p w14:paraId="43AB9874">
            <w:pPr>
              <w:autoSpaceDE w:val="0"/>
              <w:autoSpaceDN w:val="0"/>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规划及规划环境影响评价符合性分析</w:t>
            </w:r>
          </w:p>
        </w:tc>
        <w:tc>
          <w:tcPr>
            <w:tcW w:w="7644" w:type="dxa"/>
            <w:gridSpan w:val="6"/>
            <w:vAlign w:val="center"/>
          </w:tcPr>
          <w:p w14:paraId="290476D4">
            <w:pPr>
              <w:autoSpaceDE w:val="0"/>
              <w:autoSpaceDN w:val="0"/>
              <w:spacing w:line="360" w:lineRule="auto"/>
              <w:jc w:val="left"/>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1、与产业园区规划的符合性分析</w:t>
            </w:r>
          </w:p>
          <w:p w14:paraId="2B4F70F1">
            <w:pPr>
              <w:adjustRightInd w:val="0"/>
              <w:snapToGrid w:val="0"/>
              <w:spacing w:line="360" w:lineRule="auto"/>
              <w:ind w:firstLine="480" w:firstLineChars="200"/>
              <w:rPr>
                <w:rFonts w:hint="default" w:ascii="Times New Roman" w:hAnsi="Times New Roman" w:cs="Times New Roman"/>
                <w:bCs/>
                <w:color w:val="auto"/>
                <w:sz w:val="24"/>
                <w:lang w:bidi="ar"/>
              </w:rPr>
            </w:pPr>
            <w:r>
              <w:rPr>
                <w:rFonts w:hint="default" w:ascii="Times New Roman" w:hAnsi="Times New Roman" w:cs="Times New Roman"/>
                <w:bCs/>
                <w:color w:val="auto"/>
                <w:sz w:val="24"/>
                <w:lang w:bidi="ar"/>
              </w:rPr>
              <w:t>2020年，省委、省政府发布《中共云南省委云南省人民政府关于印发〈云南省各类开发区优化提升总体方案〉的通知》（云委〔2020〕287号），要求全面深化开发区体制机制改革和政策制度创新，推动开发区深化改革、优化提升、产业集聚和高质量发展。通海五金产业园作为省级开发区保留，</w:t>
            </w:r>
            <w:r>
              <w:rPr>
                <w:rFonts w:hint="default" w:ascii="Times New Roman" w:hAnsi="Times New Roman" w:cs="Times New Roman"/>
                <w:color w:val="auto"/>
                <w:kern w:val="0"/>
                <w:sz w:val="24"/>
                <w:lang w:bidi="ar"/>
              </w:rPr>
              <w:t>优化提升整合后为</w:t>
            </w:r>
            <w:r>
              <w:rPr>
                <w:rFonts w:hint="default" w:ascii="Times New Roman" w:hAnsi="Times New Roman" w:cs="Times New Roman"/>
                <w:color w:val="auto"/>
                <w:sz w:val="24"/>
              </w:rPr>
              <w:t>云南通海产业园区。</w:t>
            </w:r>
          </w:p>
          <w:p w14:paraId="21ACA3CC">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云南通海产业园区管理委员会</w:t>
            </w:r>
            <w:r>
              <w:rPr>
                <w:rFonts w:hint="default" w:ascii="Times New Roman" w:hAnsi="Times New Roman" w:cs="Times New Roman"/>
                <w:bCs/>
                <w:color w:val="auto"/>
                <w:sz w:val="24"/>
              </w:rPr>
              <w:t>委托</w:t>
            </w:r>
            <w:r>
              <w:rPr>
                <w:rFonts w:hint="default" w:ascii="Times New Roman" w:hAnsi="Times New Roman" w:cs="Times New Roman"/>
                <w:color w:val="auto"/>
                <w:sz w:val="24"/>
              </w:rPr>
              <w:t>河北城翔市政工程设计院有限公司</w:t>
            </w:r>
            <w:r>
              <w:rPr>
                <w:rFonts w:hint="default" w:ascii="Times New Roman" w:hAnsi="Times New Roman" w:cs="Times New Roman"/>
                <w:bCs/>
                <w:color w:val="auto"/>
                <w:sz w:val="24"/>
              </w:rPr>
              <w:t>编制完成了</w:t>
            </w:r>
            <w:r>
              <w:rPr>
                <w:rFonts w:hint="default" w:ascii="Times New Roman" w:hAnsi="Times New Roman" w:cs="Times New Roman"/>
                <w:color w:val="auto"/>
                <w:sz w:val="24"/>
              </w:rPr>
              <w:t>《云南通海产业园区总体规划修编（2021~2035）》</w:t>
            </w:r>
            <w:r>
              <w:rPr>
                <w:rFonts w:hint="default" w:ascii="Times New Roman" w:hAnsi="Times New Roman" w:cs="Times New Roman"/>
                <w:bCs/>
                <w:color w:val="auto"/>
                <w:sz w:val="24"/>
              </w:rPr>
              <w:t>。</w:t>
            </w:r>
          </w:p>
          <w:p w14:paraId="77147F34">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修编后园区设置</w:t>
            </w:r>
            <w:r>
              <w:rPr>
                <w:rFonts w:hint="default" w:ascii="Times New Roman" w:hAnsi="Times New Roman" w:cs="Times New Roman"/>
                <w:color w:val="auto"/>
                <w:sz w:val="24"/>
              </w:rPr>
              <w:t>里山片区、芭蕉片区、乌龙潭片区等三</w:t>
            </w:r>
            <w:r>
              <w:rPr>
                <w:rFonts w:hint="default" w:ascii="Times New Roman" w:hAnsi="Times New Roman" w:cs="Times New Roman"/>
                <w:bCs/>
                <w:color w:val="auto"/>
                <w:sz w:val="24"/>
              </w:rPr>
              <w:t>个片区，其中项目所在的</w:t>
            </w:r>
            <w:r>
              <w:rPr>
                <w:rFonts w:hint="default" w:ascii="Times New Roman" w:hAnsi="Times New Roman" w:cs="Times New Roman"/>
                <w:color w:val="auto"/>
                <w:sz w:val="24"/>
              </w:rPr>
              <w:t>里山片区</w:t>
            </w:r>
            <w:r>
              <w:rPr>
                <w:rFonts w:hint="default" w:ascii="Times New Roman" w:hAnsi="Times New Roman" w:cs="Times New Roman"/>
                <w:bCs/>
                <w:color w:val="auto"/>
                <w:sz w:val="24"/>
              </w:rPr>
              <w:t>相关规划如下：</w:t>
            </w:r>
          </w:p>
          <w:p w14:paraId="6860F3A3">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（1）规范范围</w:t>
            </w:r>
          </w:p>
          <w:p w14:paraId="6A6F96E5">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规划总用地面积为940.09hm</w:t>
            </w:r>
            <w:r>
              <w:rPr>
                <w:rFonts w:hint="default" w:ascii="Times New Roman" w:hAnsi="Times New Roman" w:cs="Times New Roman"/>
                <w:color w:val="auto"/>
                <w:sz w:val="24"/>
                <w:vertAlign w:val="superscript"/>
              </w:rPr>
              <w:t>2</w:t>
            </w:r>
            <w:r>
              <w:rPr>
                <w:rFonts w:hint="default" w:ascii="Times New Roman" w:hAnsi="Times New Roman" w:cs="Times New Roman"/>
                <w:bCs/>
                <w:color w:val="auto"/>
                <w:sz w:val="24"/>
              </w:rPr>
              <w:t>。</w:t>
            </w:r>
          </w:p>
          <w:p w14:paraId="55FCB17F">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（2）功能定位：</w:t>
            </w:r>
          </w:p>
          <w:p w14:paraId="5A323AF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里山片区：</w:t>
            </w:r>
            <w:r>
              <w:rPr>
                <w:rFonts w:hint="default" w:ascii="Times New Roman" w:hAnsi="Times New Roman" w:cs="Times New Roman"/>
                <w:color w:val="auto"/>
                <w:sz w:val="24"/>
              </w:rPr>
              <w:t>里山片区以装备制造为主导产业，辅以金属冶炼加工制造、以产品研发和应用技术改造提升彩印包装、稀贵金属产业及其他消费品制造等传统产业，形成云南通海产业园区的核心片区。</w:t>
            </w:r>
          </w:p>
          <w:p w14:paraId="540CE9CD">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项目位于优化提升后的里山片区，项目为无缝钢管生产项目，采用热拔工艺，符合优化提升后园区定位要求。</w:t>
            </w:r>
          </w:p>
          <w:p w14:paraId="0E722FAC">
            <w:pPr>
              <w:autoSpaceDE w:val="0"/>
              <w:autoSpaceDN w:val="0"/>
              <w:adjustRightInd w:val="0"/>
              <w:snapToGrid w:val="0"/>
              <w:spacing w:line="360" w:lineRule="auto"/>
              <w:jc w:val="left"/>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rPr>
              <w:t>2、与规划环评及审查意见的符合性分析</w:t>
            </w:r>
          </w:p>
          <w:p w14:paraId="4D9B96ED">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云南通海产业园区总体规划修编（2021-2035年）环境影响报告书》已于2023年8月10日通过玉溪市生态环境局审查，取得了玉溪市生态环境局“关于《云南通海产业园区总体规划修编（2021-2035年）环境影响报告书》审查意见的函”。</w:t>
            </w:r>
          </w:p>
          <w:p w14:paraId="64F9D9D6">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本项目与产业园区规划环评审查意见的相符性分析详见下表：</w:t>
            </w:r>
          </w:p>
          <w:p w14:paraId="6026DB7B">
            <w:pPr>
              <w:pStyle w:val="18"/>
              <w:spacing w:line="360" w:lineRule="auto"/>
              <w:jc w:val="center"/>
              <w:rPr>
                <w:rFonts w:hint="default" w:ascii="Times New Roman" w:hAnsi="Times New Roman" w:eastAsia="黑体" w:cs="Times New Roman"/>
                <w:color w:val="auto"/>
                <w:sz w:val="21"/>
              </w:rPr>
            </w:pPr>
            <w:r>
              <w:rPr>
                <w:rFonts w:hint="default" w:ascii="Times New Roman" w:hAnsi="Times New Roman" w:eastAsia="黑体" w:cs="Times New Roman"/>
                <w:color w:val="auto"/>
                <w:sz w:val="21"/>
              </w:rPr>
              <w:t>表1-2   项目与产业园区规划环评审查意见相符性一览表</w:t>
            </w:r>
          </w:p>
          <w:tbl>
            <w:tblPr>
              <w:tblStyle w:val="36"/>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2179"/>
              <w:gridCol w:w="732"/>
            </w:tblGrid>
            <w:tr w14:paraId="582180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0" w:type="pct"/>
                  <w:tcBorders>
                    <w:tl2br w:val="nil"/>
                    <w:tr2bl w:val="nil"/>
                  </w:tcBorders>
                  <w:vAlign w:val="center"/>
                </w:tcPr>
                <w:p w14:paraId="4DBED75F">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环评及其审查意见提出的环保要求</w:t>
                  </w:r>
                </w:p>
              </w:tc>
              <w:tc>
                <w:tcPr>
                  <w:tcW w:w="1467" w:type="pct"/>
                  <w:tcBorders>
                    <w:tl2br w:val="nil"/>
                    <w:tr2bl w:val="nil"/>
                  </w:tcBorders>
                  <w:vAlign w:val="center"/>
                </w:tcPr>
                <w:p w14:paraId="2D59419D">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本项目</w:t>
                  </w:r>
                </w:p>
              </w:tc>
              <w:tc>
                <w:tcPr>
                  <w:tcW w:w="492" w:type="pct"/>
                  <w:tcBorders>
                    <w:tl2br w:val="nil"/>
                    <w:tr2bl w:val="nil"/>
                  </w:tcBorders>
                  <w:vAlign w:val="center"/>
                </w:tcPr>
                <w:p w14:paraId="5436DF4D">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相符性</w:t>
                  </w:r>
                </w:p>
              </w:tc>
            </w:tr>
            <w:tr w14:paraId="5815F2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0" w:type="pct"/>
                  <w:tcBorders>
                    <w:tl2br w:val="nil"/>
                    <w:tr2bl w:val="nil"/>
                  </w:tcBorders>
                  <w:vAlign w:val="center"/>
                </w:tcPr>
                <w:p w14:paraId="18577E5C">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园区周边分布有秀山自然保护区等敏感区，区域生态环境敏感，周边纳污水体里山大沟、库南河、曲江水质均存在不同程度超标，水环境风险隐患大，对园区废水外排形成重大制约；规划区内分布有居民区，存在布局性环境风险。园区的芭蕉片区位于通海县柿花树集中式饮用水源地下水补给区，并属于岩溶发育区，地下水环境十分敏感。《规划》实施过程中应重点关注、解决好以上问题，根据《报告书》和审查意见进一步优化《规划》方案，强化各项环境保护对策与措施的落实，有效预防或减缓《规划》实施可能带来的不良环境影响。</w:t>
                  </w:r>
                </w:p>
              </w:tc>
              <w:tc>
                <w:tcPr>
                  <w:tcW w:w="1467" w:type="pct"/>
                  <w:tcBorders>
                    <w:tl2br w:val="nil"/>
                    <w:tr2bl w:val="nil"/>
                  </w:tcBorders>
                  <w:vAlign w:val="center"/>
                </w:tcPr>
                <w:p w14:paraId="6F975E3E">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本项目产生的生产废水循环回用，不外排，生活污水经化粪池预处理后进入里山片区污水处理厂，对地表水环境影响小。</w:t>
                  </w:r>
                </w:p>
                <w:p w14:paraId="1D077406">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项目采用电为能源，产生的废气污染物主要为少量粉尘，对周围环境影响较小。</w:t>
                  </w:r>
                </w:p>
                <w:p w14:paraId="41FADBA0">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项目位于里山片区，场地及其附近无大面积软土、冲沟、滑坡、泥石流、岩溶、地下采空区等不良地质作用存在，场地现状较稳定。</w:t>
                  </w:r>
                </w:p>
              </w:tc>
              <w:tc>
                <w:tcPr>
                  <w:tcW w:w="492" w:type="pct"/>
                  <w:tcBorders>
                    <w:tl2br w:val="nil"/>
                    <w:tr2bl w:val="nil"/>
                  </w:tcBorders>
                  <w:vAlign w:val="center"/>
                </w:tcPr>
                <w:p w14:paraId="4FC873F9">
                  <w:pPr>
                    <w:pStyle w:val="18"/>
                    <w:adjustRightInd w:val="0"/>
                    <w:snapToGrid w:val="0"/>
                    <w:spacing w:line="240" w:lineRule="auto"/>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符合</w:t>
                  </w:r>
                </w:p>
              </w:tc>
            </w:tr>
            <w:tr w14:paraId="19D02D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0" w:type="pct"/>
                  <w:tcBorders>
                    <w:tl2br w:val="nil"/>
                    <w:tr2bl w:val="nil"/>
                  </w:tcBorders>
                  <w:vAlign w:val="center"/>
                </w:tcPr>
                <w:p w14:paraId="5CF380FD">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按照《国务院关于印发2030年前碳达峰行动方案的通知》（国发〔2021〕23号）要求，园区应该大力发展战略性新兴产业，加快传统产业绿色低碳改造。园区钢铁、水泥等产业严格执行产能置换，严禁新增产能。</w:t>
                  </w:r>
                </w:p>
                <w:p w14:paraId="04A84075">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进一步优化产业布局，引导“两高”产业向下游产业链转移，促进园区向绿色低碳方向发展。现有“两高”企业应从原燃料清洁替代、节能降耗技术、余热余能利用、清洁运输方式等方面提出针对性的降碳措施与污染控制要求。</w:t>
                  </w:r>
                </w:p>
                <w:p w14:paraId="45BD741D">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（3）本次评价建议片区内现有村庄逐步搬迁，降低片区发展对其产生的影响。</w:t>
                  </w:r>
                </w:p>
                <w:p w14:paraId="101C4B70">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由于现阶段正在划定通海县集中式饮用水源--隧道井保护区范围，本次评价要求园区管委会实时关注其划定保护范围，若涉及芭蕉片区规划范围即对根据保护区范围对芭蕉片区范围进行调整，同时要求保护区范围内现有企业维持现状发展，适时搬迁。</w:t>
                  </w:r>
                </w:p>
              </w:tc>
              <w:tc>
                <w:tcPr>
                  <w:tcW w:w="1467" w:type="pct"/>
                  <w:tcBorders>
                    <w:tl2br w:val="nil"/>
                    <w:tr2bl w:val="nil"/>
                  </w:tcBorders>
                  <w:vAlign w:val="center"/>
                </w:tcPr>
                <w:p w14:paraId="2886C56E">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项目位于里山片区，本项目在现有场地内进行建设，且项目为无缝钢管建设项目，采用热拔生产工艺，不涉及新增产能。</w:t>
                  </w:r>
                </w:p>
              </w:tc>
              <w:tc>
                <w:tcPr>
                  <w:tcW w:w="492" w:type="pct"/>
                  <w:tcBorders>
                    <w:tl2br w:val="nil"/>
                    <w:tr2bl w:val="nil"/>
                  </w:tcBorders>
                  <w:vAlign w:val="center"/>
                </w:tcPr>
                <w:p w14:paraId="5550DA36">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4A08A3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0" w:type="pct"/>
                  <w:tcBorders>
                    <w:tl2br w:val="nil"/>
                    <w:tr2bl w:val="nil"/>
                  </w:tcBorders>
                  <w:vAlign w:val="center"/>
                </w:tcPr>
                <w:p w14:paraId="627C9F33">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（1）《云南通海产业园区总体规划修编（2021~2035）》中乌龙潭片区规划布设消费品制造和食品加工2种产业，为充分保障食品生产卫生，</w:t>
                  </w:r>
                  <w:r>
                    <w:rPr>
                      <w:rFonts w:hint="default" w:ascii="Times New Roman" w:hAnsi="Times New Roman" w:cs="Times New Roman"/>
                      <w:color w:val="auto"/>
                      <w:kern w:val="0"/>
                      <w:sz w:val="18"/>
                      <w:szCs w:val="18"/>
                    </w:rPr>
                    <w:t>本次评价建议通海产业园区将消费品制造产业集中布置于里山片区消费品制造组团。</w:t>
                  </w:r>
                </w:p>
                <w:p w14:paraId="61F4438A">
                  <w:pPr>
                    <w:adjustRightInd w:val="0"/>
                    <w:snapToGrid w:val="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新建“两高”项目应按照《关于加强重点行业建设项目区域削减措施监督管理的通知》要求，依据区域环境质量改善目标，制定配套区域污染物削减方案，采取有效的污染物区域削减措施，腾出足够的环境容量。新建、扩建（转型升级）的“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两高”项目鼓励使用清洁燃料。</w:t>
                  </w:r>
                </w:p>
              </w:tc>
              <w:tc>
                <w:tcPr>
                  <w:tcW w:w="1467" w:type="pct"/>
                  <w:tcBorders>
                    <w:tl2br w:val="nil"/>
                    <w:tr2bl w:val="nil"/>
                  </w:tcBorders>
                  <w:vAlign w:val="center"/>
                </w:tcPr>
                <w:p w14:paraId="72CFE111">
                  <w:pPr>
                    <w:adjustRightInd w:val="0"/>
                    <w:snapToGrid w:val="0"/>
                    <w:jc w:val="left"/>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项目位于里山片区，使用电为能源。</w:t>
                  </w:r>
                  <w:r>
                    <w:rPr>
                      <w:rFonts w:hint="default" w:ascii="Times New Roman" w:hAnsi="Times New Roman" w:cs="Times New Roman"/>
                      <w:bCs/>
                      <w:color w:val="auto"/>
                      <w:sz w:val="18"/>
                      <w:szCs w:val="18"/>
                    </w:rPr>
                    <w:t>项目利用现有的闲置厂房进行建设。</w:t>
                  </w:r>
                </w:p>
                <w:p w14:paraId="2BFA4482">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本项目在原厂址内进行建设，且项目为无缝钢管生产项目，其采用先进的生产工艺和设备，从源头进行控制，采用清洁能源电为燃料，降低污染物的排放。</w:t>
                  </w:r>
                </w:p>
              </w:tc>
              <w:tc>
                <w:tcPr>
                  <w:tcW w:w="492" w:type="pct"/>
                  <w:tcBorders>
                    <w:tl2br w:val="nil"/>
                    <w:tr2bl w:val="nil"/>
                  </w:tcBorders>
                  <w:vAlign w:val="center"/>
                </w:tcPr>
                <w:p w14:paraId="3B230877">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0E4E40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0" w:type="pct"/>
                  <w:tcBorders>
                    <w:tl2br w:val="nil"/>
                    <w:tr2bl w:val="nil"/>
                  </w:tcBorders>
                  <w:vAlign w:val="center"/>
                </w:tcPr>
                <w:p w14:paraId="4883E919">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由于云南通海产业园区现状无地表水环境容量，为改善各片区所在区域地表水环境质量，通海县人民政府已开展《曲江流域通海县重点村落污水收集处理工程》建设工作，该项工程能够有效改善曲江流域水环境质量，为通海产业园区后续发展提供支撑。同时，为改善园区所在流域水环境质量，本次评价建议当地政府尽快开展“曲江流域区域削减方案”编制工作。</w:t>
                  </w:r>
                </w:p>
                <w:p w14:paraId="07922F50">
                  <w:pPr>
                    <w:adjustRightInd w:val="0"/>
                    <w:snapToGrid w:val="0"/>
                    <w:rPr>
                      <w:rFonts w:hint="default" w:ascii="Times New Roman" w:hAnsi="Times New Roman" w:cs="Times New Roman"/>
                      <w:color w:val="auto"/>
                      <w:sz w:val="18"/>
                      <w:szCs w:val="18"/>
                    </w:rPr>
                  </w:pPr>
                  <w:bookmarkStart w:id="12" w:name="_Toc17038"/>
                  <w:r>
                    <w:rPr>
                      <w:rFonts w:hint="default" w:ascii="Times New Roman" w:hAnsi="Times New Roman" w:cs="Times New Roman"/>
                      <w:color w:val="auto"/>
                      <w:sz w:val="18"/>
                      <w:szCs w:val="18"/>
                    </w:rPr>
                    <w:t>（2）加快园区雨水管网的建设，进一步实现园区雨污分流。</w:t>
                  </w:r>
                  <w:bookmarkEnd w:id="12"/>
                </w:p>
                <w:p w14:paraId="0E2DD1A1">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（3）健全资源循环利用体系。完善废旧物资回收网络，推行“互联网+”回收 模式，实现再生资源应收尽收。</w:t>
                  </w:r>
                </w:p>
                <w:p w14:paraId="0ECFBE7F">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（4）推进园区生活垃圾分类，加快建立覆盖全园区的生活垃圾收运处置体系，全面实现分类投放、分类收集、分类运输、分类处理，确保生活垃圾合理妥善处置。</w:t>
                  </w:r>
                </w:p>
                <w:p w14:paraId="52CBB9AB">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（5）本次规划未进行能源规划，本次评价要求《云南通海产业园区总体规划修编（2021~2035）》结合各个片区现状已建燃气管道补充园区燃气规划。</w:t>
                  </w:r>
                </w:p>
                <w:p w14:paraId="6C9EC36A">
                  <w:pPr>
                    <w:adjustRightInd w:val="0"/>
                    <w:snapToGrid w:val="0"/>
                    <w:jc w:val="left"/>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（6）本次评价建议乌龙潭片区建设集中供热项目，为片区食品加工企业入驻提供基础条件。</w:t>
                  </w:r>
                </w:p>
              </w:tc>
              <w:tc>
                <w:tcPr>
                  <w:tcW w:w="1467" w:type="pct"/>
                  <w:tcBorders>
                    <w:tl2br w:val="nil"/>
                    <w:tr2bl w:val="nil"/>
                  </w:tcBorders>
                  <w:vAlign w:val="center"/>
                </w:tcPr>
                <w:p w14:paraId="21BBA1BC">
                  <w:pPr>
                    <w:adjustRightInd w:val="0"/>
                    <w:snapToGrid w:val="0"/>
                    <w:jc w:val="left"/>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项目位于里山片区，</w:t>
                  </w:r>
                  <w:r>
                    <w:rPr>
                      <w:rFonts w:hint="default" w:ascii="Times New Roman" w:hAnsi="Times New Roman" w:cs="Times New Roman"/>
                      <w:bCs/>
                      <w:color w:val="auto"/>
                      <w:sz w:val="18"/>
                      <w:szCs w:val="18"/>
                    </w:rPr>
                    <w:t>项目生产废水经处理后循环使用，生活污水经化粪池预处理后进入园区污水处理厂。</w:t>
                  </w:r>
                </w:p>
                <w:p w14:paraId="36387640">
                  <w:pPr>
                    <w:adjustRightInd w:val="0"/>
                    <w:snapToGrid w:val="0"/>
                    <w:jc w:val="left"/>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项目生产过程产生的一般工业固废收集后外售。产生的危险废物废机油暂存于危险废物贮存库后全部返回设备进行润滑使用。</w:t>
                  </w:r>
                  <w:r>
                    <w:rPr>
                      <w:rFonts w:hint="default" w:ascii="Times New Roman" w:hAnsi="Times New Roman" w:cs="Times New Roman"/>
                      <w:color w:val="auto"/>
                      <w:sz w:val="18"/>
                      <w:szCs w:val="18"/>
                    </w:rPr>
                    <w:t>固体废物处置率100%。</w:t>
                  </w:r>
                </w:p>
                <w:p w14:paraId="2F1D3DA2">
                  <w:pPr>
                    <w:adjustRightInd w:val="0"/>
                    <w:snapToGrid w:val="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生活垃圾按要求分类，收集后委托当地环卫站定期清运处置。</w:t>
                  </w:r>
                </w:p>
              </w:tc>
              <w:tc>
                <w:tcPr>
                  <w:tcW w:w="492" w:type="pct"/>
                  <w:tcBorders>
                    <w:tl2br w:val="nil"/>
                    <w:tr2bl w:val="nil"/>
                  </w:tcBorders>
                  <w:vAlign w:val="center"/>
                </w:tcPr>
                <w:p w14:paraId="0FD2352A">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7B084D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0" w:type="pct"/>
                  <w:tcBorders>
                    <w:tl2br w:val="nil"/>
                    <w:tr2bl w:val="nil"/>
                  </w:tcBorders>
                  <w:vAlign w:val="center"/>
                </w:tcPr>
                <w:p w14:paraId="6B09BFCD">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规划》范围内的一般生态空间等敏感区域，严格进行保护，原则上不得进行开发建设；芭蕉片区位于通海县柿花树集中式饮用水源地下水补给区，建议整体调出园区规划范围。加强对各片区内及周边集中居住区等生活空间防护，确保园区产业布局与生态环境保护、人居环境安全相协调。</w:t>
                  </w:r>
                </w:p>
              </w:tc>
              <w:tc>
                <w:tcPr>
                  <w:tcW w:w="1467" w:type="pct"/>
                  <w:tcBorders>
                    <w:tl2br w:val="nil"/>
                    <w:tr2bl w:val="nil"/>
                  </w:tcBorders>
                  <w:vAlign w:val="center"/>
                </w:tcPr>
                <w:p w14:paraId="70101C7F">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根据云南通海产业园区管委会出具的《关于通海产业园区芭蕉片区属于云南通海产业园区规划范围的情况说明》，由于当时柿花树水源地刚启动划定工作，具有不确定性，总规未采纳该条意见。</w:t>
                  </w:r>
                </w:p>
              </w:tc>
              <w:tc>
                <w:tcPr>
                  <w:tcW w:w="492" w:type="pct"/>
                  <w:tcBorders>
                    <w:tl2br w:val="nil"/>
                    <w:tr2bl w:val="nil"/>
                  </w:tcBorders>
                  <w:vAlign w:val="center"/>
                </w:tcPr>
                <w:p w14:paraId="35222C3F">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bl>
          <w:p w14:paraId="088B13DD">
            <w:pPr>
              <w:autoSpaceDE w:val="0"/>
              <w:autoSpaceDN w:val="0"/>
              <w:spacing w:before="120" w:beforeLines="50"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由上表可知，综上分析，项目符合《云南通海产业园区总体规划修编（2021-2035年）环境影响报告书》相关要求。</w:t>
            </w:r>
          </w:p>
        </w:tc>
      </w:tr>
      <w:tr w14:paraId="67A9B0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682" w:type="dxa"/>
            <w:vAlign w:val="center"/>
          </w:tcPr>
          <w:p w14:paraId="5A273ED1">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b/>
                <w:bCs/>
                <w:color w:val="auto"/>
                <w:kern w:val="0"/>
                <w:sz w:val="24"/>
              </w:rPr>
              <w:t>其他符合性分析</w:t>
            </w:r>
          </w:p>
        </w:tc>
        <w:tc>
          <w:tcPr>
            <w:tcW w:w="7644" w:type="dxa"/>
            <w:gridSpan w:val="6"/>
            <w:vAlign w:val="center"/>
          </w:tcPr>
          <w:p w14:paraId="2EA1BECE">
            <w:pPr>
              <w:pStyle w:val="5"/>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1、产业政策符合性分析</w:t>
            </w:r>
          </w:p>
          <w:p w14:paraId="0E21A760">
            <w:pPr>
              <w:pStyle w:val="31"/>
              <w:autoSpaceDE w:val="0"/>
              <w:autoSpaceDN w:val="0"/>
              <w:spacing w:before="0" w:beforeAutospacing="0" w:after="0" w:afterAutospacing="0" w:line="360" w:lineRule="auto"/>
              <w:ind w:firstLine="480"/>
              <w:rPr>
                <w:rFonts w:hint="default" w:ascii="Times New Roman" w:hAnsi="Times New Roman" w:cs="Times New Roman"/>
                <w:color w:val="auto"/>
              </w:rPr>
            </w:pPr>
            <w:bookmarkStart w:id="13" w:name="_Hlk220341039"/>
            <w:r>
              <w:rPr>
                <w:rFonts w:hint="default" w:ascii="Times New Roman" w:hAnsi="Times New Roman" w:cs="Times New Roman"/>
                <w:color w:val="auto"/>
              </w:rPr>
              <w:t>项目为无缝钢管生产项目，生产工艺为热拔工艺，不属于热轧，根据通海县发展和改革局出具的《关于通海南方钢铁有限公司新建年产3万吨无缝钢管生产线项目产业结构属性认定的回复函》（通发改函[2025]32号）：项目符合国家产业政策，不属于《产业结构调整指导目录（2024年本）》中的限制类及淘汰类，因此可视为允许类。</w:t>
            </w:r>
          </w:p>
          <w:bookmarkEnd w:id="13"/>
          <w:p w14:paraId="3C1ECCBE">
            <w:pPr>
              <w:pStyle w:val="31"/>
              <w:autoSpaceDE w:val="0"/>
              <w:autoSpaceDN w:val="0"/>
              <w:spacing w:before="0" w:beforeAutospacing="0" w:after="0" w:afterAutospacing="0" w:line="360" w:lineRule="auto"/>
              <w:ind w:firstLine="480"/>
              <w:rPr>
                <w:rFonts w:hint="default" w:ascii="Times New Roman" w:hAnsi="Times New Roman" w:cs="Times New Roman"/>
                <w:color w:val="auto"/>
              </w:rPr>
            </w:pPr>
            <w:r>
              <w:rPr>
                <w:rFonts w:hint="default" w:ascii="Times New Roman" w:hAnsi="Times New Roman" w:cs="Times New Roman"/>
                <w:color w:val="auto"/>
              </w:rPr>
              <w:t>此外，项目于</w:t>
            </w:r>
            <w:bookmarkStart w:id="14" w:name="_Hlk220341067"/>
            <w:r>
              <w:rPr>
                <w:rFonts w:hint="default" w:ascii="Times New Roman" w:hAnsi="Times New Roman" w:cs="Times New Roman"/>
                <w:color w:val="auto"/>
              </w:rPr>
              <w:t>2022年06月02日取得了通海县发展和改革局下发的《云南省固定资产投资项目备案证》，项目代码：2206-530423-04-01-231764</w:t>
            </w:r>
            <w:bookmarkEnd w:id="14"/>
            <w:r>
              <w:rPr>
                <w:rFonts w:hint="default" w:ascii="Times New Roman" w:hAnsi="Times New Roman" w:cs="Times New Roman"/>
                <w:color w:val="auto"/>
              </w:rPr>
              <w:t>，同意项目建设。2025年10月29日对备案证进行了变更。</w:t>
            </w:r>
          </w:p>
          <w:p w14:paraId="04A157B7">
            <w:pPr>
              <w:pStyle w:val="31"/>
              <w:autoSpaceDE w:val="0"/>
              <w:autoSpaceDN w:val="0"/>
              <w:spacing w:before="0" w:beforeAutospacing="0" w:after="0" w:afterAutospacing="0" w:line="360" w:lineRule="auto"/>
              <w:ind w:firstLine="480"/>
              <w:rPr>
                <w:rFonts w:hint="default" w:ascii="Times New Roman" w:hAnsi="Times New Roman" w:cs="Times New Roman"/>
                <w:color w:val="auto"/>
              </w:rPr>
            </w:pPr>
            <w:r>
              <w:rPr>
                <w:rFonts w:hint="default" w:ascii="Times New Roman" w:hAnsi="Times New Roman" w:cs="Times New Roman"/>
                <w:color w:val="auto"/>
              </w:rPr>
              <w:t>因此，项目符合国家产业政策。</w:t>
            </w:r>
          </w:p>
          <w:p w14:paraId="3CAEADEB">
            <w:pPr>
              <w:pStyle w:val="5"/>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2、与《云南省主体功能区规划》的协调性分析</w:t>
            </w:r>
          </w:p>
          <w:p w14:paraId="1452F12E">
            <w:pPr>
              <w:widowControl/>
              <w:spacing w:line="360" w:lineRule="auto"/>
              <w:ind w:firstLine="480"/>
              <w:rPr>
                <w:rFonts w:hint="default" w:ascii="Times New Roman" w:hAnsi="Times New Roman" w:cs="Times New Roman"/>
                <w:color w:val="auto"/>
                <w:sz w:val="24"/>
              </w:rPr>
            </w:pPr>
            <w:bookmarkStart w:id="15" w:name="OLE_LINK212"/>
            <w:r>
              <w:rPr>
                <w:rFonts w:hint="default" w:ascii="Times New Roman" w:hAnsi="Times New Roman" w:cs="Times New Roman"/>
                <w:color w:val="auto"/>
                <w:sz w:val="24"/>
              </w:rPr>
              <w:t>根据云南省人民政府文件：《云南省人民政府关于印发云南省主体功能区规划的通知》（云政发〔2014〕1号），</w:t>
            </w:r>
            <w:r>
              <w:rPr>
                <w:rFonts w:hint="default" w:ascii="Times New Roman" w:hAnsi="Times New Roman" w:cs="Times New Roman"/>
                <w:bCs/>
                <w:color w:val="auto"/>
                <w:sz w:val="24"/>
              </w:rPr>
              <w:t>项目所在地玉溪市划分为云南省国家层面重点开发区域</w:t>
            </w:r>
            <w:r>
              <w:rPr>
                <w:rFonts w:hint="default" w:ascii="Times New Roman" w:hAnsi="Times New Roman" w:cs="Times New Roman"/>
                <w:color w:val="auto"/>
                <w:sz w:val="24"/>
              </w:rPr>
              <w:t>。</w:t>
            </w:r>
          </w:p>
          <w:p w14:paraId="4CFB3F43">
            <w:pPr>
              <w:widowControl/>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重点开发区域应在优化结构、提高效益、降低消耗、保护环境的基础上推动经济可持续发展；推进新型工业化进程，提高自主创新能力，聚集创新要素，增强产业聚集能力，积极承接国际国内产业转移，形成分工协作的现代产业体系；加快推进城镇化，壮大城市综合实力，改善人居环境，提高聚集人口的能力；推进区域一体化，承接限制和禁止开发区域的人口转移，努力形成城市群和都市区；发挥区位优势，加快沿边地区对外开放，加强国际通道、口岸和城镇建设，形成若干支撑沿边对外开放的经济增长点，拓展我国对外开放的战略空间。</w:t>
            </w:r>
          </w:p>
          <w:p w14:paraId="5DB6C71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为无缝钢管生产项目，采用热拔工艺，建成后废气、噪声均能达标排放，生产废水全部回用不外排，生活污水经化粪池预处理后排入园区污水处理厂；固废处置率100%，污染物将得到有效处置，对周边环境影响较小，不会对所属区域环境造成影响。同时，本项目的建设将推进新型工业化进程，提高自主创新能力。</w:t>
            </w:r>
          </w:p>
          <w:p w14:paraId="4801218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因此，项目的建设与《云南省主体功能区规划》相符合。</w:t>
            </w:r>
          </w:p>
          <w:p w14:paraId="6E6F7C19">
            <w:pPr>
              <w:pStyle w:val="5"/>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3、与《云南省生态功能区划》相符性分析</w:t>
            </w:r>
          </w:p>
          <w:p w14:paraId="45F8BF4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云南省生态功能区划》，项目区生态功能区为III1-6昆明、玉溪高原湖盆城镇建设生态功能区；所在区域为澄江、通海、红塔区、江川县，昆明市大部分区域、峨山县的部分地区，面积11532.70平方公里；主要生态特征以湖盆和丘状高原地貌为主。滇池、抚仙湖、星云湖、杞麓湖等高原湖泊都分布在本区内，大部分地区的年降雨量在900~1000毫米，现存植被以云南松林为主。土壤以红壤、紫色土和水稻土为主；主要生态环境问题为农业面源污染，环境污染、水资源和土地资源短缺；生态环境敏感性为高原湖盆和城乡交错带的生态脆弱性；主要生态系统服务功能为昆明中心城市建设及维护高原湖泊群及周边地区的生态安全；保护措施与发展方向为调整产业结构，发展循环经济，推行清洁生产，治理高原湖泊水体污染和流域区的面源污染。</w:t>
            </w:r>
          </w:p>
          <w:p w14:paraId="72CF95F5">
            <w:pPr>
              <w:widowControl/>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bCs/>
                <w:color w:val="auto"/>
                <w:kern w:val="0"/>
                <w:sz w:val="24"/>
              </w:rPr>
              <w:t>本项目在原有厂区范围内进行建设，采用电为能源，废气产生量较小；生产废水全部回用不外排；生活污水达标进入园区污水管网，最终进入园区污水处理厂进行处理，固废合理处置。因此，项目的建设不违反云南省生态功能区划中确定的保护措施和发展方向，总体上符合《云南省生态功能区划》的要求。</w:t>
            </w:r>
          </w:p>
          <w:bookmarkEnd w:id="15"/>
          <w:p w14:paraId="20B8BF8F">
            <w:pPr>
              <w:pStyle w:val="5"/>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4、与玉溪市生态环境分区管控要求的符合性分析</w:t>
            </w:r>
          </w:p>
          <w:p w14:paraId="6A99859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认真贯彻落实国家部署要求，云南省生态环境厅组织开展了州（市）生态环境分区管控动态更新工作，并汇总各州（市）成果，编制了《云南省2023年生态环境分区管控成果动态更新备案材料》，经省人民政府同意上报生态环境部，目前已通过国家备案，收到正式反馈的分区管控成果矢量数据，并赋予了国家标识码。2024年4月28日，云南省生态环境厅下发了《关于发布州（市）生态环境分区管控动态更新成果的函》（云环函〔2024〕147号），明确全省统一于2024年4月28日起正式应用下发的生态环境分区管控成果。2024年6月7日，玉溪市生态环境局《关于印发玉溪市生态环境分区管控动态更新调整方案（2023年）的通知》（玉市环〔2024〕40号）发布实施。</w:t>
            </w:r>
          </w:p>
          <w:p w14:paraId="1EA81934">
            <w:pPr>
              <w:pStyle w:val="18"/>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本项目与其符合性分析如下：</w:t>
            </w:r>
            <w:bookmarkStart w:id="16" w:name="OLE_LINK194"/>
          </w:p>
          <w:bookmarkEnd w:id="16"/>
          <w:p w14:paraId="31DB9DB5">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（1）生态保护红线和一般生态空间</w:t>
            </w:r>
          </w:p>
          <w:p w14:paraId="513DFCF9">
            <w:pPr>
              <w:spacing w:line="360" w:lineRule="auto"/>
              <w:ind w:firstLine="480" w:firstLineChars="200"/>
              <w:rPr>
                <w:rFonts w:hint="default" w:ascii="Times New Roman" w:hAnsi="Times New Roman" w:eastAsia="Arial" w:cs="Times New Roman"/>
                <w:snapToGrid w:val="0"/>
                <w:color w:val="auto"/>
                <w:kern w:val="0"/>
                <w:sz w:val="24"/>
                <w:szCs w:val="21"/>
              </w:rPr>
            </w:pPr>
            <w:r>
              <w:rPr>
                <w:rFonts w:hint="default" w:ascii="Times New Roman" w:hAnsi="Times New Roman" w:cs="Times New Roman"/>
                <w:color w:val="auto"/>
                <w:sz w:val="24"/>
              </w:rPr>
              <w:t>本项目位于</w:t>
            </w:r>
            <w:r>
              <w:rPr>
                <w:rFonts w:hint="default" w:ascii="Times New Roman" w:hAnsi="Times New Roman" w:cs="Times New Roman"/>
                <w:bCs/>
                <w:color w:val="auto"/>
                <w:sz w:val="24"/>
                <w:lang w:val="zh-CN"/>
              </w:rPr>
              <w:t>通海五金产业园区里山片区，</w:t>
            </w:r>
            <w:r>
              <w:rPr>
                <w:rFonts w:hint="default" w:ascii="Times New Roman" w:hAnsi="Times New Roman" w:cs="Times New Roman"/>
                <w:bCs/>
                <w:color w:val="auto"/>
                <w:sz w:val="24"/>
              </w:rPr>
              <w:t>在现有厂区范围内建设，</w:t>
            </w:r>
            <w:r>
              <w:rPr>
                <w:rFonts w:hint="default" w:ascii="Times New Roman" w:hAnsi="Times New Roman" w:eastAsia="Arial" w:cs="Times New Roman"/>
                <w:snapToGrid w:val="0"/>
                <w:color w:val="auto"/>
                <w:kern w:val="0"/>
                <w:sz w:val="24"/>
                <w:szCs w:val="21"/>
              </w:rPr>
              <w:t>项目不涉及生态保护红线。项目不在生态保护红线的自然保护地、饮用水水源保护区、重要湿地、基本草原等生态功能重要、生态环境敏感区域内，不涉及生态保护红线范围。</w:t>
            </w:r>
          </w:p>
          <w:p w14:paraId="521EBC97">
            <w:pPr>
              <w:autoSpaceDE w:val="0"/>
              <w:autoSpaceDN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（2）环境质量底线</w:t>
            </w:r>
          </w:p>
          <w:p w14:paraId="0035C86C">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项目区周边地表水体现状水质为</w:t>
            </w:r>
            <w:r>
              <w:rPr>
                <w:rFonts w:hint="default" w:ascii="Times New Roman" w:hAnsi="Times New Roman" w:cs="Times New Roman"/>
                <w:color w:val="auto"/>
                <w:sz w:val="24"/>
              </w:rPr>
              <w:t>Ⅲ类，规划水平年水质目标</w:t>
            </w:r>
            <w:r>
              <w:rPr>
                <w:rFonts w:hint="default" w:ascii="Times New Roman" w:hAnsi="Times New Roman" w:cs="Times New Roman"/>
                <w:color w:val="auto"/>
                <w:kern w:val="0"/>
                <w:sz w:val="24"/>
              </w:rPr>
              <w:t>为</w:t>
            </w:r>
            <w:r>
              <w:rPr>
                <w:rFonts w:hint="default" w:ascii="Times New Roman" w:hAnsi="Times New Roman" w:cs="Times New Roman"/>
                <w:color w:val="auto"/>
                <w:sz w:val="24"/>
              </w:rPr>
              <w:t>Ⅲ类，根据周边地表水体的监测数据可知，监测断面监测指标中的化学需氧量、五日生化需氧量、氨氮均超出《地表水环境质量标准》（GB3838-2002）</w:t>
            </w:r>
            <w:r>
              <w:rPr>
                <w:rFonts w:hint="default" w:ascii="Times New Roman" w:hAnsi="Times New Roman" w:cs="Times New Roman"/>
                <w:color w:val="auto"/>
                <w:kern w:val="0"/>
                <w:sz w:val="24"/>
              </w:rPr>
              <w:t>Ⅲ类标准要求，其余因子均满足《地表水环境质量标准》（GB3838-2002）Ⅲ</w:t>
            </w:r>
            <w:r>
              <w:rPr>
                <w:rFonts w:hint="default" w:ascii="Times New Roman" w:hAnsi="Times New Roman" w:cs="Times New Roman"/>
                <w:color w:val="auto"/>
                <w:sz w:val="24"/>
              </w:rPr>
              <w:t>类标准要求，本项目生产废水循环使用，不外排；生活污水经过处理后排入园区污水管网，最终进入园区污水处理厂进行处理，对周围地表水体的影响较小；项目选址区域为环境空气功能区二类区，执行《环境空气质量标准》（GB3095-2012）二级标准，根据环境空气质量现状的监测数据，选址区域环境空气质量能够达到《环境空气质量标准》（GB3095-2012）二级标准要求，根据预测分析，项目采取措施后大气污染物对周围环境的影响较小。</w:t>
            </w:r>
          </w:p>
          <w:p w14:paraId="2A56895D">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综上所述，项目建设满足环境质量底线要求。</w:t>
            </w:r>
          </w:p>
          <w:p w14:paraId="54E07C1E">
            <w:pPr>
              <w:autoSpaceDE w:val="0"/>
              <w:autoSpaceDN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（3）资源利用上线</w:t>
            </w:r>
          </w:p>
          <w:p w14:paraId="43067020">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根据“通知”，玉溪市需强化节约集约利用，持续提升资源能源利用效率，水资源、土地资源、能源消耗完成省级下达的控制目标。</w:t>
            </w:r>
          </w:p>
          <w:p w14:paraId="690864AC">
            <w:pPr>
              <w:autoSpaceDE w:val="0"/>
              <w:autoSpaceDN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①水资源利用上线</w:t>
            </w:r>
          </w:p>
          <w:p w14:paraId="020B0DA7">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根据云南省“三线一单”要求，到2020年底，全省年用水总量控制在214.6亿立方米以内。本项目用水量相对较小，符合水资源利用上线要求。</w:t>
            </w:r>
          </w:p>
          <w:p w14:paraId="7D177A1C">
            <w:pPr>
              <w:autoSpaceDE w:val="0"/>
              <w:autoSpaceDN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kern w:val="0"/>
                <w:sz w:val="24"/>
              </w:rPr>
              <w:t>②土地资源利用上线</w:t>
            </w:r>
          </w:p>
          <w:p w14:paraId="08B47818">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根据云南省“三线一单”要求，到2020年底，全省耕地保有量不低于584.53万公顷，基本农田</w:t>
            </w:r>
            <w:r>
              <w:rPr>
                <w:rFonts w:hint="default" w:ascii="Times New Roman" w:hAnsi="Times New Roman" w:cs="Times New Roman"/>
                <w:color w:val="auto"/>
                <w:kern w:val="0"/>
                <w:sz w:val="24"/>
              </w:rPr>
              <w:t>保护面积不低于489.4万公顷，建设用地总规模控制在115.4万公顷以内。</w:t>
            </w:r>
            <w:bookmarkStart w:id="17" w:name="OLE_LINK202"/>
            <w:r>
              <w:rPr>
                <w:rFonts w:hint="default" w:ascii="Times New Roman" w:hAnsi="Times New Roman" w:cs="Times New Roman"/>
                <w:color w:val="auto"/>
                <w:kern w:val="0"/>
                <w:sz w:val="24"/>
              </w:rPr>
              <w:t>项目占地面积为3500m</w:t>
            </w:r>
            <w:r>
              <w:rPr>
                <w:rFonts w:hint="default" w:ascii="Times New Roman" w:hAnsi="Times New Roman" w:cs="Times New Roman"/>
                <w:color w:val="auto"/>
                <w:kern w:val="0"/>
                <w:sz w:val="24"/>
                <w:vertAlign w:val="superscript"/>
              </w:rPr>
              <w:t>2</w:t>
            </w:r>
            <w:r>
              <w:rPr>
                <w:rFonts w:hint="default" w:ascii="Times New Roman" w:hAnsi="Times New Roman" w:cs="Times New Roman"/>
                <w:color w:val="auto"/>
                <w:kern w:val="0"/>
                <w:sz w:val="24"/>
              </w:rPr>
              <w:t>，</w:t>
            </w:r>
            <w:r>
              <w:rPr>
                <w:rFonts w:hint="default" w:ascii="Times New Roman" w:hAnsi="Times New Roman" w:cs="Times New Roman"/>
                <w:color w:val="auto"/>
                <w:sz w:val="24"/>
              </w:rPr>
              <w:t>项目占地不涉及基本农田，项目占地类型为三类工业用地（M3），占比较小，符合土地资源利用上线要求。</w:t>
            </w:r>
          </w:p>
          <w:bookmarkEnd w:id="17"/>
          <w:p w14:paraId="0E6FD4C3">
            <w:pPr>
              <w:autoSpaceDE w:val="0"/>
              <w:autoSpaceDN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kern w:val="0"/>
                <w:sz w:val="24"/>
              </w:rPr>
              <w:t>③能源利用上线</w:t>
            </w:r>
          </w:p>
          <w:p w14:paraId="7341FE79">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云南省“三线一单”要求，到2020年底，全省万元地区生产总值能耗较2015年下降14%，能源消耗总量控制在国家下达目标以内，非化石能源消费量占能源消费总量比重达到42%。项目生产过程中主要消耗电和水，项目用量相对较小，符合能源利用上线要求。</w:t>
            </w:r>
          </w:p>
          <w:p w14:paraId="45CC6CA8">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综上所述，项目建设符合资源利用上线要求。</w:t>
            </w:r>
          </w:p>
          <w:p w14:paraId="4E7136E2">
            <w:pPr>
              <w:autoSpaceDE w:val="0"/>
              <w:autoSpaceDN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（4）生态环境准入清单</w:t>
            </w:r>
          </w:p>
          <w:p w14:paraId="68534B60">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2024年6月7日，玉溪市生态环境局《关于印发玉溪市生态环境分区管控动态更新调整方案（2023年）的通知》（玉市环〔2024〕40号）发布实施。</w:t>
            </w:r>
          </w:p>
          <w:p w14:paraId="5E7F8275">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具体符合性如下：</w:t>
            </w:r>
          </w:p>
          <w:p w14:paraId="5CBCA183">
            <w:pPr>
              <w:pStyle w:val="4"/>
              <w:tabs>
                <w:tab w:val="left" w:pos="7230"/>
              </w:tabs>
              <w:adjustRightInd/>
              <w:spacing w:line="360" w:lineRule="auto"/>
              <w:ind w:firstLine="0"/>
              <w:jc w:val="center"/>
              <w:rPr>
                <w:rFonts w:hint="default" w:ascii="Times New Roman" w:hAnsi="Times New Roman" w:eastAsia="黑体" w:cs="Times New Roman"/>
                <w:bCs/>
                <w:color w:val="auto"/>
                <w:szCs w:val="21"/>
              </w:rPr>
            </w:pPr>
            <w:r>
              <w:rPr>
                <w:rFonts w:hint="default" w:ascii="Times New Roman" w:hAnsi="Times New Roman" w:eastAsia="黑体" w:cs="Times New Roman"/>
                <w:bCs/>
                <w:color w:val="auto"/>
                <w:szCs w:val="21"/>
              </w:rPr>
              <w:t>表1-3     项目与玉溪市生态环境分区管控总体要求符合性分析</w:t>
            </w:r>
          </w:p>
          <w:tbl>
            <w:tblPr>
              <w:tblStyle w:val="35"/>
              <w:tblpPr w:leftFromText="180" w:rightFromText="180" w:vertAnchor="text" w:tblpY="1"/>
              <w:tblOverlap w:val="never"/>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66"/>
              <w:gridCol w:w="3857"/>
              <w:gridCol w:w="2627"/>
              <w:gridCol w:w="475"/>
            </w:tblGrid>
            <w:tr w14:paraId="5A2C3A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314" w:type="pct"/>
                  <w:tcBorders>
                    <w:tl2br w:val="nil"/>
                    <w:tr2bl w:val="nil"/>
                  </w:tcBorders>
                  <w:vAlign w:val="center"/>
                </w:tcPr>
                <w:p w14:paraId="4B8D04B7">
                  <w:pPr>
                    <w:jc w:val="center"/>
                    <w:rPr>
                      <w:rFonts w:hint="default" w:ascii="Times New Roman" w:hAnsi="Times New Roman" w:cs="Times New Roman"/>
                      <w:color w:val="auto"/>
                      <w:sz w:val="18"/>
                      <w:szCs w:val="18"/>
                    </w:rPr>
                  </w:pPr>
                  <w:bookmarkStart w:id="18" w:name="_Hlk152575897"/>
                  <w:r>
                    <w:rPr>
                      <w:rFonts w:hint="default" w:ascii="Times New Roman" w:hAnsi="Times New Roman" w:cs="Times New Roman"/>
                      <w:color w:val="auto"/>
                      <w:sz w:val="18"/>
                      <w:szCs w:val="18"/>
                    </w:rPr>
                    <w:t>管控领域</w:t>
                  </w:r>
                </w:p>
              </w:tc>
              <w:tc>
                <w:tcPr>
                  <w:tcW w:w="2596" w:type="pct"/>
                  <w:tcBorders>
                    <w:tl2br w:val="nil"/>
                    <w:tr2bl w:val="nil"/>
                  </w:tcBorders>
                  <w:vAlign w:val="center"/>
                </w:tcPr>
                <w:p w14:paraId="7BFAD06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更新管控要求</w:t>
                  </w:r>
                </w:p>
              </w:tc>
              <w:tc>
                <w:tcPr>
                  <w:tcW w:w="1768" w:type="pct"/>
                  <w:tcBorders>
                    <w:tl2br w:val="nil"/>
                    <w:tr2bl w:val="nil"/>
                  </w:tcBorders>
                  <w:vAlign w:val="center"/>
                </w:tcPr>
                <w:p w14:paraId="601AA74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本项目情况</w:t>
                  </w:r>
                </w:p>
              </w:tc>
              <w:tc>
                <w:tcPr>
                  <w:tcW w:w="320" w:type="pct"/>
                  <w:tcBorders>
                    <w:tl2br w:val="nil"/>
                    <w:tr2bl w:val="nil"/>
                  </w:tcBorders>
                  <w:vAlign w:val="center"/>
                </w:tcPr>
                <w:p w14:paraId="7991671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符合性</w:t>
                  </w:r>
                </w:p>
              </w:tc>
            </w:tr>
            <w:tr w14:paraId="32A54D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14" w:type="pct"/>
                  <w:tcBorders>
                    <w:tl2br w:val="nil"/>
                    <w:tr2bl w:val="nil"/>
                  </w:tcBorders>
                  <w:vAlign w:val="center"/>
                </w:tcPr>
                <w:p w14:paraId="6DDC0163">
                  <w:pPr>
                    <w:jc w:val="center"/>
                    <w:rPr>
                      <w:rFonts w:hint="default" w:ascii="Times New Roman" w:hAnsi="Times New Roman" w:cs="Times New Roman"/>
                      <w:color w:val="auto"/>
                      <w:sz w:val="18"/>
                      <w:szCs w:val="18"/>
                    </w:rPr>
                  </w:pPr>
                  <w:bookmarkStart w:id="19" w:name="_Hlk156301754"/>
                  <w:r>
                    <w:rPr>
                      <w:rFonts w:hint="default" w:ascii="Times New Roman" w:hAnsi="Times New Roman" w:cs="Times New Roman"/>
                      <w:color w:val="auto"/>
                      <w:sz w:val="18"/>
                      <w:szCs w:val="18"/>
                    </w:rPr>
                    <w:t>空间布局约束</w:t>
                  </w:r>
                </w:p>
              </w:tc>
              <w:tc>
                <w:tcPr>
                  <w:tcW w:w="2596" w:type="pct"/>
                  <w:tcBorders>
                    <w:tl2br w:val="nil"/>
                    <w:tr2bl w:val="nil"/>
                  </w:tcBorders>
                  <w:vAlign w:val="center"/>
                </w:tcPr>
                <w:p w14:paraId="2C2E1486">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严格落实国家产业政策、国家产业结构调整指导目录。坚决遏制高耗能、高排放、低水平项目盲目发展，项目审批严格落实国家和云南省相关政策要求。严格落实钢铁、水泥、平板玻璃、电解铝等行业产能置换相关政策，严管严控新增电解铝和工业硅产能。</w:t>
                  </w:r>
                </w:p>
                <w:p w14:paraId="7ED61F55">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2、加强河湖水域岸线空间管控，严格落实九大高原湖泊（抚仙湖、星云湖、杞麓湖）“两线三区”相关管控要求。</w:t>
                  </w:r>
                </w:p>
                <w:p w14:paraId="777D0B18">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加快推动重点区域、重点流域落后和过剩产能退出。依法加快城市建成区重污染企业搬迁改造或关闭退出。</w:t>
                  </w:r>
                </w:p>
                <w:p w14:paraId="131F8471">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禁止在合规园区外新建、扩建钢铁、石化、化工、焦化、建材、有色、制浆造纸行业中的高污染项目。禁止新建、扩建不符合国家石化、现代煤化工等产业布局规划的项目。禁止列入《云南省城镇人口密集区危险化学品生产企业搬迁改造名单》的搬迁改造企业在原址新建、扩建危险化学品生产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3B28AC1B">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4、禁止在</w:t>
                  </w:r>
                  <w:bookmarkStart w:id="20" w:name="OLE_LINK197"/>
                  <w:r>
                    <w:rPr>
                      <w:rFonts w:hint="default" w:ascii="Times New Roman" w:hAnsi="Times New Roman" w:cs="Times New Roman"/>
                      <w:color w:val="auto"/>
                      <w:sz w:val="18"/>
                      <w:szCs w:val="18"/>
                    </w:rPr>
                    <w:t>九大高原湖泊（抚仙湖、星云湖、杞麓湖）流域内</w:t>
                  </w:r>
                  <w:bookmarkEnd w:id="20"/>
                  <w:r>
                    <w:rPr>
                      <w:rFonts w:hint="default" w:ascii="Times New Roman" w:hAnsi="Times New Roman" w:cs="Times New Roman"/>
                      <w:color w:val="auto"/>
                      <w:sz w:val="18"/>
                      <w:szCs w:val="18"/>
                    </w:rPr>
                    <w:t>新建、改建、扩建污染环境、高耗水、高耗能、破坏生态平衡和自然景观的项目。</w:t>
                  </w:r>
                </w:p>
                <w:p w14:paraId="225F6579">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5、落实云南省碳达峰碳中和相关要求，处理好发展和减排、整体和局部、长远目标和短期目标、政府和市场的关系，坚定不移走生态优先、绿色低碳的高质量发展道路。</w:t>
                  </w:r>
                </w:p>
              </w:tc>
              <w:tc>
                <w:tcPr>
                  <w:tcW w:w="1768" w:type="pct"/>
                  <w:tcBorders>
                    <w:tl2br w:val="nil"/>
                    <w:tr2bl w:val="nil"/>
                  </w:tcBorders>
                  <w:vAlign w:val="center"/>
                </w:tcPr>
                <w:p w14:paraId="40C48862">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1、根据分析可知，项目的建设符合《长江经济带发展负面清单指南（试行，2022年版）》《云南省长江经济带发展负面清单指南实施细则（试行）》等产业准入有关要求。</w:t>
                  </w:r>
                </w:p>
                <w:p w14:paraId="4EB0DEA2">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2、项目不涉及抚仙湖、星云湖、杞麓湖。</w:t>
                  </w:r>
                </w:p>
                <w:p w14:paraId="7259CE2E">
                  <w:pPr>
                    <w:jc w:val="left"/>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3、</w:t>
                  </w:r>
                  <w:r>
                    <w:rPr>
                      <w:rFonts w:hint="default" w:ascii="Times New Roman" w:hAnsi="Times New Roman" w:cs="Times New Roman"/>
                      <w:bCs/>
                      <w:color w:val="auto"/>
                      <w:sz w:val="18"/>
                      <w:szCs w:val="18"/>
                    </w:rPr>
                    <w:t>项目位于云南通海产业园区里山片区，根据“云南省开发区工作领导小组办公室关于做好开发区优化提升过渡期有关工作的通知”（云发改产业〔2020〕687号），云南通海产业园区属于合规工业园区。根据规划，项目所在片区为里山片区，其定位为</w:t>
                  </w:r>
                  <w:r>
                    <w:rPr>
                      <w:rFonts w:hint="default" w:ascii="Times New Roman" w:hAnsi="Times New Roman" w:cs="Times New Roman"/>
                      <w:color w:val="auto"/>
                      <w:sz w:val="18"/>
                      <w:szCs w:val="18"/>
                    </w:rPr>
                    <w:t>以装备制造为主导产业，辅以金属冶炼加工制造、以产品研发和应用技术改造提升彩印包装、稀贵金属产业及其他消费品制造等传统产业，形成云南通海产业园区的核心片区。根据园区规划，项目所在区域规划定位为</w:t>
                  </w:r>
                  <w:r>
                    <w:rPr>
                      <w:rFonts w:hint="default" w:ascii="Times New Roman" w:hAnsi="Times New Roman" w:cs="Times New Roman"/>
                      <w:bCs/>
                      <w:color w:val="auto"/>
                      <w:sz w:val="18"/>
                      <w:szCs w:val="18"/>
                    </w:rPr>
                    <w:t>传统产业组团，为三类工业用地（M3）。项目在现有厂界范围内进行建设，建设符合其产业规划及定位。</w:t>
                  </w:r>
                </w:p>
                <w:p w14:paraId="7A47B909">
                  <w:pPr>
                    <w:widowControl/>
                    <w:adjustRightInd w:val="0"/>
                    <w:snapToGrid w:val="0"/>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根据2022年8月15日通海县发展和改革局下发的《关于通海南方钢铁有限公司新建年产3万吨无缝钢管生产线项目节能评审意见》（通发改〔2022〕61号）：三、该项目不属于《产业结构调整指导目录（2019年本）》淘汰类和限制类装置。根据项目节能报告，项目符合国家、行业相关文件及工业发展规划的要求；项目生产工艺采用熟拔，区别于传统热轧工艺，建设方案符合工业节能标准规范的要求。</w:t>
                  </w:r>
                </w:p>
                <w:p w14:paraId="2C929810">
                  <w:pPr>
                    <w:widowControl/>
                    <w:adjustRightInd w:val="0"/>
                    <w:snapToGrid w:val="0"/>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同时根据通海县发展和改革局出具的《关于通海南方钢铁有限公司新建年产3万吨无缝钢管生产线项目产业结构属性认定的回复函》（通发改函[2025]32号）：项目符合国家产业政策，不属于《产业结构调整指导目录（2024年本）》中的限制类及淘汰类，因此可视为允许类。</w:t>
                  </w:r>
                </w:p>
                <w:p w14:paraId="0EE07927">
                  <w:pPr>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rPr>
                    <w:t>现阶段尚未有行业碳达峰碳中和目标相关要求，目前地方区域碳达峰行动方案在推进中。本项目为钢压延加工项目，主要用电作为能源，项目采用先进的生产设备和工艺，废气排放量较小。</w:t>
                  </w:r>
                  <w:r>
                    <w:rPr>
                      <w:rFonts w:hint="default" w:ascii="Times New Roman" w:hAnsi="Times New Roman" w:cs="Times New Roman"/>
                      <w:bCs/>
                      <w:color w:val="auto"/>
                      <w:sz w:val="18"/>
                      <w:szCs w:val="18"/>
                    </w:rPr>
                    <w:t>固废合理处置。</w:t>
                  </w:r>
                </w:p>
                <w:p w14:paraId="549490C1">
                  <w:pPr>
                    <w:jc w:val="left"/>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4、</w:t>
                  </w:r>
                  <w:bookmarkStart w:id="21" w:name="OLE_LINK200"/>
                  <w:r>
                    <w:rPr>
                      <w:rFonts w:hint="default" w:ascii="Times New Roman" w:hAnsi="Times New Roman" w:cs="Times New Roman"/>
                      <w:color w:val="auto"/>
                      <w:sz w:val="18"/>
                      <w:szCs w:val="18"/>
                    </w:rPr>
                    <w:t>本项目不在九大高原湖泊（抚仙湖、星云湖、杞麓湖）流域内。</w:t>
                  </w:r>
                  <w:bookmarkEnd w:id="21"/>
                </w:p>
              </w:tc>
              <w:tc>
                <w:tcPr>
                  <w:tcW w:w="320" w:type="pct"/>
                  <w:tcBorders>
                    <w:tl2br w:val="nil"/>
                    <w:tr2bl w:val="nil"/>
                  </w:tcBorders>
                  <w:vAlign w:val="center"/>
                </w:tcPr>
                <w:p w14:paraId="62820FCE">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tc>
            </w:tr>
            <w:bookmarkEnd w:id="19"/>
            <w:tr w14:paraId="23F6E0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14" w:type="pct"/>
                  <w:tcBorders>
                    <w:tl2br w:val="nil"/>
                    <w:tr2bl w:val="nil"/>
                  </w:tcBorders>
                  <w:vAlign w:val="center"/>
                </w:tcPr>
                <w:p w14:paraId="0AAB026C">
                  <w:pPr>
                    <w:jc w:val="center"/>
                    <w:rPr>
                      <w:rFonts w:hint="default" w:ascii="Times New Roman" w:hAnsi="Times New Roman" w:cs="Times New Roman"/>
                      <w:color w:val="auto"/>
                      <w:sz w:val="18"/>
                      <w:szCs w:val="18"/>
                    </w:rPr>
                  </w:pPr>
                  <w:bookmarkStart w:id="22" w:name="_Hlk152575885"/>
                  <w:r>
                    <w:rPr>
                      <w:rFonts w:hint="default" w:ascii="Times New Roman" w:hAnsi="Times New Roman" w:cs="Times New Roman"/>
                      <w:color w:val="auto"/>
                      <w:sz w:val="18"/>
                      <w:szCs w:val="18"/>
                    </w:rPr>
                    <w:t>污染物排放管控</w:t>
                  </w:r>
                </w:p>
              </w:tc>
              <w:tc>
                <w:tcPr>
                  <w:tcW w:w="2596" w:type="pct"/>
                  <w:tcBorders>
                    <w:tl2br w:val="nil"/>
                    <w:tr2bl w:val="nil"/>
                  </w:tcBorders>
                  <w:vAlign w:val="center"/>
                </w:tcPr>
                <w:p w14:paraId="5D8898BD">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1、严格落实强制性清洁生产审核要求，引导重点行业实施清洁生产改造，到2025年底，重点行业企业基本达到国内清洁生产先进水平。</w:t>
                  </w:r>
                </w:p>
                <w:p w14:paraId="5C586AA4">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加大“三湖”（抚仙湖、星云湖、杞麓湖）及“两江”（南盘江干流、红河水系玉溪段）流域的保护和治理，推进流域环湖截污治污，加强湖泊内源污染风险防范，开展污水处理提质增效、农业面源污染治理、入河排污口整治、开发区污染治理、“三磷”和重金属行业排查等专项行动，建立水环境质量管理长效机制，持续巩固治理成效。持续打好城市黑臭水体治理攻坚战，有效控制入河污染物排放，强化溯源整治，推进城镇污水管网全覆盖。</w:t>
                  </w:r>
                </w:p>
                <w:p w14:paraId="47000991">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3、严格保护城乡饮用水水源地，整治饮用水水源保护区内的污染源，确保饮水安全。</w:t>
                  </w:r>
                </w:p>
                <w:p w14:paraId="677BE068">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开展细颗粒物和臭氧协同控制、挥发性有机物和氮氧化物协同减排。石化、化工、包装印刷、工业涂装等VOCs排放重点源，纳入重点排污单位名录，推进挥发性有机物综合治理，实施原辅材料和产品源头替代工程，排污口安装自动监控设施。推进运输结构调整，开展清洁柴油车（机）、清洁油品、车用尿素等专项行动，开展建筑施工工地扬尘专项治理；加大餐饮油烟污染、恶臭异味治理力度，强化秸秆综合利用和禁烧管控。推动有色金属、钢铁、磷化工、建材等重点行业节能降碳升级改造，淘汰落后工艺技术和生产装置，实施煤电、水泥、焦化企业超低排放改造，到2025年，钢铁行业全面完成超低排放改造。</w:t>
                  </w:r>
                </w:p>
                <w:p w14:paraId="165CE2BB">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5、加大环境污染物减排力度，到2025年，实现氮氧化物减排1224吨，挥发性有机物减排1393吨，化学需氧量减排2461吨，氨氮减排230吨。</w:t>
                  </w:r>
                </w:p>
                <w:p w14:paraId="0472D776">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严格管控农用地，不得在特定农产品禁止生产区域种植食用农产品；安全利用农用地，制定受污染耕地安全利用方案，降低农产品超标风险。合理规划污染地块土地用途，从严管控农药、化工、有色金属等行业企业重度污染地块开发利用，对列入建设用地土壤污染风险管控和修复名录的地块不得作为住宅、公共管理与公共服务用地，不得办理土地征收、收回、收购、土地供应以及改变土地用途等手续，应当依法开展土壤污染状况调查、治理与修复，并符合相应规划用地土壤环境质量要求后，方可进入用地程序。</w:t>
                  </w:r>
                </w:p>
                <w:p w14:paraId="44C06DD5">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加快“无废城市”建设，产生工业固体废物的单位应当建立健全工业固体废物产生、收集、贮存、运输、利用、处置全过程的污染环境防治责任制度，按照国家有关规定建立工业固体废物管理台账，加强重金属污染物排放管理，落实区域“减量替代”和“等量替代”要求，重金属污染物排放量2025年比2020年削减 4%。</w:t>
                  </w:r>
                </w:p>
                <w:p w14:paraId="2542656A">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8、到2025年，中心城区细颗粒物（PM</w:t>
                  </w:r>
                  <w:r>
                    <w:rPr>
                      <w:rFonts w:hint="default" w:ascii="Times New Roman" w:hAnsi="Times New Roman" w:cs="Times New Roman"/>
                      <w:color w:val="auto"/>
                      <w:sz w:val="18"/>
                      <w:szCs w:val="18"/>
                      <w:vertAlign w:val="subscript"/>
                    </w:rPr>
                    <w:t>2.5</w:t>
                  </w:r>
                  <w:r>
                    <w:rPr>
                      <w:rFonts w:hint="default" w:ascii="Times New Roman" w:hAnsi="Times New Roman" w:cs="Times New Roman"/>
                      <w:color w:val="auto"/>
                      <w:sz w:val="18"/>
                      <w:szCs w:val="18"/>
                    </w:rPr>
                    <w:t>）平均浓度控制在21微克/立方米以内，城市空气质量优良天数比率达到98.5%以上，坚决防范重度及以上污染天气发生，全市地表水国控断面优良水体比例达80%，消除城市黑臭水体，消除劣Ⅴ类水体。</w:t>
                  </w:r>
                </w:p>
              </w:tc>
              <w:tc>
                <w:tcPr>
                  <w:tcW w:w="1768" w:type="pct"/>
                  <w:tcBorders>
                    <w:tl2br w:val="nil"/>
                    <w:tr2bl w:val="nil"/>
                  </w:tcBorders>
                  <w:vAlign w:val="center"/>
                </w:tcPr>
                <w:p w14:paraId="7F394F99">
                  <w:pPr>
                    <w:adjustRightInd w:val="0"/>
                    <w:snapToGrid w:val="0"/>
                    <w:rPr>
                      <w:rFonts w:hint="default" w:ascii="Times New Roman" w:hAnsi="Times New Roman" w:cs="Times New Roman"/>
                      <w:bCs/>
                      <w:color w:val="auto"/>
                      <w:kern w:val="0"/>
                      <w:sz w:val="18"/>
                      <w:szCs w:val="18"/>
                    </w:rPr>
                  </w:pPr>
                  <w:r>
                    <w:rPr>
                      <w:rFonts w:hint="default" w:ascii="Times New Roman" w:hAnsi="Times New Roman" w:cs="Times New Roman"/>
                      <w:color w:val="auto"/>
                      <w:kern w:val="0"/>
                      <w:sz w:val="18"/>
                      <w:szCs w:val="18"/>
                    </w:rPr>
                    <w:t>1、</w:t>
                  </w:r>
                  <w:r>
                    <w:rPr>
                      <w:rFonts w:hint="default" w:ascii="Times New Roman" w:hAnsi="Times New Roman" w:cs="Times New Roman"/>
                      <w:bCs/>
                      <w:color w:val="auto"/>
                      <w:kern w:val="0"/>
                      <w:sz w:val="18"/>
                      <w:szCs w:val="18"/>
                    </w:rPr>
                    <w:t>本项目不在九大高原湖泊（抚仙湖、星云湖、杞麓湖）流域内。</w:t>
                  </w:r>
                </w:p>
                <w:p w14:paraId="54AF9458">
                  <w:pPr>
                    <w:adjustRightInd w:val="0"/>
                    <w:snapToGrid w:val="0"/>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2、项目所在地不涉及集中式饮用水水源地。项目区采取分区防渗减小地下水影响，且环评提出加强区域环境监测发现问题及时解决。</w:t>
                  </w:r>
                </w:p>
                <w:p w14:paraId="6EDAE63B">
                  <w:pPr>
                    <w:adjustRightInd w:val="0"/>
                    <w:snapToGrid w:val="0"/>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3、项目采用资源利用率高、污染物产生量小的清洁生产技术、工艺和设备，能源主要采用电，为清洁能源。且项目废气污染物产生量较小。</w:t>
                  </w:r>
                </w:p>
                <w:p w14:paraId="5EBF65B6">
                  <w:pPr>
                    <w:adjustRightInd w:val="0"/>
                    <w:snapToGrid w:val="0"/>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4-7、本项目不涉及。</w:t>
                  </w:r>
                </w:p>
                <w:p w14:paraId="6FADCFC1">
                  <w:pP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8、本项目按超低排放进行设计建设，污染物大幅降低，有利于区域环境空气的改善。项目生产废水全部回用，不外排；生活污水达标进入园区污水管网，最终进入园区污水处理厂进行处理。</w:t>
                  </w:r>
                </w:p>
              </w:tc>
              <w:tc>
                <w:tcPr>
                  <w:tcW w:w="320" w:type="pct"/>
                  <w:tcBorders>
                    <w:tl2br w:val="nil"/>
                    <w:tr2bl w:val="nil"/>
                  </w:tcBorders>
                  <w:vAlign w:val="center"/>
                </w:tcPr>
                <w:p w14:paraId="7A081ABE">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tc>
            </w:tr>
            <w:tr w14:paraId="5B984D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14" w:type="pct"/>
                  <w:tcBorders>
                    <w:tl2br w:val="nil"/>
                    <w:tr2bl w:val="nil"/>
                  </w:tcBorders>
                  <w:vAlign w:val="center"/>
                </w:tcPr>
                <w:p w14:paraId="510174F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环境风险防控</w:t>
                  </w:r>
                </w:p>
              </w:tc>
              <w:tc>
                <w:tcPr>
                  <w:tcW w:w="2596" w:type="pct"/>
                  <w:tcBorders>
                    <w:tl2br w:val="nil"/>
                    <w:tr2bl w:val="nil"/>
                  </w:tcBorders>
                  <w:vAlign w:val="center"/>
                </w:tcPr>
                <w:p w14:paraId="3FF0B777">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1、强化与其他滇中城市的大气、水污染防治联防联控协作机制，加强区域内重污染天气和跨界水体风险应急联动。</w:t>
                  </w:r>
                </w:p>
                <w:p w14:paraId="10BB2F9E">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开展涉危险废物涉重金属企业、化工园区等重点领域环境风险调查评估，加强危险化学品运输全链条安全监管。完善环境应急管理体系，提升市县两级环境应急响应能力，推进应急物资库建设。开展涉铊企业排查整治行动。建立“平战结合”医疗废物应急处置体系。</w:t>
                  </w:r>
                </w:p>
              </w:tc>
              <w:tc>
                <w:tcPr>
                  <w:tcW w:w="1768" w:type="pct"/>
                  <w:tcBorders>
                    <w:tl2br w:val="nil"/>
                    <w:tr2bl w:val="nil"/>
                  </w:tcBorders>
                  <w:vAlign w:val="center"/>
                </w:tcPr>
                <w:p w14:paraId="781E7CA3">
                  <w:pPr>
                    <w:adjustRightInd w:val="0"/>
                    <w:snapToGrid w:val="0"/>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lang w:bidi="ar"/>
                    </w:rPr>
                    <w:t>本项目后续将按要求对全厂突发环境事件应急预案进行修编，并按要求严格落实风险防范措施。</w:t>
                  </w:r>
                </w:p>
              </w:tc>
              <w:tc>
                <w:tcPr>
                  <w:tcW w:w="320" w:type="pct"/>
                  <w:tcBorders>
                    <w:tl2br w:val="nil"/>
                    <w:tr2bl w:val="nil"/>
                  </w:tcBorders>
                  <w:vAlign w:val="center"/>
                </w:tcPr>
                <w:p w14:paraId="44A07AEA">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tc>
            </w:tr>
            <w:bookmarkEnd w:id="22"/>
            <w:tr w14:paraId="14A9A1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14" w:type="pct"/>
                  <w:tcBorders>
                    <w:tl2br w:val="nil"/>
                    <w:tr2bl w:val="nil"/>
                  </w:tcBorders>
                  <w:vAlign w:val="center"/>
                </w:tcPr>
                <w:p w14:paraId="7CD0069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资源利用效率</w:t>
                  </w:r>
                </w:p>
              </w:tc>
              <w:tc>
                <w:tcPr>
                  <w:tcW w:w="2596" w:type="pct"/>
                  <w:tcBorders>
                    <w:tl2br w:val="nil"/>
                    <w:tr2bl w:val="nil"/>
                  </w:tcBorders>
                  <w:vAlign w:val="center"/>
                </w:tcPr>
                <w:p w14:paraId="5398E0A3">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1、降低水、土地、能源、矿产资源消耗强度，强化约束性指标管理。</w:t>
                  </w:r>
                </w:p>
                <w:p w14:paraId="2AEE9FB6">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实行最严格的水资源管理制度，严格用水总量、强度指标管理，严格取水管控，建立重点监控取水单位名录，强化重点监控取水单位管理。全市年用水总量、万元工业增加值用水量降幅等指标达到省考核要求。</w:t>
                  </w:r>
                </w:p>
                <w:p w14:paraId="1F71E26F">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3、坚持最严格的耕地保护制度，守住耕地保护红线。坚持节约用地，严格执行耕地占补平衡等制度，提高土地投资强度和单位面积产出水平。</w:t>
                  </w:r>
                </w:p>
                <w:p w14:paraId="6F088394">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4、全市单位GDP二氧化碳排放累计下降率完成云南省下达的指标；单位GDP能耗持续下降，到2025 年，全市单位GDP能耗累计下降率14%。</w:t>
                  </w:r>
                </w:p>
                <w:p w14:paraId="34ACBB01">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5、高污染燃料禁燃区按照《高污染燃料目录》及当地有关禁燃区管理规定执行。</w:t>
                  </w:r>
                </w:p>
                <w:p w14:paraId="618EE11D">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6、实施高效节水灌溉工程，大力推广高效节水灌溉措施，到2025年，农田灌溉水有效利用系数达到0.55。</w:t>
                  </w:r>
                </w:p>
              </w:tc>
              <w:tc>
                <w:tcPr>
                  <w:tcW w:w="1768" w:type="pct"/>
                  <w:tcBorders>
                    <w:tl2br w:val="nil"/>
                    <w:tr2bl w:val="nil"/>
                  </w:tcBorders>
                  <w:vAlign w:val="center"/>
                </w:tcPr>
                <w:p w14:paraId="415F07E0">
                  <w:pPr>
                    <w:autoSpaceDE w:val="0"/>
                    <w:autoSpaceDN w:val="0"/>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项目在厂区现有场地范围进行建设，项目占地不涉及基本农田，符合土地资源利用上线要求。</w:t>
                  </w:r>
                </w:p>
              </w:tc>
              <w:tc>
                <w:tcPr>
                  <w:tcW w:w="320" w:type="pct"/>
                  <w:tcBorders>
                    <w:tl2br w:val="nil"/>
                    <w:tr2bl w:val="nil"/>
                  </w:tcBorders>
                  <w:vAlign w:val="center"/>
                </w:tcPr>
                <w:p w14:paraId="75BDFD41">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tc>
            </w:tr>
            <w:bookmarkEnd w:id="18"/>
          </w:tbl>
          <w:p w14:paraId="4AA55AC8">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根据玉溪市生态环境局通海分局于2025年10月20日出具的《通海南方钢铁有限公司三线一单管控单元查询结果》：本项目涉及通海县产业园区重点管控单元。项目与管控单元位置关系图：</w:t>
            </w:r>
          </w:p>
          <w:p w14:paraId="449875BC">
            <w:pPr>
              <w:pStyle w:val="18"/>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538345" cy="2559050"/>
                  <wp:effectExtent l="0" t="0" r="14605" b="1270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9"/>
                          <a:stretch>
                            <a:fillRect/>
                          </a:stretch>
                        </pic:blipFill>
                        <pic:spPr>
                          <a:xfrm>
                            <a:off x="0" y="0"/>
                            <a:ext cx="4538345" cy="2559050"/>
                          </a:xfrm>
                          <a:prstGeom prst="rect">
                            <a:avLst/>
                          </a:prstGeom>
                          <a:noFill/>
                          <a:ln>
                            <a:noFill/>
                          </a:ln>
                        </pic:spPr>
                      </pic:pic>
                    </a:graphicData>
                  </a:graphic>
                </wp:inline>
              </w:drawing>
            </w:r>
          </w:p>
          <w:p w14:paraId="27E9874A">
            <w:pPr>
              <w:spacing w:line="360" w:lineRule="auto"/>
              <w:ind w:firstLine="482" w:firstLineChars="20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图1   项目与管控单元位置关系图</w:t>
            </w:r>
          </w:p>
          <w:p w14:paraId="44F7DB21">
            <w:pPr>
              <w:spacing w:line="360" w:lineRule="auto"/>
              <w:ind w:firstLine="480" w:firstLineChars="200"/>
              <w:jc w:val="left"/>
              <w:rPr>
                <w:rFonts w:hint="default" w:ascii="Times New Roman" w:hAnsi="Times New Roman" w:cs="Times New Roman"/>
                <w:b/>
                <w:bCs/>
                <w:color w:val="auto"/>
                <w:szCs w:val="28"/>
              </w:rPr>
            </w:pPr>
            <w:r>
              <w:rPr>
                <w:rFonts w:hint="default" w:ascii="Times New Roman" w:hAnsi="Times New Roman" w:cs="Times New Roman"/>
                <w:color w:val="auto"/>
                <w:sz w:val="24"/>
              </w:rPr>
              <w:t>其符合性分析如下：</w:t>
            </w:r>
          </w:p>
          <w:p w14:paraId="739E5222">
            <w:pPr>
              <w:widowControl/>
              <w:spacing w:line="360" w:lineRule="auto"/>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表1-4   与项目所在管控单元生态环境准入清单符合性分析</w:t>
            </w:r>
          </w:p>
          <w:tbl>
            <w:tblPr>
              <w:tblStyle w:val="35"/>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2"/>
              <w:gridCol w:w="410"/>
              <w:gridCol w:w="2738"/>
              <w:gridCol w:w="3392"/>
              <w:gridCol w:w="343"/>
            </w:tblGrid>
            <w:tr w14:paraId="64A197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pct"/>
                  <w:gridSpan w:val="2"/>
                  <w:vAlign w:val="center"/>
                </w:tcPr>
                <w:p w14:paraId="1BC1D7B1">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单元</w:t>
                  </w:r>
                </w:p>
                <w:p w14:paraId="767C6628">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名称</w:t>
                  </w:r>
                </w:p>
              </w:tc>
              <w:tc>
                <w:tcPr>
                  <w:tcW w:w="1843" w:type="pct"/>
                  <w:vAlign w:val="center"/>
                </w:tcPr>
                <w:p w14:paraId="1D6809F7">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管控要求</w:t>
                  </w:r>
                </w:p>
              </w:tc>
              <w:tc>
                <w:tcPr>
                  <w:tcW w:w="2283" w:type="pct"/>
                  <w:vAlign w:val="center"/>
                </w:tcPr>
                <w:p w14:paraId="3B52FEE7">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本规划情况</w:t>
                  </w:r>
                </w:p>
              </w:tc>
              <w:tc>
                <w:tcPr>
                  <w:tcW w:w="231" w:type="pct"/>
                  <w:vAlign w:val="center"/>
                </w:tcPr>
                <w:p w14:paraId="7A09CA44">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符合性</w:t>
                  </w:r>
                </w:p>
              </w:tc>
            </w:tr>
            <w:tr w14:paraId="39272C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5" w:type="pct"/>
                  <w:vMerge w:val="restart"/>
                  <w:vAlign w:val="center"/>
                </w:tcPr>
                <w:p w14:paraId="263FD803">
                  <w:pPr>
                    <w:autoSpaceDE w:val="0"/>
                    <w:autoSpaceDN w:val="0"/>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shd w:val="clear" w:color="auto" w:fill="FFFFFF"/>
                    </w:rPr>
                    <w:t>通海县产业园区重点管控单元</w:t>
                  </w:r>
                </w:p>
              </w:tc>
              <w:tc>
                <w:tcPr>
                  <w:tcW w:w="275" w:type="pct"/>
                  <w:vAlign w:val="center"/>
                </w:tcPr>
                <w:p w14:paraId="7A4EB21E">
                  <w:pPr>
                    <w:widowControl/>
                    <w:adjustRightInd w:val="0"/>
                    <w:snapToGrid w:val="0"/>
                    <w:jc w:val="left"/>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rPr>
                    <w:t>空间布局约束</w:t>
                  </w:r>
                </w:p>
              </w:tc>
              <w:tc>
                <w:tcPr>
                  <w:tcW w:w="1843" w:type="pct"/>
                  <w:vAlign w:val="center"/>
                </w:tcPr>
                <w:p w14:paraId="38143098">
                  <w:pP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1.合理规划产业分区和功能定位，禁止不符合产业政策、产业结构调整指导目录和园区规划要求的项目入园区。园区钢铁、水泥等产业严格执行产能置换，严禁新增产能。</w:t>
                  </w:r>
                </w:p>
                <w:p w14:paraId="79990F42">
                  <w:pP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2.在受纳水体未达标前，各片区不得入驻废水排放量大的产业。</w:t>
                  </w:r>
                </w:p>
                <w:p w14:paraId="7FEB4139">
                  <w:pP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3.里山片区重污染产业远离居民集中区布局。</w:t>
                  </w:r>
                </w:p>
                <w:p w14:paraId="7F32176C">
                  <w:pP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4.开发建设活动必须符合《云南省杞麓湖保护条例》要求。</w:t>
                  </w:r>
                </w:p>
                <w:p w14:paraId="3FB983D8">
                  <w:pPr>
                    <w:adjustRightInd w:val="0"/>
                    <w:snapToGrid w:val="0"/>
                    <w:jc w:val="left"/>
                    <w:rPr>
                      <w:rFonts w:hint="default" w:ascii="Times New Roman" w:hAnsi="Times New Roman" w:cs="Times New Roman"/>
                      <w:bCs/>
                      <w:color w:val="auto"/>
                      <w:sz w:val="18"/>
                      <w:szCs w:val="18"/>
                    </w:rPr>
                  </w:pPr>
                </w:p>
              </w:tc>
              <w:tc>
                <w:tcPr>
                  <w:tcW w:w="2283" w:type="pct"/>
                  <w:vAlign w:val="center"/>
                </w:tcPr>
                <w:p w14:paraId="4B03C7D1">
                  <w:pPr>
                    <w:numPr>
                      <w:ilvl w:val="0"/>
                      <w:numId w:val="1"/>
                    </w:numP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项目采用熟拔的生产工艺，其生产工序包括管坯加热、穿孔、毛管补温、减定径、冷却、矫直、打包等生产工艺组成，区别于热轧工艺，本项目没有轧管工序，穿孔补温完成后直接进入减定径机。根据2022年8月15日通海县发展和改革局下发的《关于通海南方钢铁有限公司新建年产3万吨无缝钢管生产线项目节能评审意见》（通发改〔2022〕61号）：三、该项目不属于《产业结构调整指导目录（2019年本）》淘汰类和限制类装置。根据项目节能报告，项目符合国家、行业相关文件及工业发展规划的要求；项目生产工艺采用熟拔，区别于传统热轧工艺，建设方案符合工业节能标准规范的要求。此外通海县发展和改革局出具了《关于通海南方钢铁有限公司新建年产3万吨无缝钢管生产线项目产业结构属性认定的回复函》（通发改函[2025]32号），明确项目符合国家产业政策，不属于《产业结构调整指导目录（2024年本）》中的限制类及淘汰类。因此项目的建设符合产业政策、符合《云南通海产业园区总体规划修编（2021-2035年）》、《云南通海产业园区总体规划修编（2021-2035年）环境影响报告书》及审查意见中相关环保要求。</w:t>
                  </w:r>
                </w:p>
                <w:p w14:paraId="6B15684D">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rPr>
                    <w:t>2.</w:t>
                  </w:r>
                  <w:r>
                    <w:rPr>
                      <w:rFonts w:hint="default" w:ascii="Times New Roman" w:hAnsi="Times New Roman" w:cs="Times New Roman"/>
                      <w:bCs/>
                      <w:color w:val="auto"/>
                      <w:sz w:val="18"/>
                      <w:szCs w:val="18"/>
                    </w:rPr>
                    <w:t>项目生产废水全部回用，不外排，生活污水达标进入园区污水管网，最终进入园区污水处理厂进行处理。</w:t>
                  </w:r>
                </w:p>
                <w:p w14:paraId="2F4F47D6">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rPr>
                    <w:t>3.项目在现有场地进行建设，</w:t>
                  </w:r>
                  <w:r>
                    <w:rPr>
                      <w:rFonts w:hint="default" w:ascii="Times New Roman" w:hAnsi="Times New Roman" w:cs="Times New Roman"/>
                      <w:bCs/>
                      <w:color w:val="auto"/>
                      <w:sz w:val="18"/>
                      <w:szCs w:val="18"/>
                    </w:rPr>
                    <w:t>不涉及搬迁。</w:t>
                  </w:r>
                </w:p>
                <w:p w14:paraId="0F83ABF2">
                  <w:pPr>
                    <w:adjustRightInd w:val="0"/>
                    <w:snapToGrid w:val="0"/>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4.不涉及</w:t>
                  </w:r>
                  <w:r>
                    <w:rPr>
                      <w:rFonts w:hint="default" w:ascii="Times New Roman" w:hAnsi="Times New Roman" w:cs="Times New Roman"/>
                      <w:bCs/>
                      <w:color w:val="auto"/>
                      <w:sz w:val="18"/>
                      <w:szCs w:val="18"/>
                      <w:shd w:val="clear" w:color="auto" w:fill="FFFFFF"/>
                    </w:rPr>
                    <w:t>杞麓湖</w:t>
                  </w:r>
                  <w:r>
                    <w:rPr>
                      <w:rFonts w:hint="default" w:ascii="Times New Roman" w:hAnsi="Times New Roman" w:cs="Times New Roman"/>
                      <w:bCs/>
                      <w:color w:val="auto"/>
                      <w:kern w:val="0"/>
                      <w:sz w:val="18"/>
                      <w:szCs w:val="18"/>
                    </w:rPr>
                    <w:t>。</w:t>
                  </w:r>
                </w:p>
              </w:tc>
              <w:tc>
                <w:tcPr>
                  <w:tcW w:w="231" w:type="pct"/>
                  <w:vAlign w:val="center"/>
                </w:tcPr>
                <w:p w14:paraId="4968162A">
                  <w:pPr>
                    <w:autoSpaceDE w:val="0"/>
                    <w:autoSpaceDN w:val="0"/>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w:t>
                  </w:r>
                </w:p>
              </w:tc>
            </w:tr>
            <w:tr w14:paraId="4739FE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5" w:type="pct"/>
                  <w:vMerge w:val="continue"/>
                  <w:vAlign w:val="center"/>
                </w:tcPr>
                <w:p w14:paraId="2EDEB7B8">
                  <w:pPr>
                    <w:autoSpaceDE w:val="0"/>
                    <w:autoSpaceDN w:val="0"/>
                    <w:adjustRightInd w:val="0"/>
                    <w:snapToGrid w:val="0"/>
                    <w:jc w:val="center"/>
                    <w:rPr>
                      <w:rFonts w:hint="default" w:ascii="Times New Roman" w:hAnsi="Times New Roman" w:cs="Times New Roman"/>
                      <w:bCs/>
                      <w:color w:val="auto"/>
                      <w:sz w:val="18"/>
                      <w:szCs w:val="18"/>
                    </w:rPr>
                  </w:pPr>
                </w:p>
              </w:tc>
              <w:tc>
                <w:tcPr>
                  <w:tcW w:w="275" w:type="pct"/>
                  <w:vAlign w:val="center"/>
                </w:tcPr>
                <w:p w14:paraId="313ADAF2">
                  <w:pPr>
                    <w:widowControl/>
                    <w:adjustRightInd w:val="0"/>
                    <w:snapToGrid w:val="0"/>
                    <w:jc w:val="left"/>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rPr>
                    <w:t>污染物排放管控</w:t>
                  </w:r>
                </w:p>
              </w:tc>
              <w:tc>
                <w:tcPr>
                  <w:tcW w:w="1843" w:type="pct"/>
                  <w:vAlign w:val="center"/>
                </w:tcPr>
                <w:p w14:paraId="39EE4C3B">
                  <w:pP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现有“两高”企业应从原燃料清洁替代、节能降耗技术、余热余能利用、清洁运输方式等方面提出针对性的降碳措施与污染控制要求。新建“两高”项目依据区域环境质量改善目标，制定配套区域污染物削减方案，采取有效的污染物区域削减措施，腾出足够的环境容量。新建、扩建（转型升级）的“两高”项目应采用先进适用的工艺技术和装备，单位产品物耗、能耗、水耗等达到清洁生产先进水平，依法制定并严格落实防治土壤与地下水污染的措施。已出台超低排放要求的“两高”行业建设项目应满足超低排放要求。</w:t>
                  </w:r>
                </w:p>
                <w:p w14:paraId="05EF56DE">
                  <w:pP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2.加快园区雨水管网的建设，实现园区雨污分流，加快建设里山片区工业用水蓄水池并配套中水回用管网。</w:t>
                  </w:r>
                </w:p>
                <w:p w14:paraId="49E4378C">
                  <w:pP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里山、芭蕉片区生产废水企业处理达标后回用，不外排，生活污水由片区配套污水处理设施处理达标后回用，不外排；生活污水由片区配套污水处理设施处理达标后用作绿化及交通设施用水，不外排；乌龙潭片区统一设置废水排放口，入驻食品加工企业生产废水企业处理达《城市污水再生利用 工业用水水质》（GB/T19923）后进入工业用水蓄水池用作里山片区入驻企业工业补水。</w:t>
                  </w:r>
                </w:p>
                <w:p w14:paraId="5333D8D7">
                  <w:pP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4.使用电能、天然气、生物质燃料等清洁能源为主要能源，逐步降低煤炭等高污染燃料的使用；乌龙潭片区建设集中供热项目，为片区食品加工企业提供能源供应。</w:t>
                  </w:r>
                </w:p>
                <w:p w14:paraId="071287ED">
                  <w:pP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5.不良地质条件区域重点做好地下水污染防治和监控。</w:t>
                  </w:r>
                </w:p>
              </w:tc>
              <w:tc>
                <w:tcPr>
                  <w:tcW w:w="2283" w:type="pct"/>
                  <w:vAlign w:val="center"/>
                </w:tcPr>
                <w:p w14:paraId="6CF53E13">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1、本项目为无缝钢管生产项目，主要用电作为能源，采用先进的生产设备和工艺，废气产生量较小。</w:t>
                  </w:r>
                </w:p>
                <w:p w14:paraId="175B5AD6">
                  <w:pPr>
                    <w:widowControl/>
                    <w:adjustRightInd w:val="0"/>
                    <w:snapToGrid w:val="0"/>
                    <w:rPr>
                      <w:rFonts w:hint="default" w:ascii="Times New Roman" w:hAnsi="Times New Roman" w:cs="Times New Roman"/>
                      <w:color w:val="auto"/>
                      <w:sz w:val="18"/>
                      <w:szCs w:val="18"/>
                    </w:rPr>
                  </w:pPr>
                  <w:r>
                    <w:rPr>
                      <w:rFonts w:hint="default" w:ascii="Times New Roman" w:hAnsi="Times New Roman" w:cs="Times New Roman"/>
                      <w:bCs/>
                      <w:color w:val="auto"/>
                      <w:kern w:val="0"/>
                      <w:sz w:val="18"/>
                      <w:szCs w:val="18"/>
                    </w:rPr>
                    <w:t>项目采用资源利用率高、污染物产生量小的清洁生产技术、工艺和设备。</w:t>
                  </w:r>
                  <w:r>
                    <w:rPr>
                      <w:rFonts w:hint="default" w:ascii="Times New Roman" w:hAnsi="Times New Roman" w:cs="Times New Roman"/>
                      <w:color w:val="auto"/>
                      <w:sz w:val="18"/>
                      <w:szCs w:val="18"/>
                    </w:rPr>
                    <w:t>经环评提出，项目厂区内进行分区防渗，对地下水和土壤污染较大的风险区域进行重点防渗，对污染较小但有风险存在的区域进行一般防渗，对地下水及土壤的影响较小。</w:t>
                  </w:r>
                </w:p>
                <w:p w14:paraId="26B88801">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2、项目区进行雨污分流。</w:t>
                  </w:r>
                </w:p>
                <w:p w14:paraId="1046540D">
                  <w:pP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3、</w:t>
                  </w:r>
                  <w:r>
                    <w:rPr>
                      <w:rFonts w:hint="default" w:ascii="Times New Roman" w:hAnsi="Times New Roman" w:cs="Times New Roman"/>
                      <w:color w:val="auto"/>
                      <w:kern w:val="0"/>
                      <w:sz w:val="18"/>
                      <w:szCs w:val="18"/>
                    </w:rPr>
                    <w:t>项目生产废水全部回用，不外排；生活污水达标进入园区污水管网。</w:t>
                  </w:r>
                </w:p>
                <w:p w14:paraId="75132759">
                  <w:pPr>
                    <w:rPr>
                      <w:rFonts w:hint="default" w:ascii="Times New Roman" w:hAnsi="Times New Roman" w:cs="Times New Roman"/>
                      <w:color w:val="auto"/>
                      <w:sz w:val="18"/>
                      <w:szCs w:val="18"/>
                      <w:shd w:val="clear" w:color="auto" w:fill="FFFFFF"/>
                    </w:rPr>
                  </w:pPr>
                  <w:r>
                    <w:rPr>
                      <w:rFonts w:hint="default" w:ascii="Times New Roman" w:hAnsi="Times New Roman" w:cs="Times New Roman"/>
                      <w:color w:val="auto"/>
                      <w:kern w:val="0"/>
                      <w:sz w:val="18"/>
                      <w:szCs w:val="18"/>
                    </w:rPr>
                    <w:t>4、项目主要用电作为能源，不使用</w:t>
                  </w:r>
                  <w:r>
                    <w:rPr>
                      <w:rFonts w:hint="default" w:ascii="Times New Roman" w:hAnsi="Times New Roman" w:cs="Times New Roman"/>
                      <w:color w:val="auto"/>
                      <w:sz w:val="18"/>
                      <w:szCs w:val="18"/>
                      <w:shd w:val="clear" w:color="auto" w:fill="FFFFFF"/>
                    </w:rPr>
                    <w:t>高污染燃料。</w:t>
                  </w:r>
                </w:p>
                <w:p w14:paraId="7AD97D1C">
                  <w:pPr>
                    <w:rPr>
                      <w:rFonts w:hint="default" w:ascii="Times New Roman" w:hAnsi="Times New Roman" w:cs="Times New Roman"/>
                      <w:color w:val="auto"/>
                      <w:sz w:val="18"/>
                      <w:szCs w:val="18"/>
                      <w:shd w:val="clear" w:color="auto" w:fill="FFFFFF"/>
                    </w:rPr>
                  </w:pPr>
                  <w:r>
                    <w:rPr>
                      <w:rFonts w:hint="default" w:ascii="Times New Roman" w:hAnsi="Times New Roman" w:cs="Times New Roman"/>
                      <w:color w:val="auto"/>
                      <w:sz w:val="18"/>
                      <w:szCs w:val="18"/>
                      <w:shd w:val="clear" w:color="auto" w:fill="FFFFFF"/>
                    </w:rPr>
                    <w:t>5、</w:t>
                  </w:r>
                  <w:r>
                    <w:rPr>
                      <w:rFonts w:hint="default" w:ascii="Times New Roman" w:hAnsi="Times New Roman" w:cs="Times New Roman"/>
                      <w:bCs/>
                      <w:color w:val="auto"/>
                      <w:sz w:val="18"/>
                      <w:szCs w:val="18"/>
                    </w:rPr>
                    <w:t>本项目选址不在泉域保护范围内，项目占地范围内不存在落水洞和岩溶漏斗。</w:t>
                  </w:r>
                  <w:r>
                    <w:rPr>
                      <w:rFonts w:hint="default" w:ascii="Times New Roman" w:hAnsi="Times New Roman" w:cs="Times New Roman"/>
                      <w:bCs/>
                      <w:color w:val="auto"/>
                      <w:kern w:val="0"/>
                      <w:sz w:val="18"/>
                      <w:szCs w:val="18"/>
                      <w:lang w:bidi="ar"/>
                    </w:rPr>
                    <w:t>项目采取严格的地下水分区防渗措施，可有效避免运营过程中污染地下水。</w:t>
                  </w:r>
                </w:p>
              </w:tc>
              <w:tc>
                <w:tcPr>
                  <w:tcW w:w="231" w:type="pct"/>
                  <w:vAlign w:val="center"/>
                </w:tcPr>
                <w:p w14:paraId="04A19E13">
                  <w:pPr>
                    <w:autoSpaceDE w:val="0"/>
                    <w:autoSpaceDN w:val="0"/>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w:t>
                  </w:r>
                </w:p>
              </w:tc>
            </w:tr>
            <w:tr w14:paraId="572A73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5" w:type="pct"/>
                  <w:vMerge w:val="continue"/>
                  <w:vAlign w:val="center"/>
                </w:tcPr>
                <w:p w14:paraId="16F72F30">
                  <w:pPr>
                    <w:autoSpaceDE w:val="0"/>
                    <w:autoSpaceDN w:val="0"/>
                    <w:adjustRightInd w:val="0"/>
                    <w:snapToGrid w:val="0"/>
                    <w:jc w:val="center"/>
                    <w:rPr>
                      <w:rFonts w:hint="default" w:ascii="Times New Roman" w:hAnsi="Times New Roman" w:cs="Times New Roman"/>
                      <w:bCs/>
                      <w:color w:val="auto"/>
                      <w:sz w:val="18"/>
                      <w:szCs w:val="18"/>
                    </w:rPr>
                  </w:pPr>
                </w:p>
              </w:tc>
              <w:tc>
                <w:tcPr>
                  <w:tcW w:w="275" w:type="pct"/>
                  <w:vAlign w:val="center"/>
                </w:tcPr>
                <w:p w14:paraId="23D9F5AB">
                  <w:pPr>
                    <w:widowControl/>
                    <w:adjustRightInd w:val="0"/>
                    <w:snapToGrid w:val="0"/>
                    <w:contextualSpacing/>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rPr>
                    <w:t>环境风险防控</w:t>
                  </w:r>
                </w:p>
              </w:tc>
              <w:tc>
                <w:tcPr>
                  <w:tcW w:w="1843" w:type="pct"/>
                  <w:vAlign w:val="center"/>
                </w:tcPr>
                <w:p w14:paraId="7BB2618E">
                  <w:pP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1.靠近城区居民分布密集区周边区域不宜布置日常储量构成重大危险源的使用危险化学品的项目。</w:t>
                  </w:r>
                </w:p>
                <w:p w14:paraId="05558CE2">
                  <w:pP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2.注重危险化学品的贮存和风险防范，其最大可信事故半致死浓度范围内不得有居民点存在。</w:t>
                  </w:r>
                </w:p>
                <w:p w14:paraId="3E0A7D2A">
                  <w:pP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3.对于进驻园区项目在选址布局时要充分考虑卫生防护距离和安全防护距离的要求。及时完成重污染企业周边环境防护距离内居民的搬迁工作。</w:t>
                  </w:r>
                </w:p>
                <w:p w14:paraId="33707D8A">
                  <w:pP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4.制定突发环境事件应急预案，完善风险管理机制，加强风险控制防范。建立区域环境监测制度，加强规划实施的跟踪监测与管理。</w:t>
                  </w:r>
                </w:p>
              </w:tc>
              <w:tc>
                <w:tcPr>
                  <w:tcW w:w="2283" w:type="pct"/>
                  <w:vAlign w:val="center"/>
                </w:tcPr>
                <w:p w14:paraId="7D8CE355">
                  <w:pPr>
                    <w:widowControl/>
                    <w:adjustRightInd w:val="0"/>
                    <w:snapToGrid w:val="0"/>
                    <w:contextualSpacing/>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1-2、不涉及</w:t>
                  </w:r>
                  <w:r>
                    <w:rPr>
                      <w:rFonts w:hint="default" w:ascii="Times New Roman" w:hAnsi="Times New Roman" w:cs="Times New Roman"/>
                      <w:color w:val="auto"/>
                      <w:sz w:val="18"/>
                      <w:szCs w:val="18"/>
                      <w:shd w:val="clear" w:color="auto" w:fill="FFFFFF"/>
                    </w:rPr>
                    <w:t>危险化学品。</w:t>
                  </w:r>
                </w:p>
                <w:p w14:paraId="20FA29AB">
                  <w:pPr>
                    <w:widowControl/>
                    <w:adjustRightInd w:val="0"/>
                    <w:snapToGrid w:val="0"/>
                    <w:contextualSpacing/>
                    <w:rPr>
                      <w:rFonts w:hint="default" w:ascii="Times New Roman" w:hAnsi="Times New Roman" w:cs="Times New Roman"/>
                      <w:bCs/>
                      <w:color w:val="auto"/>
                      <w:kern w:val="0"/>
                      <w:sz w:val="18"/>
                      <w:szCs w:val="18"/>
                    </w:rPr>
                  </w:pPr>
                  <w:r>
                    <w:rPr>
                      <w:rFonts w:hint="default" w:ascii="Times New Roman" w:hAnsi="Times New Roman" w:cs="Times New Roman"/>
                      <w:bCs/>
                      <w:color w:val="auto"/>
                      <w:kern w:val="0"/>
                      <w:sz w:val="18"/>
                      <w:szCs w:val="18"/>
                    </w:rPr>
                    <w:t>3、项目后续按要求对全厂突发环境事件应急预案进行修编，项目制定废气、土壤等定期监测计划。</w:t>
                  </w:r>
                </w:p>
              </w:tc>
              <w:tc>
                <w:tcPr>
                  <w:tcW w:w="231" w:type="pct"/>
                  <w:vAlign w:val="center"/>
                </w:tcPr>
                <w:p w14:paraId="381D4D47">
                  <w:pPr>
                    <w:autoSpaceDE w:val="0"/>
                    <w:autoSpaceDN w:val="0"/>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w:t>
                  </w:r>
                </w:p>
              </w:tc>
            </w:tr>
          </w:tbl>
          <w:p w14:paraId="12A01BD4">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根据上表的分析可知，项目的建设</w:t>
            </w:r>
            <w:bookmarkStart w:id="23" w:name="OLE_LINK39"/>
            <w:r>
              <w:rPr>
                <w:rFonts w:hint="default" w:ascii="Times New Roman" w:hAnsi="Times New Roman" w:cs="Times New Roman"/>
                <w:color w:val="auto"/>
                <w:sz w:val="24"/>
              </w:rPr>
              <w:t>符合动态更新后的《玉溪市生态环境分区管控动态更新调整方案（2023年）》相关管控要求。</w:t>
            </w:r>
            <w:bookmarkEnd w:id="23"/>
          </w:p>
          <w:p w14:paraId="2358568E">
            <w:pPr>
              <w:pStyle w:val="5"/>
              <w:adjustRightInd w:val="0"/>
              <w:snapToGrid w:val="0"/>
              <w:rPr>
                <w:rFonts w:hint="default" w:ascii="Times New Roman" w:hAnsi="Times New Roman" w:cs="Times New Roman"/>
                <w:color w:val="auto"/>
                <w:sz w:val="24"/>
              </w:rPr>
            </w:pPr>
            <w:r>
              <w:rPr>
                <w:rFonts w:hint="default" w:ascii="Times New Roman" w:hAnsi="Times New Roman" w:cs="Times New Roman"/>
                <w:color w:val="auto"/>
                <w:kern w:val="0"/>
                <w:sz w:val="24"/>
                <w:szCs w:val="32"/>
              </w:rPr>
              <w:t>5、</w:t>
            </w:r>
            <w:r>
              <w:rPr>
                <w:rFonts w:hint="default" w:ascii="Times New Roman" w:hAnsi="Times New Roman" w:cs="Times New Roman"/>
                <w:color w:val="auto"/>
                <w:sz w:val="24"/>
              </w:rPr>
              <w:t>项目与《长江经济带发展负面清单指南（试行，2022年版）》的符合性分析</w:t>
            </w:r>
          </w:p>
          <w:p w14:paraId="0EFD4474">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推动长江经济带发展领导小组办公室于2022年1月19日印发《长江经济带发展负面清单指南（试行，2022年版）》的通知（长江办〔2022〕7号），项目与《长江经济带发展负面清单指南（试行，2022年版）》符合性判定分析见下表：</w:t>
            </w:r>
          </w:p>
          <w:p w14:paraId="2537D8D4">
            <w:pPr>
              <w:widowControl/>
              <w:spacing w:line="360" w:lineRule="auto"/>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表1-5  与《长江经济带发展负面清单指南（试行，2022年版）》的符合性分析</w:t>
            </w:r>
          </w:p>
          <w:tbl>
            <w:tblPr>
              <w:tblStyle w:val="35"/>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4"/>
              <w:gridCol w:w="3770"/>
              <w:gridCol w:w="2482"/>
              <w:gridCol w:w="659"/>
            </w:tblGrid>
            <w:tr w14:paraId="5A8CB2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tcBorders>
                    <w:tl2br w:val="nil"/>
                    <w:tr2bl w:val="nil"/>
                  </w:tcBorders>
                  <w:vAlign w:val="center"/>
                </w:tcPr>
                <w:p w14:paraId="6A8609D1">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序号</w:t>
                  </w:r>
                </w:p>
              </w:tc>
              <w:tc>
                <w:tcPr>
                  <w:tcW w:w="2538" w:type="pct"/>
                  <w:tcBorders>
                    <w:tl2br w:val="nil"/>
                    <w:tr2bl w:val="nil"/>
                  </w:tcBorders>
                  <w:vAlign w:val="center"/>
                </w:tcPr>
                <w:p w14:paraId="333377BC">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《长江经济带发展负面清单指南（试行，2022年版）》</w:t>
                  </w:r>
                </w:p>
              </w:tc>
              <w:tc>
                <w:tcPr>
                  <w:tcW w:w="1671" w:type="pct"/>
                  <w:tcBorders>
                    <w:tl2br w:val="nil"/>
                    <w:tr2bl w:val="nil"/>
                  </w:tcBorders>
                  <w:vAlign w:val="center"/>
                </w:tcPr>
                <w:p w14:paraId="588534D9">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项目情况</w:t>
                  </w:r>
                </w:p>
              </w:tc>
              <w:tc>
                <w:tcPr>
                  <w:tcW w:w="443" w:type="pct"/>
                  <w:tcBorders>
                    <w:tl2br w:val="nil"/>
                    <w:tr2bl w:val="nil"/>
                  </w:tcBorders>
                  <w:vAlign w:val="center"/>
                </w:tcPr>
                <w:p w14:paraId="0949429A">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符合性</w:t>
                  </w:r>
                </w:p>
              </w:tc>
            </w:tr>
            <w:tr w14:paraId="526D8A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tcBorders>
                    <w:tl2br w:val="nil"/>
                    <w:tr2bl w:val="nil"/>
                  </w:tcBorders>
                  <w:vAlign w:val="center"/>
                </w:tcPr>
                <w:p w14:paraId="62A07807">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w:t>
                  </w:r>
                </w:p>
              </w:tc>
              <w:tc>
                <w:tcPr>
                  <w:tcW w:w="2538" w:type="pct"/>
                  <w:tcBorders>
                    <w:tl2br w:val="nil"/>
                    <w:tr2bl w:val="nil"/>
                  </w:tcBorders>
                  <w:vAlign w:val="center"/>
                </w:tcPr>
                <w:p w14:paraId="412998C2">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禁止建设不符合全国和省级港口布局规划以及港口总体规划的码头，禁止建设不符合《长江干线过江通道布局规划》的过长江通道项目。</w:t>
                  </w:r>
                </w:p>
              </w:tc>
              <w:tc>
                <w:tcPr>
                  <w:tcW w:w="1671" w:type="pct"/>
                  <w:tcBorders>
                    <w:tl2br w:val="nil"/>
                    <w:tr2bl w:val="nil"/>
                  </w:tcBorders>
                  <w:vAlign w:val="center"/>
                </w:tcPr>
                <w:p w14:paraId="73D619BF">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本项目为无缝钢管生产项目，不属于码头及过长江通道项目。</w:t>
                  </w:r>
                </w:p>
              </w:tc>
              <w:tc>
                <w:tcPr>
                  <w:tcW w:w="443" w:type="pct"/>
                  <w:tcBorders>
                    <w:tl2br w:val="nil"/>
                    <w:tr2bl w:val="nil"/>
                  </w:tcBorders>
                  <w:vAlign w:val="center"/>
                </w:tcPr>
                <w:p w14:paraId="77A6BB54">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tc>
            </w:tr>
            <w:tr w14:paraId="089DE3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tcBorders>
                    <w:tl2br w:val="nil"/>
                    <w:tr2bl w:val="nil"/>
                  </w:tcBorders>
                  <w:vAlign w:val="center"/>
                </w:tcPr>
                <w:p w14:paraId="4F78EC89">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2538" w:type="pct"/>
                  <w:tcBorders>
                    <w:tl2br w:val="nil"/>
                    <w:tr2bl w:val="nil"/>
                  </w:tcBorders>
                  <w:vAlign w:val="center"/>
                </w:tcPr>
                <w:p w14:paraId="6D17368F">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禁止在自然保护区核心区、缓冲区的岸线和河段范围内投资建设旅游和生产经营项目。禁止在风景名胜区核心景区的岸线和河段范围内投资建设与风景名胜资源保护无关的项目。</w:t>
                  </w:r>
                </w:p>
              </w:tc>
              <w:tc>
                <w:tcPr>
                  <w:tcW w:w="1671" w:type="pct"/>
                  <w:tcBorders>
                    <w:tl2br w:val="nil"/>
                    <w:tr2bl w:val="nil"/>
                  </w:tcBorders>
                  <w:vAlign w:val="center"/>
                </w:tcPr>
                <w:p w14:paraId="2E94F048">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项目位于云南通海产业园区里山片区，项目占地范围不涉及自然保护区、风景名胜区，不属于禁止建设的区域。</w:t>
                  </w:r>
                </w:p>
              </w:tc>
              <w:tc>
                <w:tcPr>
                  <w:tcW w:w="443" w:type="pct"/>
                  <w:tcBorders>
                    <w:tl2br w:val="nil"/>
                    <w:tr2bl w:val="nil"/>
                  </w:tcBorders>
                  <w:vAlign w:val="center"/>
                </w:tcPr>
                <w:p w14:paraId="22D2B607">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tc>
            </w:tr>
            <w:tr w14:paraId="65B7AE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tcBorders>
                    <w:tl2br w:val="nil"/>
                    <w:tr2bl w:val="nil"/>
                  </w:tcBorders>
                  <w:vAlign w:val="center"/>
                </w:tcPr>
                <w:p w14:paraId="2C1BCED3">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w:t>
                  </w:r>
                </w:p>
              </w:tc>
              <w:tc>
                <w:tcPr>
                  <w:tcW w:w="2538" w:type="pct"/>
                  <w:tcBorders>
                    <w:tl2br w:val="nil"/>
                    <w:tr2bl w:val="nil"/>
                  </w:tcBorders>
                  <w:vAlign w:val="center"/>
                </w:tcPr>
                <w:p w14:paraId="41DA4679">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71" w:type="pct"/>
                  <w:tcBorders>
                    <w:tl2br w:val="nil"/>
                    <w:tr2bl w:val="nil"/>
                  </w:tcBorders>
                  <w:vAlign w:val="center"/>
                </w:tcPr>
                <w:p w14:paraId="6DCE7748">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项目位于云南通海产业园区里山片区，</w:t>
                  </w:r>
                  <w:r>
                    <w:rPr>
                      <w:rFonts w:hint="default" w:ascii="Times New Roman" w:hAnsi="Times New Roman" w:cs="Times New Roman"/>
                      <w:color w:val="auto"/>
                      <w:kern w:val="0"/>
                      <w:sz w:val="18"/>
                      <w:szCs w:val="18"/>
                    </w:rPr>
                    <w:t>不属于禁止建设的区域。</w:t>
                  </w:r>
                </w:p>
              </w:tc>
              <w:tc>
                <w:tcPr>
                  <w:tcW w:w="443" w:type="pct"/>
                  <w:tcBorders>
                    <w:tl2br w:val="nil"/>
                    <w:tr2bl w:val="nil"/>
                  </w:tcBorders>
                  <w:vAlign w:val="center"/>
                </w:tcPr>
                <w:p w14:paraId="24C2F181">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tc>
            </w:tr>
            <w:tr w14:paraId="7856EB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tcBorders>
                    <w:tl2br w:val="nil"/>
                    <w:tr2bl w:val="nil"/>
                  </w:tcBorders>
                  <w:vAlign w:val="center"/>
                </w:tcPr>
                <w:p w14:paraId="52AED0D3">
                  <w:pPr>
                    <w:autoSpaceDE w:val="0"/>
                    <w:autoSpaceDN w:val="0"/>
                    <w:adjustRightInd w:val="0"/>
                    <w:snapToGrid w:val="0"/>
                    <w:spacing w:line="276" w:lineRule="auto"/>
                    <w:jc w:val="center"/>
                    <w:rPr>
                      <w:rFonts w:hint="default" w:ascii="Times New Roman" w:hAnsi="Times New Roman" w:cs="Times New Roman"/>
                      <w:color w:val="auto"/>
                      <w:kern w:val="0"/>
                      <w:sz w:val="18"/>
                      <w:szCs w:val="18"/>
                      <w:highlight w:val="yellow"/>
                    </w:rPr>
                  </w:pPr>
                  <w:r>
                    <w:rPr>
                      <w:rFonts w:hint="default" w:ascii="Times New Roman" w:hAnsi="Times New Roman" w:cs="Times New Roman"/>
                      <w:color w:val="auto"/>
                      <w:kern w:val="0"/>
                      <w:sz w:val="18"/>
                      <w:szCs w:val="18"/>
                    </w:rPr>
                    <w:t>4</w:t>
                  </w:r>
                </w:p>
              </w:tc>
              <w:tc>
                <w:tcPr>
                  <w:tcW w:w="2538" w:type="pct"/>
                  <w:tcBorders>
                    <w:tl2br w:val="nil"/>
                    <w:tr2bl w:val="nil"/>
                  </w:tcBorders>
                  <w:vAlign w:val="center"/>
                </w:tcPr>
                <w:p w14:paraId="178E0473">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71" w:type="pct"/>
                  <w:tcBorders>
                    <w:tl2br w:val="nil"/>
                    <w:tr2bl w:val="nil"/>
                  </w:tcBorders>
                  <w:vAlign w:val="center"/>
                </w:tcPr>
                <w:p w14:paraId="3E4D626E">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本项目不属于该禁止类范畴。</w:t>
                  </w:r>
                </w:p>
              </w:tc>
              <w:tc>
                <w:tcPr>
                  <w:tcW w:w="443" w:type="pct"/>
                  <w:tcBorders>
                    <w:tl2br w:val="nil"/>
                    <w:tr2bl w:val="nil"/>
                  </w:tcBorders>
                  <w:vAlign w:val="center"/>
                </w:tcPr>
                <w:p w14:paraId="39C5E7B5">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tc>
            </w:tr>
            <w:tr w14:paraId="2B0A42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tcBorders>
                    <w:tl2br w:val="nil"/>
                    <w:tr2bl w:val="nil"/>
                  </w:tcBorders>
                  <w:vAlign w:val="center"/>
                </w:tcPr>
                <w:p w14:paraId="398681A4">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w:t>
                  </w:r>
                </w:p>
              </w:tc>
              <w:tc>
                <w:tcPr>
                  <w:tcW w:w="2538" w:type="pct"/>
                  <w:tcBorders>
                    <w:tl2br w:val="nil"/>
                    <w:tr2bl w:val="nil"/>
                  </w:tcBorders>
                  <w:vAlign w:val="center"/>
                </w:tcPr>
                <w:p w14:paraId="78283CC7">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71" w:type="pct"/>
                  <w:tcBorders>
                    <w:tl2br w:val="nil"/>
                    <w:tr2bl w:val="nil"/>
                  </w:tcBorders>
                  <w:vAlign w:val="center"/>
                </w:tcPr>
                <w:p w14:paraId="3AB09415">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项目所在区域不属于禁止建设的区域，亦不属于禁止建设的项目。</w:t>
                  </w:r>
                </w:p>
              </w:tc>
              <w:tc>
                <w:tcPr>
                  <w:tcW w:w="443" w:type="pct"/>
                  <w:tcBorders>
                    <w:tl2br w:val="nil"/>
                    <w:tr2bl w:val="nil"/>
                  </w:tcBorders>
                  <w:vAlign w:val="center"/>
                </w:tcPr>
                <w:p w14:paraId="232DB1C9">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tc>
            </w:tr>
            <w:tr w14:paraId="00565A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tcBorders>
                    <w:tl2br w:val="nil"/>
                    <w:tr2bl w:val="nil"/>
                  </w:tcBorders>
                  <w:vAlign w:val="center"/>
                </w:tcPr>
                <w:p w14:paraId="43B0FFE5">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w:t>
                  </w:r>
                </w:p>
              </w:tc>
              <w:tc>
                <w:tcPr>
                  <w:tcW w:w="2538" w:type="pct"/>
                  <w:tcBorders>
                    <w:tl2br w:val="nil"/>
                    <w:tr2bl w:val="nil"/>
                  </w:tcBorders>
                  <w:vAlign w:val="center"/>
                </w:tcPr>
                <w:p w14:paraId="7855DD17">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禁止未经许可在长江干支流及湖泊新设、改设或扩大排污口。</w:t>
                  </w:r>
                </w:p>
              </w:tc>
              <w:tc>
                <w:tcPr>
                  <w:tcW w:w="1671" w:type="pct"/>
                  <w:tcBorders>
                    <w:tl2br w:val="nil"/>
                    <w:tr2bl w:val="nil"/>
                  </w:tcBorders>
                  <w:vAlign w:val="center"/>
                </w:tcPr>
                <w:p w14:paraId="110FA096">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本项目生产废水全部回用，不外排。生活污水经化粪池处理达到《污水综合排放标准》（GB8978-1996）（表4）三级标准及《污水排入城镇下水道水质标准》（GB/T31962-2015）表1B等级标准要求后，排入园区污水处理厂进一步处理。</w:t>
                  </w:r>
                </w:p>
              </w:tc>
              <w:tc>
                <w:tcPr>
                  <w:tcW w:w="443" w:type="pct"/>
                  <w:tcBorders>
                    <w:tl2br w:val="nil"/>
                    <w:tr2bl w:val="nil"/>
                  </w:tcBorders>
                  <w:vAlign w:val="center"/>
                </w:tcPr>
                <w:p w14:paraId="1F905D41">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tc>
            </w:tr>
            <w:tr w14:paraId="5DAC3E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tcBorders>
                    <w:tl2br w:val="nil"/>
                    <w:tr2bl w:val="nil"/>
                  </w:tcBorders>
                  <w:vAlign w:val="center"/>
                </w:tcPr>
                <w:p w14:paraId="0BD63E4B">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7</w:t>
                  </w:r>
                </w:p>
              </w:tc>
              <w:tc>
                <w:tcPr>
                  <w:tcW w:w="2538" w:type="pct"/>
                  <w:tcBorders>
                    <w:tl2br w:val="nil"/>
                    <w:tr2bl w:val="nil"/>
                  </w:tcBorders>
                  <w:vAlign w:val="center"/>
                </w:tcPr>
                <w:p w14:paraId="35206AD0">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禁止在“一江一口两湖七河”和332个水生生物保护区开展生产性捕捞。</w:t>
                  </w:r>
                </w:p>
              </w:tc>
              <w:tc>
                <w:tcPr>
                  <w:tcW w:w="1671" w:type="pct"/>
                  <w:tcBorders>
                    <w:tl2br w:val="nil"/>
                    <w:tr2bl w:val="nil"/>
                  </w:tcBorders>
                  <w:vAlign w:val="center"/>
                </w:tcPr>
                <w:p w14:paraId="37AE6BD2">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项目不涉及该条规定。</w:t>
                  </w:r>
                </w:p>
              </w:tc>
              <w:tc>
                <w:tcPr>
                  <w:tcW w:w="443" w:type="pct"/>
                  <w:tcBorders>
                    <w:tl2br w:val="nil"/>
                    <w:tr2bl w:val="nil"/>
                  </w:tcBorders>
                  <w:vAlign w:val="center"/>
                </w:tcPr>
                <w:p w14:paraId="396B1FB5">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tc>
            </w:tr>
            <w:tr w14:paraId="0D3542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tcBorders>
                    <w:tl2br w:val="nil"/>
                    <w:tr2bl w:val="nil"/>
                  </w:tcBorders>
                  <w:vAlign w:val="center"/>
                </w:tcPr>
                <w:p w14:paraId="33F0C124">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8</w:t>
                  </w:r>
                </w:p>
              </w:tc>
              <w:tc>
                <w:tcPr>
                  <w:tcW w:w="2538" w:type="pct"/>
                  <w:tcBorders>
                    <w:tl2br w:val="nil"/>
                    <w:tr2bl w:val="nil"/>
                  </w:tcBorders>
                  <w:vAlign w:val="center"/>
                </w:tcPr>
                <w:p w14:paraId="362E570C">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71" w:type="pct"/>
                  <w:tcBorders>
                    <w:tl2br w:val="nil"/>
                    <w:tr2bl w:val="nil"/>
                  </w:tcBorders>
                  <w:vAlign w:val="center"/>
                </w:tcPr>
                <w:p w14:paraId="2ACE4073">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项目为无缝钢管生产项目，位于云南通海产业园区里山片区，不属于长江干流岸线三公里范围内和重要支流岸线一公里范围。</w:t>
                  </w:r>
                </w:p>
              </w:tc>
              <w:tc>
                <w:tcPr>
                  <w:tcW w:w="443" w:type="pct"/>
                  <w:tcBorders>
                    <w:tl2br w:val="nil"/>
                    <w:tr2bl w:val="nil"/>
                  </w:tcBorders>
                  <w:vAlign w:val="center"/>
                </w:tcPr>
                <w:p w14:paraId="458B547E">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tc>
            </w:tr>
            <w:tr w14:paraId="58DD82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tcBorders>
                    <w:tl2br w:val="nil"/>
                    <w:tr2bl w:val="nil"/>
                  </w:tcBorders>
                  <w:vAlign w:val="center"/>
                </w:tcPr>
                <w:p w14:paraId="4F323791">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9</w:t>
                  </w:r>
                </w:p>
              </w:tc>
              <w:tc>
                <w:tcPr>
                  <w:tcW w:w="2538" w:type="pct"/>
                  <w:tcBorders>
                    <w:tl2br w:val="nil"/>
                    <w:tr2bl w:val="nil"/>
                  </w:tcBorders>
                  <w:vAlign w:val="center"/>
                </w:tcPr>
                <w:p w14:paraId="548AA4A5">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禁止在合规园区外新建、扩建钢铁、石化、化工、焦化、建材、有色、制浆造纸等高污染项目。</w:t>
                  </w:r>
                </w:p>
              </w:tc>
              <w:tc>
                <w:tcPr>
                  <w:tcW w:w="1671" w:type="pct"/>
                  <w:tcBorders>
                    <w:tl2br w:val="nil"/>
                    <w:tr2bl w:val="nil"/>
                  </w:tcBorders>
                  <w:vAlign w:val="center"/>
                </w:tcPr>
                <w:p w14:paraId="65DB2827">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项目位于云南通海产业园区里山片区，符合其产业定位及功能布局。云南通海产业园区属于合规工业园区，且取得玉溪市生态环境局审查意见（玉市环函〔2022〕31号）。</w:t>
                  </w:r>
                </w:p>
              </w:tc>
              <w:tc>
                <w:tcPr>
                  <w:tcW w:w="443" w:type="pct"/>
                  <w:tcBorders>
                    <w:tl2br w:val="nil"/>
                    <w:tr2bl w:val="nil"/>
                  </w:tcBorders>
                  <w:vAlign w:val="center"/>
                </w:tcPr>
                <w:p w14:paraId="23A054AF">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tc>
            </w:tr>
            <w:tr w14:paraId="397F89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tcBorders>
                    <w:tl2br w:val="nil"/>
                    <w:tr2bl w:val="nil"/>
                  </w:tcBorders>
                  <w:vAlign w:val="center"/>
                </w:tcPr>
                <w:p w14:paraId="44DED385">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10</w:t>
                  </w:r>
                </w:p>
              </w:tc>
              <w:tc>
                <w:tcPr>
                  <w:tcW w:w="2538" w:type="pct"/>
                  <w:tcBorders>
                    <w:tl2br w:val="nil"/>
                    <w:tr2bl w:val="nil"/>
                  </w:tcBorders>
                  <w:vAlign w:val="center"/>
                </w:tcPr>
                <w:p w14:paraId="336575D3">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禁止新建、扩建不符合国家石化、现代煤化工等产业布局规划的项目</w:t>
                  </w:r>
                </w:p>
              </w:tc>
              <w:tc>
                <w:tcPr>
                  <w:tcW w:w="1671" w:type="pct"/>
                  <w:tcBorders>
                    <w:tl2br w:val="nil"/>
                    <w:tr2bl w:val="nil"/>
                  </w:tcBorders>
                  <w:vAlign w:val="center"/>
                </w:tcPr>
                <w:p w14:paraId="5665F7B1">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本项目为钢压延加工项目，不属于禁止建设的项目。</w:t>
                  </w:r>
                </w:p>
              </w:tc>
              <w:tc>
                <w:tcPr>
                  <w:tcW w:w="443" w:type="pct"/>
                  <w:tcBorders>
                    <w:tl2br w:val="nil"/>
                    <w:tr2bl w:val="nil"/>
                  </w:tcBorders>
                  <w:vAlign w:val="center"/>
                </w:tcPr>
                <w:p w14:paraId="20DC2B8D">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tc>
            </w:tr>
            <w:tr w14:paraId="3A19BA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6" w:type="pct"/>
                  <w:tcBorders>
                    <w:tl2br w:val="nil"/>
                    <w:tr2bl w:val="nil"/>
                  </w:tcBorders>
                  <w:vAlign w:val="center"/>
                </w:tcPr>
                <w:p w14:paraId="6CC80631">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11</w:t>
                  </w:r>
                </w:p>
              </w:tc>
              <w:tc>
                <w:tcPr>
                  <w:tcW w:w="2538" w:type="pct"/>
                  <w:tcBorders>
                    <w:tl2br w:val="nil"/>
                    <w:tr2bl w:val="nil"/>
                  </w:tcBorders>
                  <w:vAlign w:val="center"/>
                </w:tcPr>
                <w:p w14:paraId="50A27FB5">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禁止新建、扩建法律法规和相关政策明令禁止的落后产能项目。禁止新建、扩建不符合国家产能置换要求的严重过剩产能行业的项目。禁止新建、扩建不符合要求的高耗能高排放项目。</w:t>
                  </w:r>
                </w:p>
              </w:tc>
              <w:tc>
                <w:tcPr>
                  <w:tcW w:w="1671" w:type="pct"/>
                  <w:tcBorders>
                    <w:tl2br w:val="nil"/>
                    <w:tr2bl w:val="nil"/>
                  </w:tcBorders>
                  <w:vAlign w:val="center"/>
                </w:tcPr>
                <w:p w14:paraId="050A30FA">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本项目不属于不符合落后产能项目，也不属于不符合要求的高耗能高排放项目。</w:t>
                  </w:r>
                </w:p>
              </w:tc>
              <w:tc>
                <w:tcPr>
                  <w:tcW w:w="443" w:type="pct"/>
                  <w:tcBorders>
                    <w:tl2br w:val="nil"/>
                    <w:tr2bl w:val="nil"/>
                  </w:tcBorders>
                  <w:vAlign w:val="center"/>
                </w:tcPr>
                <w:p w14:paraId="7305A1B6">
                  <w:pPr>
                    <w:autoSpaceDE w:val="0"/>
                    <w:autoSpaceDN w:val="0"/>
                    <w:adjustRightInd w:val="0"/>
                    <w:snapToGrid w:val="0"/>
                    <w:spacing w:line="276"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tc>
            </w:tr>
          </w:tbl>
          <w:p w14:paraId="0813C1CD">
            <w:pPr>
              <w:spacing w:line="360" w:lineRule="auto"/>
              <w:ind w:firstLine="480" w:firstLineChars="200"/>
              <w:rPr>
                <w:rFonts w:hint="default" w:ascii="Times New Roman" w:hAnsi="Times New Roman" w:cs="Times New Roman"/>
                <w:b/>
                <w:bCs/>
                <w:color w:val="auto"/>
                <w:kern w:val="0"/>
                <w:sz w:val="24"/>
                <w:szCs w:val="32"/>
              </w:rPr>
            </w:pPr>
            <w:r>
              <w:rPr>
                <w:rFonts w:hint="default" w:ascii="Times New Roman" w:hAnsi="Times New Roman" w:cs="Times New Roman"/>
                <w:color w:val="auto"/>
                <w:sz w:val="24"/>
              </w:rPr>
              <w:t>根据上表的分析可以看出，项目的建设符合《长江经济带发展负面清单指南（试行，2022年版）》的通知（长江办〔2022〕7号）中的相关要求。</w:t>
            </w:r>
          </w:p>
          <w:p w14:paraId="78FE8307">
            <w:pPr>
              <w:pStyle w:val="5"/>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6、与《云南省长江经济带发展负面清单指南实施细则（试行）》符合性分析</w:t>
            </w:r>
          </w:p>
          <w:p w14:paraId="56F58E2A">
            <w:pPr>
              <w:adjustRightInd w:val="0"/>
              <w:snapToGrid w:val="0"/>
              <w:spacing w:line="360" w:lineRule="auto"/>
              <w:jc w:val="center"/>
              <w:rPr>
                <w:rFonts w:hint="default" w:ascii="Times New Roman" w:hAnsi="Times New Roman" w:cs="Times New Roman"/>
                <w:b/>
                <w:color w:val="auto"/>
                <w:szCs w:val="21"/>
              </w:rPr>
            </w:pPr>
            <w:r>
              <w:rPr>
                <w:rFonts w:hint="default" w:ascii="Times New Roman" w:hAnsi="Times New Roman" w:eastAsia="黑体" w:cs="Times New Roman"/>
                <w:bCs/>
                <w:color w:val="auto"/>
                <w:szCs w:val="21"/>
              </w:rPr>
              <w:t>表1-6  与《云南省长江经济带发展负面清单指南实施细则（试行）》符合性分析</w:t>
            </w:r>
          </w:p>
          <w:tbl>
            <w:tblPr>
              <w:tblStyle w:val="35"/>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18"/>
              <w:gridCol w:w="3863"/>
              <w:gridCol w:w="2029"/>
              <w:gridCol w:w="715"/>
            </w:tblGrid>
            <w:tr w14:paraId="216C632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51" w:type="pct"/>
                  <w:tcBorders>
                    <w:tl2br w:val="nil"/>
                    <w:tr2bl w:val="nil"/>
                  </w:tcBorders>
                  <w:vAlign w:val="center"/>
                </w:tcPr>
                <w:p w14:paraId="255BCD62">
                  <w:pPr>
                    <w:pStyle w:val="31"/>
                    <w:adjustRightInd w:val="0"/>
                    <w:snapToGrid w:val="0"/>
                    <w:spacing w:beforeAutospacing="0" w:afterAutospacing="0"/>
                    <w:jc w:val="center"/>
                    <w:rPr>
                      <w:rFonts w:hint="default" w:ascii="Times New Roman" w:hAnsi="Times New Roman" w:cs="Times New Roman"/>
                      <w:color w:val="auto"/>
                      <w:kern w:val="2"/>
                      <w:sz w:val="18"/>
                      <w:szCs w:val="18"/>
                      <w:lang w:bidi="ar"/>
                    </w:rPr>
                  </w:pPr>
                  <w:r>
                    <w:rPr>
                      <w:rFonts w:hint="default" w:ascii="Times New Roman" w:hAnsi="Times New Roman" w:cs="Times New Roman"/>
                      <w:color w:val="auto"/>
                      <w:kern w:val="2"/>
                      <w:sz w:val="18"/>
                      <w:szCs w:val="18"/>
                      <w:lang w:bidi="ar"/>
                    </w:rPr>
                    <w:t>“通知”文号</w:t>
                  </w:r>
                </w:p>
              </w:tc>
              <w:tc>
                <w:tcPr>
                  <w:tcW w:w="2600" w:type="pct"/>
                  <w:tcBorders>
                    <w:tl2br w:val="nil"/>
                    <w:tr2bl w:val="nil"/>
                  </w:tcBorders>
                  <w:vAlign w:val="center"/>
                </w:tcPr>
                <w:p w14:paraId="4DE2E033">
                  <w:pPr>
                    <w:pStyle w:val="31"/>
                    <w:adjustRightInd w:val="0"/>
                    <w:snapToGrid w:val="0"/>
                    <w:spacing w:beforeAutospacing="0" w:afterAutospacing="0"/>
                    <w:jc w:val="center"/>
                    <w:rPr>
                      <w:rFonts w:hint="default" w:ascii="Times New Roman" w:hAnsi="Times New Roman" w:cs="Times New Roman"/>
                      <w:color w:val="auto"/>
                      <w:kern w:val="2"/>
                      <w:sz w:val="18"/>
                      <w:szCs w:val="18"/>
                      <w:lang w:bidi="ar"/>
                    </w:rPr>
                  </w:pPr>
                  <w:r>
                    <w:rPr>
                      <w:rFonts w:hint="default" w:ascii="Times New Roman" w:hAnsi="Times New Roman" w:cs="Times New Roman"/>
                      <w:color w:val="auto"/>
                      <w:kern w:val="2"/>
                      <w:sz w:val="18"/>
                      <w:szCs w:val="18"/>
                      <w:lang w:bidi="ar"/>
                    </w:rPr>
                    <w:t>相符性分析</w:t>
                  </w:r>
                </w:p>
              </w:tc>
              <w:tc>
                <w:tcPr>
                  <w:tcW w:w="1366" w:type="pct"/>
                  <w:tcBorders>
                    <w:tl2br w:val="nil"/>
                    <w:tr2bl w:val="nil"/>
                  </w:tcBorders>
                  <w:vAlign w:val="center"/>
                </w:tcPr>
                <w:p w14:paraId="13BFD5D4">
                  <w:pPr>
                    <w:pStyle w:val="31"/>
                    <w:adjustRightInd w:val="0"/>
                    <w:snapToGrid w:val="0"/>
                    <w:spacing w:beforeAutospacing="0" w:afterAutospacing="0"/>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lang w:bidi="ar"/>
                    </w:rPr>
                    <w:t>本建设项目</w:t>
                  </w:r>
                </w:p>
              </w:tc>
              <w:tc>
                <w:tcPr>
                  <w:tcW w:w="481" w:type="pct"/>
                  <w:tcBorders>
                    <w:tl2br w:val="nil"/>
                    <w:tr2bl w:val="nil"/>
                  </w:tcBorders>
                  <w:vAlign w:val="center"/>
                </w:tcPr>
                <w:p w14:paraId="417ADC90">
                  <w:pPr>
                    <w:pStyle w:val="31"/>
                    <w:adjustRightInd w:val="0"/>
                    <w:snapToGrid w:val="0"/>
                    <w:spacing w:beforeAutospacing="0" w:afterAutospacing="0"/>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lang w:bidi="ar"/>
                    </w:rPr>
                    <w:t>符合性</w:t>
                  </w:r>
                </w:p>
              </w:tc>
            </w:tr>
            <w:tr w14:paraId="14A4989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51" w:type="pct"/>
                  <w:vMerge w:val="restart"/>
                  <w:tcBorders>
                    <w:tl2br w:val="nil"/>
                    <w:tr2bl w:val="nil"/>
                  </w:tcBorders>
                  <w:vAlign w:val="center"/>
                </w:tcPr>
                <w:p w14:paraId="56244C52">
                  <w:pPr>
                    <w:widowControl/>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bidi="ar"/>
                    </w:rPr>
                    <w:t>《云南省长江经济带发展负面清单指南实施细则（试行）》</w:t>
                  </w:r>
                </w:p>
                <w:p w14:paraId="4990C360">
                  <w:pPr>
                    <w:pStyle w:val="31"/>
                    <w:adjustRightInd w:val="0"/>
                    <w:snapToGrid w:val="0"/>
                    <w:spacing w:beforeAutospacing="0" w:afterAutospacing="0"/>
                    <w:jc w:val="center"/>
                    <w:rPr>
                      <w:rFonts w:hint="default" w:ascii="Times New Roman" w:hAnsi="Times New Roman" w:cs="Times New Roman"/>
                      <w:color w:val="auto"/>
                      <w:kern w:val="2"/>
                      <w:sz w:val="18"/>
                      <w:szCs w:val="18"/>
                    </w:rPr>
                  </w:pPr>
                </w:p>
              </w:tc>
              <w:tc>
                <w:tcPr>
                  <w:tcW w:w="2600" w:type="pct"/>
                  <w:tcBorders>
                    <w:tl2br w:val="nil"/>
                    <w:tr2bl w:val="nil"/>
                  </w:tcBorders>
                  <w:vAlign w:val="center"/>
                </w:tcPr>
                <w:p w14:paraId="51A40EB1">
                  <w:pPr>
                    <w:pStyle w:val="31"/>
                    <w:adjustRightInd w:val="0"/>
                    <w:snapToGrid w:val="0"/>
                    <w:spacing w:beforeAutospacing="0" w:afterAutospacing="0"/>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shd w:val="clear" w:color="auto" w:fill="FFFFFF"/>
                      <w:lang w:bidi="ar"/>
                    </w:rPr>
                    <w:t>禁止新建、扩建法律法规和相关政策明令禁止的落后产能项目。</w:t>
                  </w:r>
                </w:p>
              </w:tc>
              <w:tc>
                <w:tcPr>
                  <w:tcW w:w="1366" w:type="pct"/>
                  <w:tcBorders>
                    <w:tl2br w:val="nil"/>
                    <w:tr2bl w:val="nil"/>
                  </w:tcBorders>
                  <w:vAlign w:val="center"/>
                </w:tcPr>
                <w:p w14:paraId="1DD48DD2">
                  <w:pPr>
                    <w:pStyle w:val="31"/>
                    <w:adjustRightInd w:val="0"/>
                    <w:snapToGrid w:val="0"/>
                    <w:spacing w:beforeAutospacing="0" w:afterAutospacing="0"/>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lang w:bidi="ar"/>
                    </w:rPr>
                    <w:t>本项目不属于法律法规和相关政策明令禁止的落后产能项目。</w:t>
                  </w:r>
                </w:p>
              </w:tc>
              <w:tc>
                <w:tcPr>
                  <w:tcW w:w="481" w:type="pct"/>
                  <w:tcBorders>
                    <w:tl2br w:val="nil"/>
                    <w:tr2bl w:val="nil"/>
                  </w:tcBorders>
                  <w:vAlign w:val="center"/>
                </w:tcPr>
                <w:p w14:paraId="7E516BE1">
                  <w:pPr>
                    <w:pStyle w:val="31"/>
                    <w:adjustRightInd w:val="0"/>
                    <w:snapToGrid w:val="0"/>
                    <w:spacing w:beforeAutospacing="0" w:afterAutospacing="0"/>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lang w:bidi="ar"/>
                    </w:rPr>
                    <w:t>符合</w:t>
                  </w:r>
                </w:p>
              </w:tc>
            </w:tr>
            <w:tr w14:paraId="60CD456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51" w:type="pct"/>
                  <w:vMerge w:val="continue"/>
                  <w:tcBorders>
                    <w:tl2br w:val="nil"/>
                    <w:tr2bl w:val="nil"/>
                  </w:tcBorders>
                  <w:vAlign w:val="center"/>
                </w:tcPr>
                <w:p w14:paraId="097EAA75">
                  <w:pPr>
                    <w:widowControl/>
                    <w:jc w:val="center"/>
                    <w:rPr>
                      <w:rFonts w:hint="default" w:ascii="Times New Roman" w:hAnsi="Times New Roman" w:cs="Times New Roman"/>
                      <w:color w:val="auto"/>
                      <w:sz w:val="18"/>
                      <w:szCs w:val="18"/>
                    </w:rPr>
                  </w:pPr>
                </w:p>
              </w:tc>
              <w:tc>
                <w:tcPr>
                  <w:tcW w:w="2600" w:type="pct"/>
                  <w:tcBorders>
                    <w:tl2br w:val="nil"/>
                    <w:tr2bl w:val="nil"/>
                  </w:tcBorders>
                  <w:vAlign w:val="center"/>
                </w:tcPr>
                <w:p w14:paraId="5B5DF68F">
                  <w:pPr>
                    <w:pStyle w:val="31"/>
                    <w:adjustRightInd w:val="0"/>
                    <w:snapToGrid w:val="0"/>
                    <w:spacing w:beforeAutospacing="0" w:afterAutospacing="0"/>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shd w:val="clear" w:color="auto" w:fill="FFFFFF"/>
                      <w:lang w:bidi="ar"/>
                    </w:rPr>
                    <w:t>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w:t>
                  </w:r>
                </w:p>
              </w:tc>
              <w:tc>
                <w:tcPr>
                  <w:tcW w:w="1366" w:type="pct"/>
                  <w:tcBorders>
                    <w:tl2br w:val="nil"/>
                    <w:tr2bl w:val="nil"/>
                  </w:tcBorders>
                  <w:vAlign w:val="center"/>
                </w:tcPr>
                <w:p w14:paraId="3EC8C4A9">
                  <w:pPr>
                    <w:pStyle w:val="31"/>
                    <w:adjustRightInd w:val="0"/>
                    <w:snapToGrid w:val="0"/>
                    <w:spacing w:beforeAutospacing="0" w:afterAutospacing="0"/>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lang w:bidi="ar"/>
                    </w:rPr>
                    <w:t>本项目位于</w:t>
                  </w:r>
                  <w:r>
                    <w:rPr>
                      <w:rFonts w:hint="default" w:ascii="Times New Roman" w:hAnsi="Times New Roman" w:cs="Times New Roman"/>
                      <w:color w:val="auto"/>
                      <w:sz w:val="18"/>
                      <w:szCs w:val="18"/>
                    </w:rPr>
                    <w:t>云南通海产业园区里山片区；</w:t>
                  </w:r>
                  <w:r>
                    <w:rPr>
                      <w:rFonts w:hint="default" w:ascii="Times New Roman" w:hAnsi="Times New Roman" w:cs="Times New Roman"/>
                      <w:color w:val="auto"/>
                      <w:kern w:val="2"/>
                      <w:sz w:val="18"/>
                      <w:szCs w:val="18"/>
                      <w:lang w:bidi="ar"/>
                    </w:rPr>
                    <w:t>不涉及生态红线。</w:t>
                  </w:r>
                </w:p>
              </w:tc>
              <w:tc>
                <w:tcPr>
                  <w:tcW w:w="481" w:type="pct"/>
                  <w:tcBorders>
                    <w:tl2br w:val="nil"/>
                    <w:tr2bl w:val="nil"/>
                  </w:tcBorders>
                  <w:vAlign w:val="center"/>
                </w:tcPr>
                <w:p w14:paraId="372D52C6">
                  <w:pPr>
                    <w:pStyle w:val="31"/>
                    <w:adjustRightInd w:val="0"/>
                    <w:snapToGrid w:val="0"/>
                    <w:spacing w:beforeAutospacing="0" w:afterAutospacing="0"/>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lang w:bidi="ar"/>
                    </w:rPr>
                    <w:t>符合</w:t>
                  </w:r>
                </w:p>
              </w:tc>
            </w:tr>
            <w:tr w14:paraId="77C9694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51" w:type="pct"/>
                  <w:vMerge w:val="continue"/>
                  <w:tcBorders>
                    <w:tl2br w:val="nil"/>
                    <w:tr2bl w:val="nil"/>
                  </w:tcBorders>
                  <w:vAlign w:val="center"/>
                </w:tcPr>
                <w:p w14:paraId="3DED5C16">
                  <w:pPr>
                    <w:widowControl/>
                    <w:jc w:val="center"/>
                    <w:rPr>
                      <w:rFonts w:hint="default" w:ascii="Times New Roman" w:hAnsi="Times New Roman" w:cs="Times New Roman"/>
                      <w:color w:val="auto"/>
                      <w:sz w:val="18"/>
                      <w:szCs w:val="18"/>
                    </w:rPr>
                  </w:pPr>
                </w:p>
              </w:tc>
              <w:tc>
                <w:tcPr>
                  <w:tcW w:w="2600" w:type="pct"/>
                  <w:tcBorders>
                    <w:tl2br w:val="nil"/>
                    <w:tr2bl w:val="nil"/>
                  </w:tcBorders>
                  <w:vAlign w:val="center"/>
                </w:tcPr>
                <w:p w14:paraId="55F28AA3">
                  <w:pPr>
                    <w:pStyle w:val="31"/>
                    <w:adjustRightInd w:val="0"/>
                    <w:snapToGrid w:val="0"/>
                    <w:spacing w:beforeAutospacing="0" w:afterAutospacing="0"/>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shd w:val="clear" w:color="auto" w:fill="FFFFFF"/>
                      <w:lang w:bidi="ar"/>
                    </w:rPr>
                    <w:t>禁止在永久基本农田范围内投资建设除国家重大战略资源勘查项目、生态保护修复和环境治理项目、重大基础设施项目、军事国防项目以及农牧民基本生产生活等必要的民生项目以外的项目。</w:t>
                  </w:r>
                </w:p>
              </w:tc>
              <w:tc>
                <w:tcPr>
                  <w:tcW w:w="1366" w:type="pct"/>
                  <w:tcBorders>
                    <w:tl2br w:val="nil"/>
                    <w:tr2bl w:val="nil"/>
                  </w:tcBorders>
                  <w:vAlign w:val="center"/>
                </w:tcPr>
                <w:p w14:paraId="54BD7677">
                  <w:pPr>
                    <w:pStyle w:val="31"/>
                    <w:adjustRightInd w:val="0"/>
                    <w:snapToGrid w:val="0"/>
                    <w:spacing w:beforeAutospacing="0" w:afterAutospacing="0"/>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lang w:bidi="ar"/>
                    </w:rPr>
                    <w:t>项目位于</w:t>
                  </w:r>
                  <w:r>
                    <w:rPr>
                      <w:rFonts w:hint="default" w:ascii="Times New Roman" w:hAnsi="Times New Roman" w:cs="Times New Roman"/>
                      <w:color w:val="auto"/>
                      <w:sz w:val="18"/>
                      <w:szCs w:val="18"/>
                    </w:rPr>
                    <w:t>云南通海产业园区；</w:t>
                  </w:r>
                  <w:r>
                    <w:rPr>
                      <w:rFonts w:hint="default" w:ascii="Times New Roman" w:hAnsi="Times New Roman" w:cs="Times New Roman"/>
                      <w:color w:val="auto"/>
                      <w:kern w:val="2"/>
                      <w:sz w:val="18"/>
                      <w:szCs w:val="18"/>
                      <w:lang w:bidi="ar"/>
                    </w:rPr>
                    <w:t>不占用基本农田。</w:t>
                  </w:r>
                </w:p>
              </w:tc>
              <w:tc>
                <w:tcPr>
                  <w:tcW w:w="481" w:type="pct"/>
                  <w:tcBorders>
                    <w:tl2br w:val="nil"/>
                    <w:tr2bl w:val="nil"/>
                  </w:tcBorders>
                  <w:vAlign w:val="center"/>
                </w:tcPr>
                <w:p w14:paraId="0376989D">
                  <w:pPr>
                    <w:pStyle w:val="31"/>
                    <w:adjustRightInd w:val="0"/>
                    <w:snapToGrid w:val="0"/>
                    <w:spacing w:beforeAutospacing="0" w:afterAutospacing="0"/>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lang w:bidi="ar"/>
                    </w:rPr>
                    <w:t>符合</w:t>
                  </w:r>
                </w:p>
              </w:tc>
            </w:tr>
            <w:tr w14:paraId="0527571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51" w:type="pct"/>
                  <w:vMerge w:val="continue"/>
                  <w:tcBorders>
                    <w:tl2br w:val="nil"/>
                    <w:tr2bl w:val="nil"/>
                  </w:tcBorders>
                  <w:vAlign w:val="center"/>
                </w:tcPr>
                <w:p w14:paraId="04D94D2C">
                  <w:pPr>
                    <w:widowControl/>
                    <w:jc w:val="center"/>
                    <w:rPr>
                      <w:rFonts w:hint="default" w:ascii="Times New Roman" w:hAnsi="Times New Roman" w:cs="Times New Roman"/>
                      <w:color w:val="auto"/>
                      <w:sz w:val="18"/>
                      <w:szCs w:val="18"/>
                    </w:rPr>
                  </w:pPr>
                </w:p>
              </w:tc>
              <w:tc>
                <w:tcPr>
                  <w:tcW w:w="2600" w:type="pct"/>
                  <w:tcBorders>
                    <w:tl2br w:val="nil"/>
                    <w:tr2bl w:val="nil"/>
                  </w:tcBorders>
                  <w:vAlign w:val="center"/>
                </w:tcPr>
                <w:p w14:paraId="1F724C41">
                  <w:pPr>
                    <w:pStyle w:val="31"/>
                    <w:adjustRightInd w:val="0"/>
                    <w:snapToGrid w:val="0"/>
                    <w:spacing w:beforeAutospacing="0" w:afterAutospacing="0"/>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shd w:val="clear" w:color="auto" w:fill="FFFFFF"/>
                      <w:lang w:bidi="ar"/>
                    </w:rPr>
                    <w:t>禁止擅自占用和调整已经划定的永久基本农田特别是城市周边永久基本农田，不得多预留永久基本农田为建设占用留有空间，严禁通过擅自调整县乡土地利用总体规划规避占用永久基本农田的审批，严禁未经审批违法违规占用。禁止在永久基本农田范围内建窑、建房、建坟、挖沙、采石、采矿、取土、堆放固体废弃物或者进行其他破坏永久基本农田的活动；禁止任何单位和个人破坏永久基本农田耕作层；禁止任何单位和个人闲置、荒芜永久基本农田。禁止以设施农用地为名违规占用永久基本农田建设休闲旅游、仓储厂房等设施，坚决防止永久基本农田“非农化”。</w:t>
                  </w:r>
                </w:p>
              </w:tc>
              <w:tc>
                <w:tcPr>
                  <w:tcW w:w="1366" w:type="pct"/>
                  <w:tcBorders>
                    <w:tl2br w:val="nil"/>
                    <w:tr2bl w:val="nil"/>
                  </w:tcBorders>
                  <w:vAlign w:val="center"/>
                </w:tcPr>
                <w:p w14:paraId="7EE42716">
                  <w:pPr>
                    <w:pStyle w:val="31"/>
                    <w:adjustRightInd w:val="0"/>
                    <w:snapToGrid w:val="0"/>
                    <w:spacing w:beforeAutospacing="0" w:afterAutospacing="0"/>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lang w:bidi="ar"/>
                    </w:rPr>
                    <w:t>项目位于</w:t>
                  </w:r>
                  <w:r>
                    <w:rPr>
                      <w:rFonts w:hint="default" w:ascii="Times New Roman" w:hAnsi="Times New Roman" w:cs="Times New Roman"/>
                      <w:color w:val="auto"/>
                      <w:sz w:val="18"/>
                      <w:szCs w:val="18"/>
                    </w:rPr>
                    <w:t>云南通海产业园区里山片区；</w:t>
                  </w:r>
                  <w:r>
                    <w:rPr>
                      <w:rFonts w:hint="default" w:ascii="Times New Roman" w:hAnsi="Times New Roman" w:cs="Times New Roman"/>
                      <w:color w:val="auto"/>
                      <w:kern w:val="2"/>
                      <w:sz w:val="18"/>
                      <w:szCs w:val="18"/>
                      <w:lang w:bidi="ar"/>
                    </w:rPr>
                    <w:t>不占用基本农田。</w:t>
                  </w:r>
                </w:p>
              </w:tc>
              <w:tc>
                <w:tcPr>
                  <w:tcW w:w="481" w:type="pct"/>
                  <w:tcBorders>
                    <w:tl2br w:val="nil"/>
                    <w:tr2bl w:val="nil"/>
                  </w:tcBorders>
                  <w:vAlign w:val="center"/>
                </w:tcPr>
                <w:p w14:paraId="11BC7028">
                  <w:pPr>
                    <w:pStyle w:val="31"/>
                    <w:adjustRightInd w:val="0"/>
                    <w:snapToGrid w:val="0"/>
                    <w:spacing w:beforeAutospacing="0" w:afterAutospacing="0"/>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lang w:bidi="ar"/>
                    </w:rPr>
                    <w:t>符合</w:t>
                  </w:r>
                </w:p>
              </w:tc>
            </w:tr>
            <w:tr w14:paraId="63D5008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51" w:type="pct"/>
                  <w:vMerge w:val="continue"/>
                  <w:tcBorders>
                    <w:tl2br w:val="nil"/>
                    <w:tr2bl w:val="nil"/>
                  </w:tcBorders>
                  <w:vAlign w:val="center"/>
                </w:tcPr>
                <w:p w14:paraId="51440B47">
                  <w:pPr>
                    <w:widowControl/>
                    <w:jc w:val="center"/>
                    <w:rPr>
                      <w:rFonts w:hint="default" w:ascii="Times New Roman" w:hAnsi="Times New Roman" w:cs="Times New Roman"/>
                      <w:color w:val="auto"/>
                      <w:sz w:val="18"/>
                      <w:szCs w:val="18"/>
                    </w:rPr>
                  </w:pPr>
                </w:p>
              </w:tc>
              <w:tc>
                <w:tcPr>
                  <w:tcW w:w="2600" w:type="pct"/>
                  <w:tcBorders>
                    <w:tl2br w:val="nil"/>
                    <w:tr2bl w:val="nil"/>
                  </w:tcBorders>
                  <w:vAlign w:val="center"/>
                </w:tcPr>
                <w:p w14:paraId="3A719668">
                  <w:pPr>
                    <w:pStyle w:val="31"/>
                    <w:adjustRightInd w:val="0"/>
                    <w:snapToGrid w:val="0"/>
                    <w:spacing w:beforeAutospacing="0" w:afterAutospacing="0"/>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shd w:val="clear" w:color="auto" w:fill="FFFFFF"/>
                      <w:lang w:bidi="ar"/>
                    </w:rPr>
                    <w:t>禁止在自然保护区核心区、缓冲区建设任何生产设施。禁止在自然保护区的实验区内建设污染环境、破坏资源或者景观的生产设施和污染物排放超过国家和地方规定的污染物排放标准的其他项目。禁止在自然保护区内进行砍伐、放牧、狩猎、捕捞、采药、开垦、烧荒、开矿、采石、挖沙等活动，法律、行政法规另有规定的除外。</w:t>
                  </w:r>
                </w:p>
              </w:tc>
              <w:tc>
                <w:tcPr>
                  <w:tcW w:w="1366" w:type="pct"/>
                  <w:tcBorders>
                    <w:tl2br w:val="nil"/>
                    <w:tr2bl w:val="nil"/>
                  </w:tcBorders>
                  <w:vAlign w:val="center"/>
                </w:tcPr>
                <w:p w14:paraId="32A3F809">
                  <w:pPr>
                    <w:pStyle w:val="31"/>
                    <w:adjustRightInd w:val="0"/>
                    <w:snapToGrid w:val="0"/>
                    <w:spacing w:beforeAutospacing="0" w:afterAutospacing="0"/>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lang w:bidi="ar"/>
                    </w:rPr>
                    <w:t>项目位于</w:t>
                  </w:r>
                  <w:r>
                    <w:rPr>
                      <w:rFonts w:hint="default" w:ascii="Times New Roman" w:hAnsi="Times New Roman" w:cs="Times New Roman"/>
                      <w:color w:val="auto"/>
                      <w:sz w:val="18"/>
                      <w:szCs w:val="18"/>
                    </w:rPr>
                    <w:t>云南通海产业园区里山片区；</w:t>
                  </w:r>
                  <w:r>
                    <w:rPr>
                      <w:rFonts w:hint="default" w:ascii="Times New Roman" w:hAnsi="Times New Roman" w:cs="Times New Roman"/>
                      <w:color w:val="auto"/>
                      <w:kern w:val="2"/>
                      <w:sz w:val="18"/>
                      <w:szCs w:val="18"/>
                      <w:lang w:bidi="ar"/>
                    </w:rPr>
                    <w:t>不涉及自然保护区。</w:t>
                  </w:r>
                </w:p>
              </w:tc>
              <w:tc>
                <w:tcPr>
                  <w:tcW w:w="481" w:type="pct"/>
                  <w:tcBorders>
                    <w:tl2br w:val="nil"/>
                    <w:tr2bl w:val="nil"/>
                  </w:tcBorders>
                  <w:vAlign w:val="center"/>
                </w:tcPr>
                <w:p w14:paraId="576F4C75">
                  <w:pPr>
                    <w:pStyle w:val="31"/>
                    <w:adjustRightInd w:val="0"/>
                    <w:snapToGrid w:val="0"/>
                    <w:spacing w:beforeAutospacing="0" w:afterAutospacing="0"/>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lang w:bidi="ar"/>
                    </w:rPr>
                    <w:t>符合</w:t>
                  </w:r>
                </w:p>
              </w:tc>
            </w:tr>
            <w:tr w14:paraId="7C49546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51" w:type="pct"/>
                  <w:vMerge w:val="continue"/>
                  <w:tcBorders>
                    <w:tl2br w:val="nil"/>
                    <w:tr2bl w:val="nil"/>
                  </w:tcBorders>
                  <w:vAlign w:val="center"/>
                </w:tcPr>
                <w:p w14:paraId="7D81A3E3">
                  <w:pPr>
                    <w:widowControl/>
                    <w:jc w:val="center"/>
                    <w:rPr>
                      <w:rFonts w:hint="default" w:ascii="Times New Roman" w:hAnsi="Times New Roman" w:cs="Times New Roman"/>
                      <w:color w:val="auto"/>
                      <w:sz w:val="18"/>
                      <w:szCs w:val="18"/>
                    </w:rPr>
                  </w:pPr>
                </w:p>
              </w:tc>
              <w:tc>
                <w:tcPr>
                  <w:tcW w:w="2600" w:type="pct"/>
                  <w:tcBorders>
                    <w:tl2br w:val="nil"/>
                    <w:tr2bl w:val="nil"/>
                  </w:tcBorders>
                  <w:vAlign w:val="center"/>
                </w:tcPr>
                <w:p w14:paraId="717936CB">
                  <w:pPr>
                    <w:pStyle w:val="31"/>
                    <w:adjustRightInd w:val="0"/>
                    <w:snapToGrid w:val="0"/>
                    <w:spacing w:beforeAutospacing="0" w:afterAutospacing="0"/>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shd w:val="clear" w:color="auto" w:fill="FFFFFF"/>
                      <w:lang w:bidi="ar"/>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1366" w:type="pct"/>
                  <w:tcBorders>
                    <w:tl2br w:val="nil"/>
                    <w:tr2bl w:val="nil"/>
                  </w:tcBorders>
                  <w:vAlign w:val="center"/>
                </w:tcPr>
                <w:p w14:paraId="52380959">
                  <w:pPr>
                    <w:pStyle w:val="31"/>
                    <w:adjustRightInd w:val="0"/>
                    <w:snapToGrid w:val="0"/>
                    <w:spacing w:beforeAutospacing="0" w:afterAutospacing="0"/>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lang w:bidi="ar"/>
                    </w:rPr>
                    <w:t>项目位于</w:t>
                  </w:r>
                  <w:r>
                    <w:rPr>
                      <w:rFonts w:hint="default" w:ascii="Times New Roman" w:hAnsi="Times New Roman" w:cs="Times New Roman"/>
                      <w:color w:val="auto"/>
                      <w:sz w:val="18"/>
                      <w:szCs w:val="18"/>
                    </w:rPr>
                    <w:t>云南通海产业园区里山片区；</w:t>
                  </w:r>
                  <w:r>
                    <w:rPr>
                      <w:rFonts w:hint="default" w:ascii="Times New Roman" w:hAnsi="Times New Roman" w:cs="Times New Roman"/>
                      <w:color w:val="auto"/>
                      <w:kern w:val="2"/>
                      <w:sz w:val="18"/>
                      <w:szCs w:val="18"/>
                      <w:lang w:bidi="ar"/>
                    </w:rPr>
                    <w:t>不涉及</w:t>
                  </w:r>
                  <w:r>
                    <w:rPr>
                      <w:rFonts w:hint="default" w:ascii="Times New Roman" w:hAnsi="Times New Roman" w:cs="Times New Roman"/>
                      <w:color w:val="auto"/>
                      <w:kern w:val="2"/>
                      <w:sz w:val="18"/>
                      <w:szCs w:val="18"/>
                      <w:shd w:val="clear" w:color="auto" w:fill="FFFFFF"/>
                      <w:lang w:bidi="ar"/>
                    </w:rPr>
                    <w:t>饮用水水源保护地。</w:t>
                  </w:r>
                </w:p>
              </w:tc>
              <w:tc>
                <w:tcPr>
                  <w:tcW w:w="481" w:type="pct"/>
                  <w:tcBorders>
                    <w:tl2br w:val="nil"/>
                    <w:tr2bl w:val="nil"/>
                  </w:tcBorders>
                  <w:vAlign w:val="center"/>
                </w:tcPr>
                <w:p w14:paraId="4ACB820F">
                  <w:pPr>
                    <w:pStyle w:val="31"/>
                    <w:adjustRightInd w:val="0"/>
                    <w:snapToGrid w:val="0"/>
                    <w:spacing w:beforeAutospacing="0" w:afterAutospacing="0"/>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lang w:bidi="ar"/>
                    </w:rPr>
                    <w:t>符合</w:t>
                  </w:r>
                </w:p>
              </w:tc>
            </w:tr>
          </w:tbl>
          <w:p w14:paraId="24382D9E">
            <w:pPr>
              <w:pStyle w:val="5"/>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7、与《云南省土壤污染防治条例》符合性分析</w:t>
            </w:r>
          </w:p>
          <w:p w14:paraId="1A3AC86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2022年1月23日，云南省第十三届人民代表大会第五次会议通过了《云南省土壤污染防治条例》，与《云南省土壤污染防治条例》的符合性分析详见下表。</w:t>
            </w:r>
          </w:p>
          <w:p w14:paraId="5C273EF5">
            <w:pPr>
              <w:pStyle w:val="18"/>
              <w:spacing w:line="360" w:lineRule="auto"/>
              <w:ind w:left="67" w:firstLine="420"/>
              <w:jc w:val="center"/>
              <w:rPr>
                <w:rFonts w:hint="default" w:ascii="Times New Roman" w:hAnsi="Times New Roman" w:eastAsia="黑体" w:cs="Times New Roman"/>
                <w:bCs/>
                <w:color w:val="auto"/>
                <w:sz w:val="21"/>
              </w:rPr>
            </w:pPr>
            <w:r>
              <w:rPr>
                <w:rFonts w:hint="default" w:ascii="Times New Roman" w:hAnsi="Times New Roman" w:eastAsia="黑体" w:cs="Times New Roman"/>
                <w:bCs/>
                <w:color w:val="auto"/>
                <w:sz w:val="21"/>
              </w:rPr>
              <w:t>表1-7   与《云南省土壤污染防治条例》的符合性分析一览表</w:t>
            </w:r>
          </w:p>
          <w:tbl>
            <w:tblPr>
              <w:tblStyle w:val="3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9"/>
              <w:gridCol w:w="4252"/>
              <w:gridCol w:w="1830"/>
              <w:gridCol w:w="744"/>
            </w:tblGrid>
            <w:tr w14:paraId="49B1AC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tcBorders>
                    <w:tl2br w:val="nil"/>
                    <w:tr2bl w:val="nil"/>
                  </w:tcBorders>
                  <w:vAlign w:val="center"/>
                </w:tcPr>
                <w:p w14:paraId="68A71C89">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2862" w:type="pct"/>
                  <w:tcBorders>
                    <w:tl2br w:val="nil"/>
                    <w:tr2bl w:val="nil"/>
                  </w:tcBorders>
                  <w:vAlign w:val="center"/>
                </w:tcPr>
                <w:p w14:paraId="6DFEA44F">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污染防治条例要求</w:t>
                  </w:r>
                </w:p>
              </w:tc>
              <w:tc>
                <w:tcPr>
                  <w:tcW w:w="1232" w:type="pct"/>
                  <w:tcBorders>
                    <w:tl2br w:val="nil"/>
                    <w:tr2bl w:val="nil"/>
                  </w:tcBorders>
                  <w:vAlign w:val="center"/>
                </w:tcPr>
                <w:p w14:paraId="5CF26428">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项目情况</w:t>
                  </w:r>
                </w:p>
              </w:tc>
              <w:tc>
                <w:tcPr>
                  <w:tcW w:w="501" w:type="pct"/>
                  <w:tcBorders>
                    <w:tl2br w:val="nil"/>
                    <w:tr2bl w:val="nil"/>
                  </w:tcBorders>
                  <w:vAlign w:val="center"/>
                </w:tcPr>
                <w:p w14:paraId="59F93D4E">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符合性</w:t>
                  </w:r>
                </w:p>
              </w:tc>
            </w:tr>
            <w:tr w14:paraId="52E230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tcBorders>
                    <w:tl2br w:val="nil"/>
                    <w:tr2bl w:val="nil"/>
                  </w:tcBorders>
                  <w:vAlign w:val="center"/>
                </w:tcPr>
                <w:p w14:paraId="404501C1">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2862" w:type="pct"/>
                  <w:tcBorders>
                    <w:tl2br w:val="nil"/>
                    <w:tr2bl w:val="nil"/>
                  </w:tcBorders>
                  <w:vAlign w:val="center"/>
                </w:tcPr>
                <w:p w14:paraId="32611F48">
                  <w:pPr>
                    <w:adjustRightInd w:val="0"/>
                    <w:snapToGrid w:val="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第十二条：禁止在居民区和学校、医院、疗养院、养老院等单位周边新建、改建、扩建可能造成土壤污染的建设项目。</w:t>
                  </w:r>
                </w:p>
              </w:tc>
              <w:tc>
                <w:tcPr>
                  <w:tcW w:w="1232" w:type="pct"/>
                  <w:tcBorders>
                    <w:tl2br w:val="nil"/>
                    <w:tr2bl w:val="nil"/>
                  </w:tcBorders>
                  <w:vAlign w:val="center"/>
                </w:tcPr>
                <w:p w14:paraId="52F9E2A6">
                  <w:pPr>
                    <w:adjustRightInd w:val="0"/>
                    <w:snapToGrid w:val="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项目区周边不涉及居民区和学校、医院、疗养院、养老院等单位。</w:t>
                  </w:r>
                </w:p>
              </w:tc>
              <w:tc>
                <w:tcPr>
                  <w:tcW w:w="501" w:type="pct"/>
                  <w:tcBorders>
                    <w:tl2br w:val="nil"/>
                    <w:tr2bl w:val="nil"/>
                  </w:tcBorders>
                  <w:vAlign w:val="center"/>
                </w:tcPr>
                <w:p w14:paraId="5778DDCF">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22B722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tcBorders>
                    <w:tl2br w:val="nil"/>
                    <w:tr2bl w:val="nil"/>
                  </w:tcBorders>
                  <w:vAlign w:val="center"/>
                </w:tcPr>
                <w:p w14:paraId="4A68CAD2">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862" w:type="pct"/>
                  <w:tcBorders>
                    <w:tl2br w:val="nil"/>
                    <w:tr2bl w:val="nil"/>
                  </w:tcBorders>
                  <w:vAlign w:val="center"/>
                </w:tcPr>
                <w:p w14:paraId="3139B27B">
                  <w:pPr>
                    <w:adjustRightInd w:val="0"/>
                    <w:snapToGrid w:val="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第十四条：各类涉及土地利用的规划和可能造成土壤污染的建设项目，应当依法进行环境影响评价。环境影响评价文件应当包括对土壤可能造成的不良影响及应当采取的相应预防措施等内容。</w:t>
                  </w:r>
                </w:p>
                <w:p w14:paraId="0D80EA82">
                  <w:pPr>
                    <w:adjustRightInd w:val="0"/>
                    <w:snapToGrid w:val="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建设项目配套建设的土壤污染防治设施，应当与主体工程同时设计、同时施工、同时投入使用。</w:t>
                  </w:r>
                </w:p>
              </w:tc>
              <w:tc>
                <w:tcPr>
                  <w:tcW w:w="1232" w:type="pct"/>
                  <w:tcBorders>
                    <w:tl2br w:val="nil"/>
                    <w:tr2bl w:val="nil"/>
                  </w:tcBorders>
                  <w:vAlign w:val="center"/>
                </w:tcPr>
                <w:p w14:paraId="25B13E31">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本次为项目环评，将对项目运行对土壤环境可能造成的影响进行分析，并提出相应的预防措施。</w:t>
                  </w:r>
                </w:p>
              </w:tc>
              <w:tc>
                <w:tcPr>
                  <w:tcW w:w="501" w:type="pct"/>
                  <w:tcBorders>
                    <w:tl2br w:val="nil"/>
                    <w:tr2bl w:val="nil"/>
                  </w:tcBorders>
                  <w:vAlign w:val="center"/>
                </w:tcPr>
                <w:p w14:paraId="1BABA3C9">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14864E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tcBorders>
                    <w:tl2br w:val="nil"/>
                    <w:tr2bl w:val="nil"/>
                  </w:tcBorders>
                  <w:vAlign w:val="center"/>
                </w:tcPr>
                <w:p w14:paraId="66B4339D">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2862" w:type="pct"/>
                  <w:tcBorders>
                    <w:tl2br w:val="nil"/>
                    <w:tr2bl w:val="nil"/>
                  </w:tcBorders>
                  <w:vAlign w:val="center"/>
                </w:tcPr>
                <w:p w14:paraId="2A2CEC12">
                  <w:pPr>
                    <w:adjustRightInd w:val="0"/>
                    <w:snapToGrid w:val="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十五条：单位和个人生产、使用、贮存、运输、回收、处置、排放有毒有害物质，从事加油站经营、油品运输、油品贮存以及车船拆解、修理、保养等活动，应当采取有效的防渗漏、防流失、防扬散或者其他措施，防止土壤污染。</w:t>
                  </w:r>
                </w:p>
              </w:tc>
              <w:tc>
                <w:tcPr>
                  <w:tcW w:w="1232" w:type="pct"/>
                  <w:tcBorders>
                    <w:tl2br w:val="nil"/>
                    <w:tr2bl w:val="nil"/>
                  </w:tcBorders>
                  <w:vAlign w:val="center"/>
                </w:tcPr>
                <w:p w14:paraId="186946CF">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项目涉及的危险废物为废机油，暂存于危险废物贮存库后全部返回设备进行润滑使用。</w:t>
                  </w:r>
                </w:p>
              </w:tc>
              <w:tc>
                <w:tcPr>
                  <w:tcW w:w="501" w:type="pct"/>
                  <w:tcBorders>
                    <w:tl2br w:val="nil"/>
                    <w:tr2bl w:val="nil"/>
                  </w:tcBorders>
                  <w:vAlign w:val="center"/>
                </w:tcPr>
                <w:p w14:paraId="19CE25A1">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45ACB0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tcBorders>
                    <w:tl2br w:val="nil"/>
                    <w:tr2bl w:val="nil"/>
                  </w:tcBorders>
                  <w:vAlign w:val="center"/>
                </w:tcPr>
                <w:p w14:paraId="7F77D93C">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2862" w:type="pct"/>
                  <w:tcBorders>
                    <w:tl2br w:val="nil"/>
                    <w:tr2bl w:val="nil"/>
                  </w:tcBorders>
                  <w:vAlign w:val="center"/>
                </w:tcPr>
                <w:p w14:paraId="33D5C224">
                  <w:pPr>
                    <w:adjustRightInd w:val="0"/>
                    <w:snapToGrid w:val="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十七条：土壤污染重点监管单位应当依法履行下列义务：（一）严格控制有毒有害物质排放，按年度向所在地生态环境主管部门报告排放情况；（二）建立土壤污染隐患排查制度，发现污染隐患的，应当采取相应处置措施，保证持续有效防止有毒有害物质渗漏、流失、扬散；（三）依照法律法规和监测规范，制定、实施自行监测方案，对监测数据的真实性和准确性负责，不得篡改、伪造监测数据，并将监测数据报所在地生态环境主管部门。</w:t>
                  </w:r>
                </w:p>
              </w:tc>
              <w:tc>
                <w:tcPr>
                  <w:tcW w:w="1232" w:type="pct"/>
                  <w:tcBorders>
                    <w:tl2br w:val="nil"/>
                    <w:tr2bl w:val="nil"/>
                  </w:tcBorders>
                  <w:vAlign w:val="center"/>
                </w:tcPr>
                <w:p w14:paraId="2A85B5EC">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企业不属于土壤污染重点监管单位。</w:t>
                  </w:r>
                </w:p>
              </w:tc>
              <w:tc>
                <w:tcPr>
                  <w:tcW w:w="501" w:type="pct"/>
                  <w:tcBorders>
                    <w:tl2br w:val="nil"/>
                    <w:tr2bl w:val="nil"/>
                  </w:tcBorders>
                  <w:vAlign w:val="center"/>
                </w:tcPr>
                <w:p w14:paraId="66A0E637">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705C50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tcBorders>
                    <w:tl2br w:val="nil"/>
                    <w:tr2bl w:val="nil"/>
                  </w:tcBorders>
                  <w:vAlign w:val="center"/>
                </w:tcPr>
                <w:p w14:paraId="0D05E815">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2862" w:type="pct"/>
                  <w:tcBorders>
                    <w:tl2br w:val="nil"/>
                    <w:tr2bl w:val="nil"/>
                  </w:tcBorders>
                  <w:vAlign w:val="center"/>
                </w:tcPr>
                <w:p w14:paraId="36A52CCB">
                  <w:pPr>
                    <w:adjustRightInd w:val="0"/>
                    <w:snapToGrid w:val="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十八条：企业事业单位拆除设施、设备或者建筑物、构筑物的，应当采取相应的土壤污染防治措施。土壤污染重点监管单位拆除设施、设备或者建筑物、构筑物的，应当制定包括应急措施在内的土壤污染防治工作方案，在拆除活动前15个工作日报所在地生态环境、工业和信息化主管部门备案并实施。</w:t>
                  </w:r>
                </w:p>
                <w:p w14:paraId="79B4464D">
                  <w:pPr>
                    <w:adjustRightInd w:val="0"/>
                    <w:snapToGrid w:val="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土壤污染重点监管单位拆除活动应当严格按照有关规定实施残留物料和污染物、污染设备和设施的安全处理处置，防止拆除活动污染土壤环境。</w:t>
                  </w:r>
                </w:p>
              </w:tc>
              <w:tc>
                <w:tcPr>
                  <w:tcW w:w="1232" w:type="pct"/>
                  <w:tcBorders>
                    <w:tl2br w:val="nil"/>
                    <w:tr2bl w:val="nil"/>
                  </w:tcBorders>
                  <w:vAlign w:val="center"/>
                </w:tcPr>
                <w:p w14:paraId="13FA0105">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园区各企业在拆除设施、设备或建筑物、构筑物的过程中严格按照此条进行。</w:t>
                  </w:r>
                </w:p>
              </w:tc>
              <w:tc>
                <w:tcPr>
                  <w:tcW w:w="501" w:type="pct"/>
                  <w:tcBorders>
                    <w:tl2br w:val="nil"/>
                    <w:tr2bl w:val="nil"/>
                  </w:tcBorders>
                  <w:vAlign w:val="center"/>
                </w:tcPr>
                <w:p w14:paraId="7905D8D5">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bl>
          <w:p w14:paraId="207C9E4C">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根据上表分析可知，项目的建设符合《云南省土壤污染防治条例》的相关要求。</w:t>
            </w:r>
          </w:p>
          <w:p w14:paraId="67D19C41">
            <w:pPr>
              <w:pStyle w:val="5"/>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8、与《完善能源消费强度和总量双控制度方案》符合性分析</w:t>
            </w:r>
          </w:p>
          <w:p w14:paraId="6F6450D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2021年9月11日国家发展改革委“印发《完善能源消费强度和总量双控制度方案》的通知”（发改环资〔2021〕1310号），项目与《完善能源消费强度和总量双控制度方案》的符合性分析如下：</w:t>
            </w:r>
          </w:p>
          <w:p w14:paraId="767F13A9">
            <w:pPr>
              <w:adjustRightInd w:val="0"/>
              <w:snapToGrid w:val="0"/>
              <w:spacing w:line="360" w:lineRule="auto"/>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表1-8   与《完善能源消费强度和总量双控制度方案》的符合性分析</w:t>
            </w:r>
          </w:p>
          <w:tbl>
            <w:tblPr>
              <w:tblStyle w:val="3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54"/>
              <w:gridCol w:w="2905"/>
              <w:gridCol w:w="766"/>
            </w:tblGrid>
            <w:tr w14:paraId="7CA319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8" w:type="pct"/>
                  <w:tcBorders>
                    <w:tl2br w:val="nil"/>
                    <w:tr2bl w:val="nil"/>
                  </w:tcBorders>
                  <w:vAlign w:val="center"/>
                </w:tcPr>
                <w:p w14:paraId="04223176">
                  <w:pPr>
                    <w:widowControl/>
                    <w:jc w:val="center"/>
                    <w:textAlignment w:val="top"/>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完善能源消费强度和总量双控制度方案</w:t>
                  </w:r>
                </w:p>
              </w:tc>
              <w:tc>
                <w:tcPr>
                  <w:tcW w:w="1956" w:type="pct"/>
                  <w:tcBorders>
                    <w:tl2br w:val="nil"/>
                    <w:tr2bl w:val="nil"/>
                  </w:tcBorders>
                  <w:tcMar>
                    <w:top w:w="57" w:type="dxa"/>
                    <w:left w:w="108" w:type="dxa"/>
                    <w:bottom w:w="57" w:type="dxa"/>
                    <w:right w:w="108" w:type="dxa"/>
                  </w:tcMar>
                  <w:vAlign w:val="center"/>
                </w:tcPr>
                <w:p w14:paraId="2ED0211C">
                  <w:pPr>
                    <w:widowControl/>
                    <w:jc w:val="center"/>
                    <w:textAlignment w:val="top"/>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建设项目情况</w:t>
                  </w:r>
                </w:p>
              </w:tc>
              <w:tc>
                <w:tcPr>
                  <w:tcW w:w="514" w:type="pct"/>
                  <w:tcBorders>
                    <w:tl2br w:val="nil"/>
                    <w:tr2bl w:val="nil"/>
                  </w:tcBorders>
                  <w:tcMar>
                    <w:top w:w="57" w:type="dxa"/>
                    <w:left w:w="108" w:type="dxa"/>
                    <w:bottom w:w="57" w:type="dxa"/>
                    <w:right w:w="108" w:type="dxa"/>
                  </w:tcMar>
                  <w:vAlign w:val="center"/>
                </w:tcPr>
                <w:p w14:paraId="0192ED37">
                  <w:pPr>
                    <w:widowControl/>
                    <w:jc w:val="center"/>
                    <w:textAlignment w:val="top"/>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符合性</w:t>
                  </w:r>
                </w:p>
              </w:tc>
            </w:tr>
            <w:tr w14:paraId="06F790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tcBorders>
                    <w:tl2br w:val="nil"/>
                    <w:tr2bl w:val="nil"/>
                  </w:tcBorders>
                  <w:vAlign w:val="center"/>
                </w:tcPr>
                <w:p w14:paraId="181F61CC">
                  <w:pPr>
                    <w:widowControl/>
                    <w:textAlignment w:val="top"/>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三、增强能源消费总量管理弹性</w:t>
                  </w:r>
                </w:p>
              </w:tc>
            </w:tr>
            <w:tr w14:paraId="0C51CC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8" w:type="pct"/>
                  <w:tcBorders>
                    <w:tl2br w:val="nil"/>
                    <w:tr2bl w:val="nil"/>
                  </w:tcBorders>
                  <w:tcMar>
                    <w:top w:w="57" w:type="dxa"/>
                    <w:left w:w="108" w:type="dxa"/>
                    <w:bottom w:w="57" w:type="dxa"/>
                    <w:right w:w="108" w:type="dxa"/>
                  </w:tcMar>
                  <w:vAlign w:val="center"/>
                </w:tcPr>
                <w:p w14:paraId="62816D55">
                  <w:pPr>
                    <w:widowControl/>
                    <w:textAlignment w:val="top"/>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七）坚决管控高耗能高排放项目。各省（自治区、直辖市）要建立在建、拟建、存量高耗能高排放项目（以下称“两高”项目）清单，明确处置意见，调整情况及时报送国家发展改革委。对新增能耗5万吨标准煤及以上的“两高”项目，国家发展改革委会同有关部门对照能效水平、环保要求、产业政策、相关规划等要求加强窗口指导；对新增能耗5万吨标准煤以下“两高”项目，各地区根据能耗双控目标任务加强管理，严格把关。对不符合要求的“两高”项目，各地区要严把节能审查、环评审批等准入关，金融机构不得提供信贷支持。</w:t>
                  </w:r>
                </w:p>
              </w:tc>
              <w:tc>
                <w:tcPr>
                  <w:tcW w:w="1956" w:type="pct"/>
                  <w:tcBorders>
                    <w:tl2br w:val="nil"/>
                    <w:tr2bl w:val="nil"/>
                  </w:tcBorders>
                  <w:tcMar>
                    <w:top w:w="57" w:type="dxa"/>
                    <w:left w:w="108" w:type="dxa"/>
                    <w:bottom w:w="57" w:type="dxa"/>
                    <w:right w:w="108" w:type="dxa"/>
                  </w:tcMar>
                  <w:vAlign w:val="center"/>
                </w:tcPr>
                <w:p w14:paraId="1A4C3DA8">
                  <w:pPr>
                    <w:widowControl/>
                    <w:textAlignment w:val="top"/>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目前项目未在“两高”清单内，根据玉溪博识企业管理有限公司于2022年6月24日编制的节能报告，项目年综合能耗为1997.43t标准值（当量值），2022年8月15日，项目取得了通海县发展和改革局《关于通海南方钢铁有限公司新建年产3万吨无缝钢管生产线项目节能评审意见》（通发改〔2022〕61号）。</w:t>
                  </w:r>
                </w:p>
              </w:tc>
              <w:tc>
                <w:tcPr>
                  <w:tcW w:w="514" w:type="pct"/>
                  <w:tcBorders>
                    <w:tl2br w:val="nil"/>
                    <w:tr2bl w:val="nil"/>
                  </w:tcBorders>
                  <w:tcMar>
                    <w:top w:w="57" w:type="dxa"/>
                    <w:left w:w="108" w:type="dxa"/>
                    <w:bottom w:w="57" w:type="dxa"/>
                    <w:right w:w="108" w:type="dxa"/>
                  </w:tcMar>
                  <w:vAlign w:val="center"/>
                </w:tcPr>
                <w:p w14:paraId="79E61F75">
                  <w:pPr>
                    <w:widowControl/>
                    <w:jc w:val="center"/>
                    <w:textAlignment w:val="top"/>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tc>
            </w:tr>
            <w:tr w14:paraId="2399A6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tcBorders>
                    <w:tl2br w:val="nil"/>
                    <w:tr2bl w:val="nil"/>
                  </w:tcBorders>
                  <w:tcMar>
                    <w:top w:w="57" w:type="dxa"/>
                    <w:left w:w="108" w:type="dxa"/>
                    <w:bottom w:w="57" w:type="dxa"/>
                    <w:right w:w="108" w:type="dxa"/>
                  </w:tcMar>
                  <w:vAlign w:val="center"/>
                </w:tcPr>
                <w:p w14:paraId="390C2FFC">
                  <w:pPr>
                    <w:widowControl/>
                    <w:textAlignment w:val="top"/>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四、健全能耗双控管理制度</w:t>
                  </w:r>
                </w:p>
              </w:tc>
            </w:tr>
            <w:tr w14:paraId="1B1540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8" w:type="pct"/>
                  <w:tcBorders>
                    <w:tl2br w:val="nil"/>
                    <w:tr2bl w:val="nil"/>
                  </w:tcBorders>
                  <w:tcMar>
                    <w:top w:w="57" w:type="dxa"/>
                    <w:left w:w="108" w:type="dxa"/>
                    <w:bottom w:w="57" w:type="dxa"/>
                    <w:right w:w="108" w:type="dxa"/>
                  </w:tcMar>
                  <w:vAlign w:val="center"/>
                </w:tcPr>
                <w:p w14:paraId="589248D6">
                  <w:pPr>
                    <w:widowControl/>
                    <w:textAlignment w:val="top"/>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十二）严格实施节能审查制度。各省（自治区、直辖市）要切实加强对能耗量较大特别是化石能源消费量大的项目的节能审查，与本地区能耗双控目标做好衔接，从源头严控新上项目能效水平，新上高耗能项目必须符合国家产业政策且能效达到行业先进水平。未达到能耗强度降低基本目标进度要求的地区，在节能审查等环节对高耗能项目缓批限批，新上高耗能项目须实行能耗等量减量替代。深化节能审查制度改革，加强节能审查事中事后监管，强化节能管理服务，实行闭环管理。</w:t>
                  </w:r>
                </w:p>
              </w:tc>
              <w:tc>
                <w:tcPr>
                  <w:tcW w:w="1956" w:type="pct"/>
                  <w:tcBorders>
                    <w:tl2br w:val="nil"/>
                    <w:tr2bl w:val="nil"/>
                  </w:tcBorders>
                  <w:tcMar>
                    <w:top w:w="57" w:type="dxa"/>
                    <w:left w:w="108" w:type="dxa"/>
                    <w:bottom w:w="57" w:type="dxa"/>
                    <w:right w:w="108" w:type="dxa"/>
                  </w:tcMar>
                  <w:vAlign w:val="center"/>
                </w:tcPr>
                <w:p w14:paraId="7F011E24">
                  <w:pPr>
                    <w:widowControl/>
                    <w:textAlignment w:val="top"/>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根据玉溪博识企业管理有限公司于2022年6月24日编制的节能报告，项目年综合能耗为1997.43t标准值（当量值），2022年8月15日，项目取得了通海县发展和改革局《关于通海南方钢铁有限公司新建年产3万吨无缝钢管生产线项目节能评审意见》（通发改〔2022〕61号）。根据节能评估报告，项目新增能耗对通海县能耗总量和强度目标的影响较小。</w:t>
                  </w:r>
                </w:p>
              </w:tc>
              <w:tc>
                <w:tcPr>
                  <w:tcW w:w="514" w:type="pct"/>
                  <w:tcBorders>
                    <w:tl2br w:val="nil"/>
                    <w:tr2bl w:val="nil"/>
                  </w:tcBorders>
                  <w:tcMar>
                    <w:top w:w="57" w:type="dxa"/>
                    <w:left w:w="108" w:type="dxa"/>
                    <w:bottom w:w="57" w:type="dxa"/>
                    <w:right w:w="108" w:type="dxa"/>
                  </w:tcMar>
                  <w:vAlign w:val="center"/>
                </w:tcPr>
                <w:p w14:paraId="68EE5A90">
                  <w:pPr>
                    <w:widowControl/>
                    <w:jc w:val="center"/>
                    <w:textAlignment w:val="top"/>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tc>
            </w:tr>
          </w:tbl>
          <w:p w14:paraId="195911F9">
            <w:pPr>
              <w:pStyle w:val="5"/>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9、与《关于加强高耗能、高排放建设项目生态环境源头防控的指导意见》（环环评〔2021〕45号）符合性分析</w:t>
            </w:r>
          </w:p>
          <w:p w14:paraId="09134744">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2021年5月30日生态环境部发布了《关于加强高耗能、高排放建设项目生态环境源头防控的指导意见》（环环评〔2021〕45号），文件针对高耗能、高排放建设项目提出了相关要求。</w:t>
            </w:r>
          </w:p>
          <w:p w14:paraId="43A1ABF5">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项目与该指导意见的分析情况如下：</w:t>
            </w:r>
          </w:p>
          <w:p w14:paraId="2C4EAEF2">
            <w:pPr>
              <w:adjustRightInd w:val="0"/>
              <w:snapToGrid w:val="0"/>
              <w:spacing w:line="360" w:lineRule="auto"/>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表1-9   与“环环评〔2021〕45号”的符合性分析</w:t>
            </w:r>
          </w:p>
          <w:tbl>
            <w:tblPr>
              <w:tblStyle w:val="3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71"/>
              <w:gridCol w:w="3254"/>
            </w:tblGrid>
            <w:tr w14:paraId="148BA8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9" w:type="pct"/>
                  <w:tcBorders>
                    <w:tl2br w:val="nil"/>
                    <w:tr2bl w:val="nil"/>
                  </w:tcBorders>
                  <w:vAlign w:val="center"/>
                </w:tcPr>
                <w:p w14:paraId="619A44B1">
                  <w:pPr>
                    <w:tabs>
                      <w:tab w:val="left" w:pos="7200"/>
                    </w:tabs>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“环环评〔2021〕45号”指导意见</w:t>
                  </w:r>
                </w:p>
              </w:tc>
              <w:tc>
                <w:tcPr>
                  <w:tcW w:w="2190" w:type="pct"/>
                  <w:tcBorders>
                    <w:tl2br w:val="nil"/>
                    <w:tr2bl w:val="nil"/>
                  </w:tcBorders>
                  <w:vAlign w:val="center"/>
                </w:tcPr>
                <w:p w14:paraId="764A1EC7">
                  <w:pPr>
                    <w:tabs>
                      <w:tab w:val="left" w:pos="7200"/>
                    </w:tabs>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本项目执行情况</w:t>
                  </w:r>
                </w:p>
              </w:tc>
            </w:tr>
            <w:tr w14:paraId="235C3D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tcBorders>
                    <w:tl2br w:val="nil"/>
                    <w:tr2bl w:val="nil"/>
                  </w:tcBorders>
                  <w:vAlign w:val="center"/>
                </w:tcPr>
                <w:p w14:paraId="4CC7AD9D">
                  <w:pPr>
                    <w:tabs>
                      <w:tab w:val="left" w:pos="7200"/>
                    </w:tabs>
                    <w:adjustRightInd w:val="0"/>
                    <w:snapToGrid w:val="0"/>
                    <w:rPr>
                      <w:rFonts w:hint="default" w:ascii="Times New Roman" w:hAnsi="Times New Roman" w:cs="Times New Roman"/>
                      <w:color w:val="auto"/>
                      <w:sz w:val="18"/>
                      <w:szCs w:val="18"/>
                    </w:rPr>
                  </w:pPr>
                  <w:r>
                    <w:rPr>
                      <w:rStyle w:val="38"/>
                      <w:rFonts w:hint="default" w:ascii="Times New Roman" w:hAnsi="Times New Roman" w:eastAsia="黑体" w:cs="Times New Roman"/>
                      <w:b w:val="0"/>
                      <w:color w:val="auto"/>
                      <w:sz w:val="18"/>
                      <w:szCs w:val="18"/>
                      <w:shd w:val="clear" w:color="auto" w:fill="FFFFFF"/>
                    </w:rPr>
                    <w:t>一、加强生态环境分区管控和规划约束</w:t>
                  </w:r>
                </w:p>
              </w:tc>
            </w:tr>
            <w:tr w14:paraId="55A2D5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9" w:type="pct"/>
                  <w:tcBorders>
                    <w:tl2br w:val="nil"/>
                    <w:tr2bl w:val="nil"/>
                  </w:tcBorders>
                  <w:vAlign w:val="center"/>
                </w:tcPr>
                <w:p w14:paraId="24A0B27D">
                  <w:pPr>
                    <w:tabs>
                      <w:tab w:val="left" w:pos="7200"/>
                    </w:tabs>
                    <w:adjustRightInd w:val="0"/>
                    <w:snapToGrid w:val="0"/>
                    <w:rPr>
                      <w:rFonts w:hint="default" w:ascii="Times New Roman" w:hAnsi="Times New Roman" w:cs="Times New Roman"/>
                      <w:color w:val="auto"/>
                      <w:sz w:val="18"/>
                      <w:szCs w:val="18"/>
                    </w:rPr>
                  </w:pPr>
                  <w:r>
                    <w:rPr>
                      <w:rStyle w:val="38"/>
                      <w:rFonts w:hint="default" w:ascii="Times New Roman" w:hAnsi="Times New Roman" w:eastAsia="黑体" w:cs="Times New Roman"/>
                      <w:b w:val="0"/>
                      <w:color w:val="auto"/>
                      <w:sz w:val="18"/>
                      <w:szCs w:val="18"/>
                      <w:shd w:val="clear" w:color="auto" w:fill="FFFFFF"/>
                    </w:rPr>
                    <w:t>（一）深入实施“三线一单”。</w:t>
                  </w:r>
                  <w:r>
                    <w:rPr>
                      <w:rFonts w:hint="default" w:ascii="Times New Roman" w:hAnsi="Times New Roman" w:cs="Times New Roman"/>
                      <w:color w:val="auto"/>
                      <w:sz w:val="18"/>
                      <w:szCs w:val="18"/>
                      <w:shd w:val="clear" w:color="auto" w:fill="FFFFFF"/>
                    </w:rPr>
                    <w:t>各级生态环境部门应加快推进“三线一单”成果在“两高”行业产业布局和结构调整、重大项目选址中的应用。地方生态环境部门组织“三线一单”地市落地细化及后续更新调整时，应在生态环境准入清单中深化“两高”项目环境准入及管控要求；承接钢铁、电解铝等产业转移地区应严格落实生态环境分区管控要求，将环境质量底线作为硬约束。</w:t>
                  </w:r>
                </w:p>
              </w:tc>
              <w:tc>
                <w:tcPr>
                  <w:tcW w:w="2190" w:type="pct"/>
                  <w:tcBorders>
                    <w:tl2br w:val="nil"/>
                    <w:tr2bl w:val="nil"/>
                  </w:tcBorders>
                  <w:vAlign w:val="center"/>
                </w:tcPr>
                <w:p w14:paraId="43EC270C">
                  <w:pPr>
                    <w:tabs>
                      <w:tab w:val="left" w:pos="7200"/>
                    </w:tabs>
                    <w:adjustRightInd w:val="0"/>
                    <w:snapToGrid w:val="0"/>
                    <w:ind w:firstLine="360" w:firstLineChars="200"/>
                    <w:rPr>
                      <w:rFonts w:hint="default" w:ascii="Times New Roman" w:hAnsi="Times New Roman" w:cs="Times New Roman"/>
                      <w:color w:val="auto"/>
                      <w:sz w:val="18"/>
                      <w:szCs w:val="18"/>
                      <w:shd w:val="clear" w:color="auto" w:fill="FFFFFF"/>
                    </w:rPr>
                  </w:pPr>
                  <w:r>
                    <w:rPr>
                      <w:rFonts w:hint="default" w:ascii="Times New Roman" w:hAnsi="Times New Roman" w:cs="Times New Roman"/>
                      <w:color w:val="auto"/>
                      <w:sz w:val="18"/>
                      <w:szCs w:val="18"/>
                      <w:shd w:val="clear" w:color="auto" w:fill="FFFFFF"/>
                    </w:rPr>
                    <w:t>项目实施过程中应严格落实废气、废水、固废污染防治措施，做到废气排放达到《关于推进实施钢铁行业超低排放的意见》（环大气〔2019〕35号）限值要求；生产废水循环使用；生活污水经过化粪池处理达到《污水综合排放标准》（GB8978-1996）（表4）三级标准及《污水排入城镇下水道水质标准》（GB/T31962-2015）表1B等级标准要求后，排入里山片区污水处理厂进一步处理；固废均得到合理处置；并制定污染地下水和土壤的污染防治措施。确保项目运行后不会影响环境质量底线，对区域大气环境质量、水环境质量、土壤环境质量不恶化</w:t>
                  </w:r>
                  <w:r>
                    <w:rPr>
                      <w:rFonts w:hint="default" w:ascii="Times New Roman" w:hAnsi="Times New Roman" w:cs="Times New Roman"/>
                      <w:color w:val="auto"/>
                      <w:kern w:val="0"/>
                      <w:sz w:val="18"/>
                      <w:szCs w:val="18"/>
                    </w:rPr>
                    <w:t>。</w:t>
                  </w:r>
                </w:p>
              </w:tc>
            </w:tr>
            <w:tr w14:paraId="21FF18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9" w:type="pct"/>
                  <w:tcBorders>
                    <w:tl2br w:val="nil"/>
                    <w:tr2bl w:val="nil"/>
                  </w:tcBorders>
                  <w:vAlign w:val="center"/>
                </w:tcPr>
                <w:p w14:paraId="62ECDB70">
                  <w:pPr>
                    <w:tabs>
                      <w:tab w:val="left" w:pos="7200"/>
                    </w:tabs>
                    <w:adjustRightInd w:val="0"/>
                    <w:snapToGrid w:val="0"/>
                    <w:rPr>
                      <w:rFonts w:hint="default" w:ascii="Times New Roman" w:hAnsi="Times New Roman" w:cs="Times New Roman"/>
                      <w:color w:val="auto"/>
                      <w:sz w:val="18"/>
                      <w:szCs w:val="18"/>
                    </w:rPr>
                  </w:pPr>
                  <w:r>
                    <w:rPr>
                      <w:rStyle w:val="38"/>
                      <w:rFonts w:hint="default" w:ascii="Times New Roman" w:hAnsi="Times New Roman" w:eastAsia="黑体" w:cs="Times New Roman"/>
                      <w:b w:val="0"/>
                      <w:color w:val="auto"/>
                      <w:sz w:val="18"/>
                      <w:szCs w:val="18"/>
                      <w:shd w:val="clear" w:color="auto" w:fill="FFFFFF"/>
                    </w:rPr>
                    <w:t>（二）强化规划环评效力。</w:t>
                  </w:r>
                  <w:r>
                    <w:rPr>
                      <w:rFonts w:hint="default" w:ascii="Times New Roman" w:hAnsi="Times New Roman" w:cs="Times New Roman"/>
                      <w:color w:val="auto"/>
                      <w:sz w:val="18"/>
                      <w:szCs w:val="18"/>
                      <w:shd w:val="clear" w:color="auto" w:fill="FFFFFF"/>
                    </w:rPr>
                    <w:t>各级生态环境部门应严格审查涉“两高”行业的有关综合性规划和工业、能源等专项规划环评，特别对为上马“两高”项目而修编的规划，在环评审查中应严格控制“两高”行业发展规模，优化规划布局、产业结构与实施时序。以“两高”行业为主导产业的园区规划环评应增加碳排放情况与减排潜力分析，推动园区绿色低碳发展。推动煤电能源基地、现代煤化工示范区、石化产业基地等开展规划环境影响跟踪评价，完善生态环境保护措施并适时优化调整规划。</w:t>
                  </w:r>
                </w:p>
              </w:tc>
              <w:tc>
                <w:tcPr>
                  <w:tcW w:w="2190" w:type="pct"/>
                  <w:tcBorders>
                    <w:tl2br w:val="nil"/>
                    <w:tr2bl w:val="nil"/>
                  </w:tcBorders>
                  <w:vAlign w:val="center"/>
                </w:tcPr>
                <w:p w14:paraId="33AB465C">
                  <w:pPr>
                    <w:tabs>
                      <w:tab w:val="left" w:pos="7200"/>
                    </w:tabs>
                    <w:adjustRightInd w:val="0"/>
                    <w:snapToGrid w:val="0"/>
                    <w:ind w:firstLine="360" w:firstLineChars="200"/>
                    <w:rPr>
                      <w:rFonts w:hint="default" w:ascii="Times New Roman" w:hAnsi="Times New Roman" w:cs="Times New Roman"/>
                      <w:color w:val="auto"/>
                      <w:sz w:val="18"/>
                      <w:szCs w:val="18"/>
                      <w:shd w:val="clear" w:color="auto" w:fill="FFFFFF"/>
                    </w:rPr>
                  </w:pPr>
                  <w:r>
                    <w:rPr>
                      <w:rFonts w:hint="default" w:ascii="Times New Roman" w:hAnsi="Times New Roman" w:cs="Times New Roman"/>
                      <w:color w:val="auto"/>
                      <w:sz w:val="18"/>
                      <w:szCs w:val="18"/>
                      <w:shd w:val="clear" w:color="auto" w:fill="FFFFFF"/>
                    </w:rPr>
                    <w:t>经核实，目前项目所在区域尚未编制涉及“两高”行业的有关综合性规划和工业、能源等专项规划环评，后续区域编制相关规划和专项规划环评时，本项目将严格按照相关规划要求，积极按要求进行改造。本项目位于通海五金产业园区里山片区，为“两高”行业为主导的产业园区，后续规划环评中将按“两高”要求增加碳排放情况与减排措施，积极推动实施碳达峰行动方案。</w:t>
                  </w:r>
                </w:p>
                <w:p w14:paraId="4CB6F5C3">
                  <w:pPr>
                    <w:tabs>
                      <w:tab w:val="left" w:pos="7200"/>
                    </w:tabs>
                    <w:adjustRightInd w:val="0"/>
                    <w:snapToGrid w:val="0"/>
                    <w:ind w:firstLine="360" w:firstLineChars="200"/>
                    <w:rPr>
                      <w:rFonts w:hint="default" w:ascii="Times New Roman" w:hAnsi="Times New Roman" w:cs="Times New Roman"/>
                      <w:color w:val="auto"/>
                      <w:sz w:val="18"/>
                      <w:szCs w:val="18"/>
                      <w:highlight w:val="yellow"/>
                      <w:shd w:val="clear" w:color="auto" w:fill="FFFFFF"/>
                    </w:rPr>
                  </w:pPr>
                  <w:r>
                    <w:rPr>
                      <w:rFonts w:hint="default" w:ascii="Times New Roman" w:hAnsi="Times New Roman" w:cs="Times New Roman"/>
                      <w:color w:val="auto"/>
                      <w:sz w:val="18"/>
                      <w:szCs w:val="18"/>
                      <w:shd w:val="clear" w:color="auto" w:fill="FFFFFF"/>
                    </w:rPr>
                    <w:t>项目后续将按相关环保要求，实行减污降碳措施。</w:t>
                  </w:r>
                </w:p>
              </w:tc>
            </w:tr>
            <w:tr w14:paraId="7F0EEF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tcBorders>
                    <w:tl2br w:val="nil"/>
                    <w:tr2bl w:val="nil"/>
                  </w:tcBorders>
                  <w:vAlign w:val="center"/>
                </w:tcPr>
                <w:p w14:paraId="525AC39B">
                  <w:pPr>
                    <w:tabs>
                      <w:tab w:val="left" w:pos="7200"/>
                    </w:tabs>
                    <w:adjustRightInd w:val="0"/>
                    <w:snapToGrid w:val="0"/>
                    <w:rPr>
                      <w:rStyle w:val="38"/>
                      <w:rFonts w:hint="default" w:ascii="Times New Roman" w:hAnsi="Times New Roman" w:eastAsia="黑体" w:cs="Times New Roman"/>
                      <w:b w:val="0"/>
                      <w:color w:val="auto"/>
                      <w:sz w:val="18"/>
                      <w:szCs w:val="18"/>
                      <w:highlight w:val="yellow"/>
                    </w:rPr>
                  </w:pPr>
                  <w:r>
                    <w:rPr>
                      <w:rStyle w:val="38"/>
                      <w:rFonts w:hint="default" w:ascii="Times New Roman" w:hAnsi="Times New Roman" w:eastAsia="黑体" w:cs="Times New Roman"/>
                      <w:b w:val="0"/>
                      <w:color w:val="auto"/>
                      <w:sz w:val="18"/>
                      <w:szCs w:val="18"/>
                    </w:rPr>
                    <w:t>二、严格“两高”项目环评审批</w:t>
                  </w:r>
                </w:p>
              </w:tc>
            </w:tr>
            <w:tr w14:paraId="50C9AF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9" w:type="pct"/>
                  <w:tcBorders>
                    <w:tl2br w:val="nil"/>
                    <w:tr2bl w:val="nil"/>
                  </w:tcBorders>
                  <w:vAlign w:val="center"/>
                </w:tcPr>
                <w:p w14:paraId="7B069AF9">
                  <w:pPr>
                    <w:tabs>
                      <w:tab w:val="left" w:pos="7200"/>
                    </w:tabs>
                    <w:adjustRightInd w:val="0"/>
                    <w:snapToGrid w:val="0"/>
                    <w:rPr>
                      <w:rFonts w:hint="default" w:ascii="Times New Roman" w:hAnsi="Times New Roman" w:cs="Times New Roman"/>
                      <w:color w:val="auto"/>
                      <w:sz w:val="18"/>
                      <w:szCs w:val="18"/>
                      <w:shd w:val="clear" w:color="auto" w:fill="FFFFFF"/>
                    </w:rPr>
                  </w:pPr>
                  <w:r>
                    <w:rPr>
                      <w:rStyle w:val="38"/>
                      <w:rFonts w:hint="default" w:ascii="Times New Roman" w:hAnsi="Times New Roman" w:eastAsia="黑体" w:cs="Times New Roman"/>
                      <w:b w:val="0"/>
                      <w:color w:val="auto"/>
                      <w:sz w:val="18"/>
                      <w:szCs w:val="18"/>
                      <w:shd w:val="clear" w:color="auto" w:fill="FFFFFF"/>
                    </w:rPr>
                    <w:t>（三）严把建设项目环境准入关。</w:t>
                  </w:r>
                  <w:r>
                    <w:rPr>
                      <w:rFonts w:hint="default" w:ascii="Times New Roman" w:hAnsi="Times New Roman" w:cs="Times New Roman"/>
                      <w:color w:val="auto"/>
                      <w:sz w:val="18"/>
                      <w:szCs w:val="18"/>
                      <w:shd w:val="clear" w:color="auto" w:fill="FFFFFF"/>
                    </w:rPr>
                    <w:t>新建、改建、扩建“两高”项目须符合生态环境保护法律法规和相关法定规划，满足重点污染物排放总量控制、碳排放达峰目标、生态环境准入清单、相关规划环评和相应行业建设项目环境准入条件、环评文件审批原则要求。</w:t>
                  </w:r>
                  <w:r>
                    <w:rPr>
                      <w:rFonts w:hint="default" w:ascii="Times New Roman" w:hAnsi="Times New Roman" w:cs="Times New Roman"/>
                      <w:bCs/>
                      <w:color w:val="auto"/>
                      <w:sz w:val="18"/>
                      <w:szCs w:val="18"/>
                    </w:rPr>
                    <w:t>石化、现代煤化工项目应纳入国家产业规划</w:t>
                  </w:r>
                  <w:r>
                    <w:rPr>
                      <w:rFonts w:hint="default" w:ascii="Times New Roman" w:hAnsi="Times New Roman" w:cs="Times New Roman"/>
                      <w:color w:val="auto"/>
                      <w:sz w:val="18"/>
                      <w:szCs w:val="18"/>
                      <w:shd w:val="clear" w:color="auto" w:fill="FFFFFF"/>
                    </w:rPr>
                    <w:t>。新建、扩建石化、化工、焦化、有色金属冶炼、平板玻璃项目应布设在依法合规设立并经规划环评的产业园区。各级生态环境部门和行政审批部门要严格把关，对于不符合相关法律法规的，依法不予审批。</w:t>
                  </w:r>
                </w:p>
              </w:tc>
              <w:tc>
                <w:tcPr>
                  <w:tcW w:w="2190" w:type="pct"/>
                  <w:tcBorders>
                    <w:tl2br w:val="nil"/>
                    <w:tr2bl w:val="nil"/>
                  </w:tcBorders>
                  <w:vAlign w:val="center"/>
                </w:tcPr>
                <w:p w14:paraId="4774395E">
                  <w:pPr>
                    <w:tabs>
                      <w:tab w:val="left" w:pos="7200"/>
                    </w:tabs>
                    <w:adjustRightInd w:val="0"/>
                    <w:snapToGrid w:val="0"/>
                    <w:ind w:firstLine="360" w:firstLineChars="200"/>
                    <w:rPr>
                      <w:rFonts w:hint="default" w:ascii="Times New Roman" w:hAnsi="Times New Roman" w:cs="Times New Roman"/>
                      <w:color w:val="auto"/>
                      <w:sz w:val="18"/>
                      <w:szCs w:val="18"/>
                      <w:shd w:val="clear" w:color="auto" w:fill="FFFFFF"/>
                    </w:rPr>
                  </w:pPr>
                  <w:r>
                    <w:rPr>
                      <w:rFonts w:hint="default" w:ascii="Times New Roman" w:hAnsi="Times New Roman" w:cs="Times New Roman"/>
                      <w:color w:val="auto"/>
                      <w:sz w:val="18"/>
                      <w:szCs w:val="18"/>
                      <w:shd w:val="clear" w:color="auto" w:fill="FFFFFF"/>
                    </w:rPr>
                    <w:t>项目符合生态环境保护法律法规和相关法定规划要求，排放的污染物符合重点污染物排放总量的控制。目前地方审批部门在推进碳达峰行动方案和最新规划环评相关工作。</w:t>
                  </w:r>
                </w:p>
              </w:tc>
            </w:tr>
            <w:tr w14:paraId="0C14B8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9" w:type="pct"/>
                  <w:tcBorders>
                    <w:tl2br w:val="nil"/>
                    <w:tr2bl w:val="nil"/>
                  </w:tcBorders>
                  <w:vAlign w:val="center"/>
                </w:tcPr>
                <w:p w14:paraId="64523DFE">
                  <w:pPr>
                    <w:tabs>
                      <w:tab w:val="left" w:pos="7200"/>
                    </w:tabs>
                    <w:adjustRightInd w:val="0"/>
                    <w:snapToGrid w:val="0"/>
                    <w:rPr>
                      <w:rFonts w:hint="default" w:ascii="Times New Roman" w:hAnsi="Times New Roman" w:cs="Times New Roman"/>
                      <w:color w:val="auto"/>
                      <w:sz w:val="18"/>
                      <w:szCs w:val="18"/>
                      <w:shd w:val="clear" w:color="auto" w:fill="FFFFFF"/>
                    </w:rPr>
                  </w:pPr>
                  <w:r>
                    <w:rPr>
                      <w:rStyle w:val="38"/>
                      <w:rFonts w:hint="default" w:ascii="Times New Roman" w:hAnsi="Times New Roman" w:eastAsia="黑体" w:cs="Times New Roman"/>
                      <w:b w:val="0"/>
                      <w:color w:val="auto"/>
                      <w:sz w:val="18"/>
                      <w:szCs w:val="18"/>
                      <w:shd w:val="clear" w:color="auto" w:fill="FFFFFF"/>
                    </w:rPr>
                    <w:t>（四）落实区域削减要求。</w:t>
                  </w:r>
                  <w:r>
                    <w:rPr>
                      <w:rFonts w:hint="default" w:ascii="Times New Roman" w:hAnsi="Times New Roman" w:cs="Times New Roman"/>
                      <w:color w:val="auto"/>
                      <w:sz w:val="18"/>
                      <w:szCs w:val="18"/>
                      <w:shd w:val="clear" w:color="auto" w:fill="FFFFFF"/>
                    </w:rPr>
                    <w:t>新建“两高”项目应按照《关于加强重点行业建设项目区域削减措施监督管理的通知》要求，依据区域环境质量改善目标，制定配套区域污染物削减方案，采取有效的污染物区域削减措施，腾出足够的环境容量。国家大气污染防治重点区域（以下称重点区域）内新建耗煤项目还应严格按规定采取煤炭消费减量替代措施，不得使用高污染燃料作为煤炭减量替代措施。</w:t>
                  </w:r>
                </w:p>
              </w:tc>
              <w:tc>
                <w:tcPr>
                  <w:tcW w:w="2190" w:type="pct"/>
                  <w:tcBorders>
                    <w:tl2br w:val="nil"/>
                    <w:tr2bl w:val="nil"/>
                  </w:tcBorders>
                  <w:vAlign w:val="center"/>
                </w:tcPr>
                <w:p w14:paraId="422121A6">
                  <w:pPr>
                    <w:tabs>
                      <w:tab w:val="left" w:pos="7200"/>
                    </w:tabs>
                    <w:adjustRightInd w:val="0"/>
                    <w:snapToGrid w:val="0"/>
                    <w:ind w:firstLine="360" w:firstLineChars="200"/>
                    <w:rPr>
                      <w:rFonts w:hint="default" w:ascii="Times New Roman" w:hAnsi="Times New Roman" w:cs="Times New Roman"/>
                      <w:color w:val="auto"/>
                      <w:sz w:val="18"/>
                      <w:szCs w:val="18"/>
                      <w:shd w:val="clear" w:color="auto" w:fill="FFFFFF"/>
                    </w:rPr>
                  </w:pPr>
                  <w:r>
                    <w:rPr>
                      <w:rFonts w:hint="default" w:ascii="Times New Roman" w:hAnsi="Times New Roman" w:cs="Times New Roman"/>
                      <w:color w:val="auto"/>
                      <w:sz w:val="18"/>
                      <w:szCs w:val="18"/>
                      <w:shd w:val="clear" w:color="auto" w:fill="FFFFFF"/>
                    </w:rPr>
                    <w:t>本项目为无缝钢管生产项目，符合《关于加强重点行业建设项目区域削减措施监督管理的通知》（环办环评〔2020〕36号）的相关要求。项目所在区域不属于国家大气污染防治重点区域，且项目运行后不使用高污染燃料替代煤炭减量，主要采用电力作为燃料。</w:t>
                  </w:r>
                </w:p>
              </w:tc>
            </w:tr>
            <w:tr w14:paraId="1C08C9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9" w:type="pct"/>
                  <w:tcBorders>
                    <w:tl2br w:val="nil"/>
                    <w:tr2bl w:val="nil"/>
                  </w:tcBorders>
                  <w:vAlign w:val="center"/>
                </w:tcPr>
                <w:p w14:paraId="11E8366F">
                  <w:pPr>
                    <w:tabs>
                      <w:tab w:val="left" w:pos="7200"/>
                    </w:tabs>
                    <w:adjustRightInd w:val="0"/>
                    <w:snapToGrid w:val="0"/>
                    <w:rPr>
                      <w:rFonts w:hint="default" w:ascii="Times New Roman" w:hAnsi="Times New Roman" w:cs="Times New Roman"/>
                      <w:color w:val="auto"/>
                      <w:sz w:val="18"/>
                      <w:szCs w:val="18"/>
                      <w:shd w:val="clear" w:color="auto" w:fill="FFFFFF"/>
                    </w:rPr>
                  </w:pPr>
                  <w:r>
                    <w:rPr>
                      <w:rStyle w:val="38"/>
                      <w:rFonts w:hint="default" w:ascii="Times New Roman" w:hAnsi="Times New Roman" w:eastAsia="黑体" w:cs="Times New Roman"/>
                      <w:b w:val="0"/>
                      <w:color w:val="auto"/>
                      <w:sz w:val="18"/>
                      <w:szCs w:val="18"/>
                      <w:shd w:val="clear" w:color="auto" w:fill="FFFFFF"/>
                    </w:rPr>
                    <w:t>（五）合理划分事权。</w:t>
                  </w:r>
                  <w:r>
                    <w:rPr>
                      <w:rFonts w:hint="default" w:ascii="Times New Roman" w:hAnsi="Times New Roman" w:cs="Times New Roman"/>
                      <w:color w:val="auto"/>
                      <w:sz w:val="18"/>
                      <w:szCs w:val="18"/>
                      <w:shd w:val="clear" w:color="auto" w:fill="FFFFFF"/>
                    </w:rPr>
                    <w:t>省级生态环境部门应加强对基层“两高”项目环评审批程序、审批结果的监督与评估，对审批能力不适应的依法调整上收。</w:t>
                  </w:r>
                  <w:r>
                    <w:rPr>
                      <w:rStyle w:val="38"/>
                      <w:rFonts w:hint="default" w:ascii="Times New Roman" w:hAnsi="Times New Roman" w:cs="Times New Roman"/>
                      <w:b w:val="0"/>
                      <w:color w:val="auto"/>
                      <w:sz w:val="18"/>
                      <w:szCs w:val="18"/>
                      <w:shd w:val="clear" w:color="auto" w:fill="FFFFFF"/>
                    </w:rPr>
                    <w:t>对炼油、乙烯、钢铁、焦化、煤化工、燃煤发电、电解铝、水泥熟料、平板玻璃、铜铅锌硅冶炼等环境影响大或环境风险高的项目类别，不得以改革试点名义随意下放环评审批权限或降低审批要求</w:t>
                  </w:r>
                  <w:r>
                    <w:rPr>
                      <w:rFonts w:hint="default" w:ascii="Times New Roman" w:hAnsi="Times New Roman" w:cs="Times New Roman"/>
                      <w:color w:val="auto"/>
                      <w:sz w:val="18"/>
                      <w:szCs w:val="18"/>
                      <w:shd w:val="clear" w:color="auto" w:fill="FFFFFF"/>
                    </w:rPr>
                    <w:t>。</w:t>
                  </w:r>
                </w:p>
              </w:tc>
              <w:tc>
                <w:tcPr>
                  <w:tcW w:w="2190" w:type="pct"/>
                  <w:tcBorders>
                    <w:tl2br w:val="nil"/>
                    <w:tr2bl w:val="nil"/>
                  </w:tcBorders>
                  <w:vAlign w:val="center"/>
                </w:tcPr>
                <w:p w14:paraId="147D0A82">
                  <w:pPr>
                    <w:tabs>
                      <w:tab w:val="left" w:pos="7200"/>
                    </w:tabs>
                    <w:adjustRightInd w:val="0"/>
                    <w:snapToGrid w:val="0"/>
                    <w:ind w:firstLine="360" w:firstLineChars="200"/>
                    <w:rPr>
                      <w:rFonts w:hint="default" w:ascii="Times New Roman" w:hAnsi="Times New Roman" w:cs="Times New Roman"/>
                      <w:color w:val="auto"/>
                      <w:sz w:val="18"/>
                      <w:szCs w:val="18"/>
                      <w:shd w:val="clear" w:color="auto" w:fill="FFFFFF"/>
                    </w:rPr>
                  </w:pPr>
                  <w:r>
                    <w:rPr>
                      <w:rFonts w:hint="default" w:ascii="Times New Roman" w:hAnsi="Times New Roman" w:cs="Times New Roman"/>
                      <w:color w:val="auto"/>
                      <w:sz w:val="18"/>
                      <w:szCs w:val="18"/>
                      <w:shd w:val="clear" w:color="auto" w:fill="FFFFFF"/>
                    </w:rPr>
                    <w:t>本项目为无缝钢管生产项目，审批权限为玉溪市生态环境局。</w:t>
                  </w:r>
                </w:p>
              </w:tc>
            </w:tr>
            <w:tr w14:paraId="506014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tcBorders>
                    <w:tl2br w:val="nil"/>
                    <w:tr2bl w:val="nil"/>
                  </w:tcBorders>
                  <w:vAlign w:val="center"/>
                </w:tcPr>
                <w:p w14:paraId="1838A6B4">
                  <w:pPr>
                    <w:tabs>
                      <w:tab w:val="left" w:pos="7200"/>
                    </w:tabs>
                    <w:adjustRightInd w:val="0"/>
                    <w:snapToGrid w:val="0"/>
                    <w:rPr>
                      <w:rFonts w:hint="default" w:ascii="Times New Roman" w:hAnsi="Times New Roman" w:eastAsia="黑体" w:cs="Times New Roman"/>
                      <w:color w:val="auto"/>
                      <w:kern w:val="0"/>
                      <w:sz w:val="18"/>
                      <w:szCs w:val="18"/>
                      <w:highlight w:val="yellow"/>
                    </w:rPr>
                  </w:pPr>
                  <w:r>
                    <w:rPr>
                      <w:rFonts w:hint="default" w:ascii="Times New Roman" w:hAnsi="Times New Roman" w:eastAsia="黑体" w:cs="Times New Roman"/>
                      <w:color w:val="auto"/>
                      <w:sz w:val="18"/>
                      <w:szCs w:val="18"/>
                      <w:shd w:val="clear" w:color="auto" w:fill="FFFFFF"/>
                    </w:rPr>
                    <w:t>三、推进“两高”行业减污降碳协同控制</w:t>
                  </w:r>
                </w:p>
              </w:tc>
            </w:tr>
            <w:tr w14:paraId="652DD6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9" w:type="pct"/>
                  <w:tcBorders>
                    <w:tl2br w:val="nil"/>
                    <w:tr2bl w:val="nil"/>
                  </w:tcBorders>
                  <w:vAlign w:val="center"/>
                </w:tcPr>
                <w:p w14:paraId="10EDBCDF">
                  <w:pPr>
                    <w:tabs>
                      <w:tab w:val="left" w:pos="7200"/>
                    </w:tabs>
                    <w:adjustRightInd w:val="0"/>
                    <w:snapToGrid w:val="0"/>
                    <w:rPr>
                      <w:rStyle w:val="38"/>
                      <w:rFonts w:hint="default" w:ascii="Times New Roman" w:hAnsi="Times New Roman" w:eastAsia="黑体" w:cs="Times New Roman"/>
                      <w:b w:val="0"/>
                      <w:color w:val="auto"/>
                      <w:sz w:val="18"/>
                      <w:szCs w:val="18"/>
                      <w:shd w:val="clear" w:color="auto" w:fill="FFFFFF"/>
                    </w:rPr>
                  </w:pPr>
                  <w:r>
                    <w:rPr>
                      <w:rStyle w:val="38"/>
                      <w:rFonts w:hint="default" w:ascii="Times New Roman" w:hAnsi="Times New Roman" w:eastAsia="黑体" w:cs="Times New Roman"/>
                      <w:b w:val="0"/>
                      <w:color w:val="auto"/>
                      <w:sz w:val="18"/>
                      <w:szCs w:val="18"/>
                      <w:shd w:val="clear" w:color="auto" w:fill="FFFFFF"/>
                    </w:rPr>
                    <w:t>（六）提升清洁生产和污染防治水平。</w:t>
                  </w:r>
                  <w:r>
                    <w:rPr>
                      <w:rFonts w:hint="default" w:ascii="Times New Roman" w:hAnsi="Times New Roman" w:cs="Times New Roman"/>
                      <w:color w:val="auto"/>
                      <w:sz w:val="18"/>
                      <w:szCs w:val="18"/>
                      <w:shd w:val="clear" w:color="auto" w:fill="FFFFFF"/>
                    </w:rPr>
                    <w:t>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鼓励使用清洁燃料，重点区域建设项目原则上不新建燃煤自备锅炉。鼓励重点区域高炉-转炉长流程钢铁企业转型为电炉短流程企业。大宗物料优先采用铁路、管道或水路运输，短途接驳优先使用新能源车辆运输。</w:t>
                  </w:r>
                </w:p>
              </w:tc>
              <w:tc>
                <w:tcPr>
                  <w:tcW w:w="2190" w:type="pct"/>
                  <w:tcBorders>
                    <w:tl2br w:val="nil"/>
                    <w:tr2bl w:val="nil"/>
                  </w:tcBorders>
                  <w:vAlign w:val="center"/>
                </w:tcPr>
                <w:p w14:paraId="0B736672">
                  <w:pPr>
                    <w:tabs>
                      <w:tab w:val="left" w:pos="7200"/>
                    </w:tabs>
                    <w:adjustRightInd w:val="0"/>
                    <w:snapToGrid w:val="0"/>
                    <w:ind w:firstLine="360" w:firstLineChars="200"/>
                    <w:rPr>
                      <w:rFonts w:hint="default" w:ascii="Times New Roman" w:hAnsi="Times New Roman" w:cs="Times New Roman"/>
                      <w:color w:val="auto"/>
                      <w:sz w:val="18"/>
                      <w:szCs w:val="18"/>
                      <w:shd w:val="clear" w:color="auto" w:fill="FFFFFF"/>
                    </w:rPr>
                  </w:pPr>
                  <w:r>
                    <w:rPr>
                      <w:rFonts w:hint="default" w:ascii="Times New Roman" w:hAnsi="Times New Roman" w:cs="Times New Roman"/>
                      <w:color w:val="auto"/>
                      <w:sz w:val="18"/>
                      <w:szCs w:val="18"/>
                      <w:shd w:val="clear" w:color="auto" w:fill="FFFFFF"/>
                    </w:rPr>
                    <w:t>本项目为无缝钢管生产项目，本工程采用先进的生产工艺和设备，采用电为燃料，废气污染物较小；生产废水循环使用不外排，生活污水进入园区污水处理厂处理，同时环评提出了地下水和土壤的污染防治措施。项目使用电作为能源，所在区域不属于重点区域。项目物料主要采用新能源汽车或达到国六排放标准的汽车。</w:t>
                  </w:r>
                </w:p>
              </w:tc>
            </w:tr>
            <w:tr w14:paraId="11CD39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9" w:type="pct"/>
                  <w:tcBorders>
                    <w:tl2br w:val="nil"/>
                    <w:tr2bl w:val="nil"/>
                  </w:tcBorders>
                  <w:vAlign w:val="center"/>
                </w:tcPr>
                <w:p w14:paraId="2A7A1BED">
                  <w:pPr>
                    <w:tabs>
                      <w:tab w:val="left" w:pos="7200"/>
                    </w:tabs>
                    <w:adjustRightInd w:val="0"/>
                    <w:snapToGrid w:val="0"/>
                    <w:rPr>
                      <w:rStyle w:val="38"/>
                      <w:rFonts w:hint="default" w:ascii="Times New Roman" w:hAnsi="Times New Roman" w:eastAsia="黑体" w:cs="Times New Roman"/>
                      <w:b w:val="0"/>
                      <w:color w:val="auto"/>
                      <w:sz w:val="18"/>
                      <w:szCs w:val="18"/>
                      <w:shd w:val="clear" w:color="auto" w:fill="FFFFFF"/>
                    </w:rPr>
                  </w:pPr>
                  <w:r>
                    <w:rPr>
                      <w:rStyle w:val="38"/>
                      <w:rFonts w:hint="default" w:ascii="Times New Roman" w:hAnsi="Times New Roman" w:eastAsia="黑体" w:cs="Times New Roman"/>
                      <w:b w:val="0"/>
                      <w:color w:val="auto"/>
                      <w:sz w:val="18"/>
                      <w:szCs w:val="18"/>
                      <w:shd w:val="clear" w:color="auto" w:fill="FFFFFF"/>
                    </w:rPr>
                    <w:t>（七）将碳排放影响评价纳入环境影响评价体系。</w:t>
                  </w:r>
                  <w:r>
                    <w:rPr>
                      <w:rFonts w:hint="default" w:ascii="Times New Roman" w:hAnsi="Times New Roman" w:cs="Times New Roman"/>
                      <w:color w:val="auto"/>
                      <w:sz w:val="18"/>
                      <w:szCs w:val="18"/>
                      <w:shd w:val="clear" w:color="auto" w:fill="FFFFFF"/>
                    </w:rPr>
                    <w:t>各级生态环境部门和行政审批部门应积极推进“两高”项目环评开展试点工作，衔接落实有关区域和行业碳达峰行动方案、清洁能源替代、清洁运输、煤炭消费总量控制等政策要求。在环评工作中，统筹开展污染物和碳排放的源项识别、源强核算、减污降碳措施可行性论证及方案比选，提出协同控制最优方案。鼓励有条件的地区、企业探索实施减污降碳协同治理和碳捕集、封存、综合利用工程试点、示范。</w:t>
                  </w:r>
                </w:p>
              </w:tc>
              <w:tc>
                <w:tcPr>
                  <w:tcW w:w="2190" w:type="pct"/>
                  <w:tcBorders>
                    <w:tl2br w:val="nil"/>
                    <w:tr2bl w:val="nil"/>
                  </w:tcBorders>
                  <w:vAlign w:val="center"/>
                </w:tcPr>
                <w:p w14:paraId="298E0D18">
                  <w:pPr>
                    <w:tabs>
                      <w:tab w:val="left" w:pos="7200"/>
                    </w:tabs>
                    <w:adjustRightInd w:val="0"/>
                    <w:snapToGrid w:val="0"/>
                    <w:ind w:firstLine="360" w:firstLineChars="200"/>
                    <w:rPr>
                      <w:rFonts w:hint="default" w:ascii="Times New Roman" w:hAnsi="Times New Roman" w:cs="Times New Roman"/>
                      <w:color w:val="auto"/>
                      <w:sz w:val="18"/>
                      <w:szCs w:val="18"/>
                      <w:shd w:val="clear" w:color="auto" w:fill="FFFFFF"/>
                    </w:rPr>
                  </w:pPr>
                  <w:r>
                    <w:rPr>
                      <w:rFonts w:hint="default" w:ascii="Times New Roman" w:hAnsi="Times New Roman" w:cs="Times New Roman"/>
                      <w:color w:val="auto"/>
                      <w:sz w:val="18"/>
                      <w:szCs w:val="18"/>
                      <w:shd w:val="clear" w:color="auto" w:fill="FFFFFF"/>
                    </w:rPr>
                    <w:t>建设单位委托玉溪博识企业管理有限公司于2022年6月24日编制完成了节能报告，并于2022年8月15日取得了通海县发展和改革局《关于通海南方钢铁有限公司新建年产3万吨无缝钢管生产线项目节能评审意见》（通发改〔2022〕61号）。</w:t>
                  </w:r>
                </w:p>
                <w:p w14:paraId="49991BD3">
                  <w:pPr>
                    <w:tabs>
                      <w:tab w:val="left" w:pos="7200"/>
                    </w:tabs>
                    <w:adjustRightInd w:val="0"/>
                    <w:snapToGrid w:val="0"/>
                    <w:ind w:firstLine="360" w:firstLineChars="200"/>
                    <w:rPr>
                      <w:rFonts w:hint="default" w:ascii="Times New Roman" w:hAnsi="Times New Roman" w:cs="Times New Roman"/>
                      <w:color w:val="auto"/>
                      <w:sz w:val="18"/>
                      <w:szCs w:val="18"/>
                      <w:shd w:val="clear" w:color="auto" w:fill="FFFFFF"/>
                    </w:rPr>
                  </w:pPr>
                  <w:r>
                    <w:rPr>
                      <w:rFonts w:hint="default" w:ascii="Times New Roman" w:hAnsi="Times New Roman" w:cs="Times New Roman"/>
                      <w:color w:val="auto"/>
                      <w:sz w:val="18"/>
                      <w:szCs w:val="18"/>
                      <w:shd w:val="clear" w:color="auto" w:fill="FFFFFF"/>
                    </w:rPr>
                    <w:t>后续建设单位将按照节能报告提出的设施和措施，严格控制碳排放。本项目为无缝钢管生产项目，主要用电作为能源，项目采用先进的生产设备和工艺，废气达标排放。</w:t>
                  </w:r>
                </w:p>
              </w:tc>
            </w:tr>
            <w:tr w14:paraId="567602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tcBorders>
                    <w:tl2br w:val="nil"/>
                    <w:tr2bl w:val="nil"/>
                  </w:tcBorders>
                  <w:vAlign w:val="center"/>
                </w:tcPr>
                <w:p w14:paraId="092E761E">
                  <w:pPr>
                    <w:tabs>
                      <w:tab w:val="left" w:pos="7200"/>
                    </w:tabs>
                    <w:adjustRightInd w:val="0"/>
                    <w:snapToGrid w:val="0"/>
                    <w:rPr>
                      <w:rFonts w:hint="default" w:ascii="Times New Roman" w:hAnsi="Times New Roman" w:eastAsia="黑体" w:cs="Times New Roman"/>
                      <w:color w:val="auto"/>
                      <w:kern w:val="0"/>
                      <w:sz w:val="18"/>
                      <w:szCs w:val="18"/>
                      <w:highlight w:val="yellow"/>
                    </w:rPr>
                  </w:pPr>
                  <w:r>
                    <w:rPr>
                      <w:rFonts w:hint="default" w:ascii="Times New Roman" w:hAnsi="Times New Roman" w:eastAsia="黑体" w:cs="Times New Roman"/>
                      <w:color w:val="auto"/>
                      <w:sz w:val="18"/>
                      <w:szCs w:val="18"/>
                      <w:shd w:val="clear" w:color="auto" w:fill="FFFFFF"/>
                    </w:rPr>
                    <w:t>四、依排污许可证强化监管执法</w:t>
                  </w:r>
                </w:p>
              </w:tc>
            </w:tr>
            <w:tr w14:paraId="6D71D8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9" w:type="pct"/>
                  <w:tcBorders>
                    <w:tl2br w:val="nil"/>
                    <w:tr2bl w:val="nil"/>
                  </w:tcBorders>
                  <w:vAlign w:val="center"/>
                </w:tcPr>
                <w:p w14:paraId="0856BBF5">
                  <w:pPr>
                    <w:tabs>
                      <w:tab w:val="left" w:pos="7200"/>
                    </w:tabs>
                    <w:adjustRightInd w:val="0"/>
                    <w:snapToGrid w:val="0"/>
                    <w:rPr>
                      <w:rStyle w:val="38"/>
                      <w:rFonts w:hint="default" w:ascii="Times New Roman" w:hAnsi="Times New Roman" w:eastAsia="黑体" w:cs="Times New Roman"/>
                      <w:b w:val="0"/>
                      <w:color w:val="auto"/>
                      <w:sz w:val="18"/>
                      <w:szCs w:val="18"/>
                      <w:shd w:val="clear" w:color="auto" w:fill="FFFFFF"/>
                    </w:rPr>
                  </w:pPr>
                  <w:r>
                    <w:rPr>
                      <w:rFonts w:hint="default" w:ascii="Times New Roman" w:hAnsi="Times New Roman" w:eastAsia="黑体" w:cs="Times New Roman"/>
                      <w:bCs/>
                      <w:color w:val="auto"/>
                      <w:sz w:val="18"/>
                      <w:szCs w:val="18"/>
                    </w:rPr>
                    <w:t>（八）加强排污许可证管理。</w:t>
                  </w:r>
                  <w:r>
                    <w:rPr>
                      <w:rFonts w:hint="default" w:ascii="Times New Roman" w:hAnsi="Times New Roman" w:cs="Times New Roman"/>
                      <w:color w:val="auto"/>
                      <w:sz w:val="18"/>
                      <w:szCs w:val="18"/>
                      <w:shd w:val="clear" w:color="auto" w:fill="FFFFFF"/>
                    </w:rPr>
                    <w:t>地方生态环境部门和行政审批部门在“两高”企业排污许可证核发审查过程中，应全面核实环评及批复文件中各项生态环境保护措施及区域削减措施落实情况，对实行排污许可重点管理的“两高”企业加强现场核查，对不符合条件的依法不予许可。加强“两高”企业排污许可证质量和执行报告提交情况检查，督促企业做好台账记录、执行报告、自行监测、环境信息公开等工作。对于持有排污限期整改通知书或排污许可证中存在整改事项的“两高”企业，密切跟踪整改落实情况，发现未按期完成整改、存在无证排污行为的，依法从严查处。</w:t>
                  </w:r>
                </w:p>
              </w:tc>
              <w:tc>
                <w:tcPr>
                  <w:tcW w:w="2190" w:type="pct"/>
                  <w:tcBorders>
                    <w:tl2br w:val="nil"/>
                    <w:tr2bl w:val="nil"/>
                  </w:tcBorders>
                  <w:vAlign w:val="center"/>
                </w:tcPr>
                <w:p w14:paraId="02756A0B">
                  <w:pPr>
                    <w:tabs>
                      <w:tab w:val="left" w:pos="7200"/>
                    </w:tabs>
                    <w:adjustRightInd w:val="0"/>
                    <w:snapToGrid w:val="0"/>
                    <w:ind w:firstLine="360" w:firstLineChars="200"/>
                    <w:jc w:val="left"/>
                    <w:rPr>
                      <w:rFonts w:hint="default" w:ascii="Times New Roman" w:hAnsi="Times New Roman" w:cs="Times New Roman"/>
                      <w:color w:val="auto"/>
                      <w:sz w:val="18"/>
                      <w:szCs w:val="18"/>
                      <w:shd w:val="clear" w:color="auto" w:fill="FFFFFF"/>
                    </w:rPr>
                  </w:pPr>
                  <w:r>
                    <w:rPr>
                      <w:rFonts w:hint="default" w:ascii="Times New Roman" w:hAnsi="Times New Roman" w:cs="Times New Roman"/>
                      <w:color w:val="auto"/>
                      <w:sz w:val="18"/>
                      <w:szCs w:val="18"/>
                      <w:shd w:val="clear" w:color="auto" w:fill="FFFFFF"/>
                    </w:rPr>
                    <w:t>建设单位按环保要求执行，积极配合地方生态环境部门和行业审批部门的监督管理。</w:t>
                  </w:r>
                </w:p>
              </w:tc>
            </w:tr>
            <w:tr w14:paraId="0A521D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9" w:type="pct"/>
                  <w:tcBorders>
                    <w:tl2br w:val="nil"/>
                    <w:tr2bl w:val="nil"/>
                  </w:tcBorders>
                  <w:vAlign w:val="center"/>
                </w:tcPr>
                <w:p w14:paraId="43960749">
                  <w:pPr>
                    <w:tabs>
                      <w:tab w:val="left" w:pos="7200"/>
                    </w:tabs>
                    <w:adjustRightInd w:val="0"/>
                    <w:snapToGrid w:val="0"/>
                    <w:rPr>
                      <w:rStyle w:val="38"/>
                      <w:rFonts w:hint="default" w:ascii="Times New Roman" w:hAnsi="Times New Roman" w:eastAsia="黑体" w:cs="Times New Roman"/>
                      <w:b w:val="0"/>
                      <w:color w:val="auto"/>
                      <w:sz w:val="18"/>
                      <w:szCs w:val="18"/>
                      <w:shd w:val="clear" w:color="auto" w:fill="FFFFFF"/>
                    </w:rPr>
                  </w:pPr>
                  <w:r>
                    <w:rPr>
                      <w:rStyle w:val="38"/>
                      <w:rFonts w:hint="default" w:ascii="Times New Roman" w:hAnsi="Times New Roman" w:eastAsia="黑体" w:cs="Times New Roman"/>
                      <w:b w:val="0"/>
                      <w:color w:val="auto"/>
                      <w:sz w:val="18"/>
                      <w:szCs w:val="18"/>
                      <w:shd w:val="clear" w:color="auto" w:fill="FFFFFF"/>
                    </w:rPr>
                    <w:t>（九）强化以排污许可证为主要依据的执法监管。</w:t>
                  </w:r>
                  <w:r>
                    <w:rPr>
                      <w:rFonts w:hint="default" w:ascii="Times New Roman" w:hAnsi="Times New Roman" w:cs="Times New Roman"/>
                      <w:color w:val="auto"/>
                      <w:sz w:val="18"/>
                      <w:szCs w:val="18"/>
                      <w:shd w:val="clear" w:color="auto" w:fill="FFFFFF"/>
                    </w:rPr>
                    <w:t>各地生态环境部门应将“两高”企业纳入“双随机、一公开”监管。加大“两高”企业依证排污以及环境信息依法公开情况检查力度，特别对实行排污许可重点管理的“两高”企业，应及时核查排污许可证许可事项落实情况，重点核查污染物排放浓度及排放量、无组织排放控制、特殊时段排放控制等要求的落实情况。严厉打击“两高”企业无证排污、不按证排污等各类违法行为，及时曝光违反排污许可制度的典型案例。</w:t>
                  </w:r>
                </w:p>
              </w:tc>
              <w:tc>
                <w:tcPr>
                  <w:tcW w:w="2190" w:type="pct"/>
                  <w:tcBorders>
                    <w:tl2br w:val="nil"/>
                    <w:tr2bl w:val="nil"/>
                  </w:tcBorders>
                  <w:vAlign w:val="center"/>
                </w:tcPr>
                <w:p w14:paraId="6DA266E4">
                  <w:pPr>
                    <w:tabs>
                      <w:tab w:val="left" w:pos="7200"/>
                    </w:tabs>
                    <w:adjustRightInd w:val="0"/>
                    <w:snapToGrid w:val="0"/>
                    <w:ind w:firstLine="360" w:firstLineChars="200"/>
                    <w:jc w:val="left"/>
                    <w:rPr>
                      <w:rFonts w:hint="default" w:ascii="Times New Roman" w:hAnsi="Times New Roman" w:cs="Times New Roman"/>
                      <w:color w:val="auto"/>
                      <w:sz w:val="18"/>
                      <w:szCs w:val="18"/>
                      <w:shd w:val="clear" w:color="auto" w:fill="FFFFFF"/>
                    </w:rPr>
                  </w:pPr>
                  <w:r>
                    <w:rPr>
                      <w:rFonts w:hint="default" w:ascii="Times New Roman" w:hAnsi="Times New Roman" w:cs="Times New Roman"/>
                      <w:color w:val="auto"/>
                      <w:sz w:val="18"/>
                      <w:szCs w:val="18"/>
                      <w:shd w:val="clear" w:color="auto" w:fill="FFFFFF"/>
                    </w:rPr>
                    <w:t>建设单位按环保要求执行，积极配合地方生态环境部门和行业审批部门的监督管理。</w:t>
                  </w:r>
                </w:p>
              </w:tc>
            </w:tr>
          </w:tbl>
          <w:p w14:paraId="0B4F4887">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经上分析，项目与《关于加强高耗能、高排放建设项目生态环境源头防控的指导意见》（环环评〔2021〕45号）不冲突。</w:t>
            </w:r>
          </w:p>
          <w:p w14:paraId="7B9E15D7">
            <w:pPr>
              <w:pStyle w:val="5"/>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10、与《环境影响评价与排污许可领域协同推进碳减排工作方案》符合性</w:t>
            </w:r>
          </w:p>
          <w:p w14:paraId="7AB8DF26">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2021年6月7日生态环境部办公厅发布了《环境影响评价与排污许可领域协同推进碳减排工作方案》的通知（环办环评函〔2021〕277号），主要为了充分发挥环境影响评价和排污许可制度在源头控制、过程管理中的基础性作用，积极落实碳排放达峰目标与要求。</w:t>
            </w:r>
          </w:p>
          <w:p w14:paraId="2155B35C">
            <w:pPr>
              <w:adjustRightInd w:val="0"/>
              <w:snapToGrid w:val="0"/>
              <w:spacing w:line="360" w:lineRule="auto"/>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表1-10  与《环境影响评价与排污许可领域协同推进碳减排工作方案》符合性分析</w:t>
            </w:r>
          </w:p>
          <w:tbl>
            <w:tblPr>
              <w:tblStyle w:val="35"/>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87"/>
              <w:gridCol w:w="1840"/>
            </w:tblGrid>
            <w:tr w14:paraId="60A0DA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1" w:type="pct"/>
                  <w:tcBorders>
                    <w:tl2br w:val="nil"/>
                    <w:tr2bl w:val="nil"/>
                  </w:tcBorders>
                  <w:vAlign w:val="center"/>
                </w:tcPr>
                <w:p w14:paraId="6FCEA251">
                  <w:pPr>
                    <w:tabs>
                      <w:tab w:val="left" w:pos="7200"/>
                    </w:tabs>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shd w:val="clear" w:color="auto" w:fill="FFFFFF"/>
                    </w:rPr>
                    <w:t>“环办环评函〔2021〕277号”总体要求</w:t>
                  </w:r>
                </w:p>
              </w:tc>
              <w:tc>
                <w:tcPr>
                  <w:tcW w:w="1238" w:type="pct"/>
                  <w:tcBorders>
                    <w:tl2br w:val="nil"/>
                    <w:tr2bl w:val="nil"/>
                  </w:tcBorders>
                  <w:vAlign w:val="center"/>
                </w:tcPr>
                <w:p w14:paraId="6535EBB8">
                  <w:pPr>
                    <w:tabs>
                      <w:tab w:val="left" w:pos="7200"/>
                    </w:tabs>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本项目执行情况</w:t>
                  </w:r>
                </w:p>
              </w:tc>
            </w:tr>
            <w:tr w14:paraId="01D517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tcBorders>
                    <w:tl2br w:val="nil"/>
                    <w:tr2bl w:val="nil"/>
                  </w:tcBorders>
                  <w:vAlign w:val="center"/>
                </w:tcPr>
                <w:p w14:paraId="15DAB16B">
                  <w:pPr>
                    <w:widowControl/>
                    <w:jc w:val="left"/>
                    <w:rPr>
                      <w:rFonts w:hint="default" w:ascii="Times New Roman" w:hAnsi="Times New Roman" w:cs="Times New Roman"/>
                      <w:color w:val="auto"/>
                      <w:sz w:val="18"/>
                      <w:szCs w:val="18"/>
                    </w:rPr>
                  </w:pPr>
                  <w:r>
                    <w:rPr>
                      <w:rStyle w:val="38"/>
                      <w:rFonts w:hint="default" w:ascii="Times New Roman" w:hAnsi="Times New Roman" w:eastAsia="黑体" w:cs="Times New Roman"/>
                      <w:b w:val="0"/>
                      <w:color w:val="auto"/>
                      <w:sz w:val="18"/>
                      <w:szCs w:val="18"/>
                      <w:shd w:val="clear" w:color="auto" w:fill="FFFFFF"/>
                    </w:rPr>
                    <w:t>四、完善建设项目环境影响评价制度</w:t>
                  </w:r>
                </w:p>
              </w:tc>
            </w:tr>
            <w:tr w14:paraId="14714F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1" w:type="pct"/>
                  <w:tcBorders>
                    <w:tl2br w:val="nil"/>
                    <w:tr2bl w:val="nil"/>
                  </w:tcBorders>
                  <w:vAlign w:val="center"/>
                </w:tcPr>
                <w:p w14:paraId="66EB14F2">
                  <w:pPr>
                    <w:tabs>
                      <w:tab w:val="left" w:pos="7200"/>
                    </w:tabs>
                    <w:adjustRightInd w:val="0"/>
                    <w:snapToGrid w:val="0"/>
                    <w:rPr>
                      <w:rFonts w:hint="default" w:ascii="Times New Roman" w:hAnsi="Times New Roman" w:cs="Times New Roman"/>
                      <w:color w:val="auto"/>
                      <w:sz w:val="18"/>
                      <w:szCs w:val="18"/>
                      <w:shd w:val="clear" w:color="auto" w:fill="FFFFFF"/>
                    </w:rPr>
                  </w:pPr>
                  <w:r>
                    <w:rPr>
                      <w:rFonts w:hint="default" w:ascii="Times New Roman" w:hAnsi="Times New Roman" w:cs="Times New Roman"/>
                      <w:color w:val="auto"/>
                      <w:sz w:val="18"/>
                      <w:szCs w:val="18"/>
                      <w:shd w:val="clear" w:color="auto" w:fill="FFFFFF"/>
                    </w:rPr>
                    <w:t>（一）组织开展试点，探索将碳排放纳入建设项目环境影响评价。印发《关于开展重点行业建设项目碳排放环境影响评价试点的通知》，2021-2022年，率先针对电力、石化、化工、钢铁、建材、有色等行业建设项目开展碳排放量核算和控制试点。分析确定建设项目二氧化碳产生的关键环节和主要类别，测算评估排放水平，结合能耗、工艺技术分析减排潜力，在环评文件中提出单位原料、产品或燃料碳排放强度或排放总量控制要求；根据国家制定的行业碳达峰方案，分别从原燃料清洁替代、节能降耗技术、余热余能利用、清洁运输方式等方面提出针对性的降碳措施与控制要求。</w:t>
                  </w:r>
                </w:p>
              </w:tc>
              <w:tc>
                <w:tcPr>
                  <w:tcW w:w="1238" w:type="pct"/>
                  <w:vMerge w:val="restart"/>
                  <w:tcBorders>
                    <w:tl2br w:val="nil"/>
                    <w:tr2bl w:val="nil"/>
                  </w:tcBorders>
                  <w:vAlign w:val="center"/>
                </w:tcPr>
                <w:p w14:paraId="638F886B">
                  <w:pPr>
                    <w:tabs>
                      <w:tab w:val="left" w:pos="7200"/>
                    </w:tabs>
                    <w:adjustRightInd w:val="0"/>
                    <w:snapToGrid w:val="0"/>
                    <w:rPr>
                      <w:rFonts w:hint="default" w:ascii="Times New Roman" w:hAnsi="Times New Roman" w:cs="Times New Roman"/>
                      <w:color w:val="auto"/>
                      <w:sz w:val="18"/>
                      <w:szCs w:val="18"/>
                      <w:shd w:val="clear" w:color="auto" w:fill="FFFFFF"/>
                    </w:rPr>
                  </w:pPr>
                  <w:r>
                    <w:rPr>
                      <w:rFonts w:hint="default" w:ascii="Times New Roman" w:hAnsi="Times New Roman" w:cs="Times New Roman"/>
                      <w:color w:val="auto"/>
                      <w:sz w:val="18"/>
                      <w:szCs w:val="18"/>
                      <w:shd w:val="clear" w:color="auto" w:fill="FFFFFF"/>
                    </w:rPr>
                    <w:t>本项目为无缝钢管生产项目，本次环评根据节能报告中的相关能源消耗，经核实，项目采用的能源为电能。</w:t>
                  </w:r>
                </w:p>
              </w:tc>
            </w:tr>
            <w:tr w14:paraId="1A0E0C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1" w:type="pct"/>
                  <w:tcBorders>
                    <w:tl2br w:val="nil"/>
                    <w:tr2bl w:val="nil"/>
                  </w:tcBorders>
                  <w:vAlign w:val="center"/>
                </w:tcPr>
                <w:p w14:paraId="59F2B249">
                  <w:pPr>
                    <w:tabs>
                      <w:tab w:val="left" w:pos="7200"/>
                    </w:tabs>
                    <w:adjustRightInd w:val="0"/>
                    <w:snapToGrid w:val="0"/>
                    <w:rPr>
                      <w:rFonts w:hint="default" w:ascii="Times New Roman" w:hAnsi="Times New Roman" w:cs="Times New Roman"/>
                      <w:color w:val="auto"/>
                      <w:sz w:val="18"/>
                      <w:szCs w:val="18"/>
                      <w:shd w:val="clear" w:color="auto" w:fill="FFFFFF"/>
                    </w:rPr>
                  </w:pPr>
                  <w:r>
                    <w:rPr>
                      <w:rFonts w:hint="default" w:ascii="Times New Roman" w:hAnsi="Times New Roman" w:cs="Times New Roman"/>
                      <w:color w:val="auto"/>
                      <w:sz w:val="18"/>
                      <w:szCs w:val="18"/>
                      <w:shd w:val="clear" w:color="auto" w:fill="FFFFFF"/>
                    </w:rPr>
                    <w:t>（二）推动实现碳排放作为建设项目环评管理的约束指标。协同考虑建设项目环境影响、碳排放量、碳排放强度，完善建设项目环评分类管理体系，推进《建设项目环境影响评价分类管理名录》修订，探索根据环境影响和温室气体排放确定管理类别。研究制定重点行业建设项目碳排放量核算与管理等相关技术文件，完善重点行业建设项目环评管理规定，修订《大气环境影响评价技术导则》，严格相关行业建设项目环评审批，落实清洁能源替代、煤炭等量或减量替代等要求，完善有关行业环评审批规定，明确碳排放要求。</w:t>
                  </w:r>
                </w:p>
              </w:tc>
              <w:tc>
                <w:tcPr>
                  <w:tcW w:w="1238" w:type="pct"/>
                  <w:vMerge w:val="continue"/>
                  <w:tcBorders>
                    <w:tl2br w:val="nil"/>
                    <w:tr2bl w:val="nil"/>
                  </w:tcBorders>
                  <w:vAlign w:val="center"/>
                </w:tcPr>
                <w:p w14:paraId="4EAE916E">
                  <w:pPr>
                    <w:tabs>
                      <w:tab w:val="left" w:pos="7200"/>
                    </w:tabs>
                    <w:adjustRightInd w:val="0"/>
                    <w:snapToGrid w:val="0"/>
                    <w:ind w:firstLine="360" w:firstLineChars="200"/>
                    <w:rPr>
                      <w:rFonts w:hint="default" w:ascii="Times New Roman" w:hAnsi="Times New Roman" w:cs="Times New Roman"/>
                      <w:color w:val="auto"/>
                      <w:sz w:val="18"/>
                      <w:szCs w:val="18"/>
                      <w:shd w:val="clear" w:color="auto" w:fill="FFFFFF"/>
                    </w:rPr>
                  </w:pPr>
                </w:p>
              </w:tc>
            </w:tr>
          </w:tbl>
          <w:p w14:paraId="281252B0">
            <w:pPr>
              <w:pStyle w:val="5"/>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11、与《玉溪市“十四五”生态建设和环境保护规划（2021-2025年）》的符合性分析</w:t>
            </w:r>
          </w:p>
          <w:p w14:paraId="61FAF012">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2022年5月10日玉溪市生态环境局印发《玉溪市“十四五”生态建设和环境保护规划（2021-2025年）》，项目与其符合性分析见下表。</w:t>
            </w:r>
          </w:p>
          <w:p w14:paraId="72D8BCFA">
            <w:pPr>
              <w:adjustRightInd w:val="0"/>
              <w:snapToGrid w:val="0"/>
              <w:spacing w:line="360" w:lineRule="auto"/>
              <w:jc w:val="center"/>
              <w:rPr>
                <w:rFonts w:hint="default" w:ascii="Times New Roman" w:hAnsi="Times New Roman" w:eastAsia="黑体" w:cs="Times New Roman"/>
                <w:bCs/>
                <w:color w:val="auto"/>
                <w:szCs w:val="21"/>
              </w:rPr>
            </w:pPr>
            <w:r>
              <w:rPr>
                <w:rFonts w:hint="default" w:ascii="Times New Roman" w:hAnsi="Times New Roman" w:eastAsia="黑体" w:cs="Times New Roman"/>
                <w:bCs/>
                <w:color w:val="auto"/>
                <w:szCs w:val="21"/>
              </w:rPr>
              <w:t>表1-11  与《玉溪市“十四五”生态建设和环境保护规划（2021-2025年）》符合性分析一览表</w:t>
            </w:r>
          </w:p>
          <w:tbl>
            <w:tblPr>
              <w:tblStyle w:val="36"/>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5"/>
              <w:gridCol w:w="4542"/>
              <w:gridCol w:w="1507"/>
              <w:gridCol w:w="624"/>
            </w:tblGrid>
            <w:tr w14:paraId="3D58B8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508" w:type="pct"/>
                  <w:tcBorders>
                    <w:tl2br w:val="nil"/>
                    <w:tr2bl w:val="nil"/>
                  </w:tcBorders>
                  <w:vAlign w:val="center"/>
                </w:tcPr>
                <w:p w14:paraId="7FD6A5DF">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序号</w:t>
                  </w:r>
                </w:p>
              </w:tc>
              <w:tc>
                <w:tcPr>
                  <w:tcW w:w="3056" w:type="pct"/>
                  <w:tcBorders>
                    <w:tl2br w:val="nil"/>
                    <w:tr2bl w:val="nil"/>
                  </w:tcBorders>
                  <w:vAlign w:val="center"/>
                </w:tcPr>
                <w:p w14:paraId="68A6614F">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相关内容</w:t>
                  </w:r>
                </w:p>
              </w:tc>
              <w:tc>
                <w:tcPr>
                  <w:tcW w:w="1014" w:type="pct"/>
                  <w:tcBorders>
                    <w:tl2br w:val="nil"/>
                    <w:tr2bl w:val="nil"/>
                  </w:tcBorders>
                  <w:vAlign w:val="center"/>
                </w:tcPr>
                <w:p w14:paraId="51EFF2EF">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建设情况</w:t>
                  </w:r>
                </w:p>
              </w:tc>
              <w:tc>
                <w:tcPr>
                  <w:tcW w:w="419" w:type="pct"/>
                  <w:tcBorders>
                    <w:tl2br w:val="nil"/>
                    <w:tr2bl w:val="nil"/>
                  </w:tcBorders>
                  <w:vAlign w:val="center"/>
                </w:tcPr>
                <w:p w14:paraId="7D478F7D">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符合性</w:t>
                  </w:r>
                </w:p>
              </w:tc>
            </w:tr>
            <w:tr w14:paraId="1EF5B9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508" w:type="pct"/>
                  <w:tcBorders>
                    <w:tl2br w:val="nil"/>
                    <w:tr2bl w:val="nil"/>
                  </w:tcBorders>
                  <w:vAlign w:val="center"/>
                </w:tcPr>
                <w:p w14:paraId="0FA53DF9">
                  <w:pPr>
                    <w:adjustRightInd w:val="0"/>
                    <w:snapToGrid w:val="0"/>
                    <w:jc w:val="lef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第五章</w:t>
                  </w:r>
                </w:p>
              </w:tc>
              <w:tc>
                <w:tcPr>
                  <w:tcW w:w="3056" w:type="pct"/>
                  <w:tcBorders>
                    <w:tl2br w:val="nil"/>
                    <w:tr2bl w:val="nil"/>
                  </w:tcBorders>
                  <w:vAlign w:val="center"/>
                </w:tcPr>
                <w:p w14:paraId="514734CD">
                  <w:pPr>
                    <w:adjustRightInd w:val="0"/>
                    <w:snapToGrid w:val="0"/>
                    <w:jc w:val="lef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坚持创新引领，推动绿色低碳发展</w:t>
                  </w:r>
                </w:p>
              </w:tc>
              <w:tc>
                <w:tcPr>
                  <w:tcW w:w="1014" w:type="pct"/>
                  <w:tcBorders>
                    <w:tl2br w:val="nil"/>
                    <w:tr2bl w:val="nil"/>
                  </w:tcBorders>
                  <w:vAlign w:val="center"/>
                </w:tcPr>
                <w:p w14:paraId="33C170EB">
                  <w:pPr>
                    <w:adjustRightInd w:val="0"/>
                    <w:snapToGrid w:val="0"/>
                    <w:jc w:val="left"/>
                    <w:rPr>
                      <w:rFonts w:hint="default" w:ascii="Times New Roman" w:hAnsi="Times New Roman" w:cs="Times New Roman"/>
                      <w:bCs/>
                      <w:color w:val="auto"/>
                      <w:sz w:val="18"/>
                      <w:szCs w:val="18"/>
                    </w:rPr>
                  </w:pPr>
                </w:p>
              </w:tc>
              <w:tc>
                <w:tcPr>
                  <w:tcW w:w="419" w:type="pct"/>
                  <w:tcBorders>
                    <w:tl2br w:val="nil"/>
                    <w:tr2bl w:val="nil"/>
                  </w:tcBorders>
                  <w:vAlign w:val="center"/>
                </w:tcPr>
                <w:p w14:paraId="1F15B60C">
                  <w:pPr>
                    <w:adjustRightInd w:val="0"/>
                    <w:snapToGrid w:val="0"/>
                    <w:jc w:val="left"/>
                    <w:rPr>
                      <w:rFonts w:hint="default" w:ascii="Times New Roman" w:hAnsi="Times New Roman" w:cs="Times New Roman"/>
                      <w:bCs/>
                      <w:color w:val="auto"/>
                      <w:sz w:val="18"/>
                      <w:szCs w:val="18"/>
                    </w:rPr>
                  </w:pPr>
                </w:p>
              </w:tc>
            </w:tr>
            <w:tr w14:paraId="14DC2C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508" w:type="pct"/>
                  <w:tcBorders>
                    <w:tl2br w:val="nil"/>
                    <w:tr2bl w:val="nil"/>
                  </w:tcBorders>
                  <w:vAlign w:val="center"/>
                </w:tcPr>
                <w:p w14:paraId="53DC7C90">
                  <w:pPr>
                    <w:adjustRightInd w:val="0"/>
                    <w:snapToGrid w:val="0"/>
                    <w:jc w:val="center"/>
                    <w:rPr>
                      <w:rFonts w:hint="default" w:ascii="Times New Roman" w:hAnsi="Times New Roman" w:cs="Times New Roman"/>
                      <w:bCs/>
                      <w:color w:val="auto"/>
                      <w:sz w:val="18"/>
                      <w:szCs w:val="18"/>
                    </w:rPr>
                  </w:pPr>
                </w:p>
              </w:tc>
              <w:tc>
                <w:tcPr>
                  <w:tcW w:w="3056" w:type="pct"/>
                  <w:tcBorders>
                    <w:tl2br w:val="nil"/>
                    <w:tr2bl w:val="nil"/>
                  </w:tcBorders>
                </w:tcPr>
                <w:p w14:paraId="4CA38371">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第一节 调整产业结构</w:t>
                  </w:r>
                </w:p>
                <w:p w14:paraId="37F66BCE">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一、加快构建现代化产业体系</w:t>
                  </w:r>
                </w:p>
                <w:p w14:paraId="03928AF1">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落实碳达峰、碳中和决策部署，严格实行能源消费强度和总量双控，加快节能降碳工艺革新，推进矿冶产业向开放型、创新型和绿色化、信息化、高端化发展。以产业兼并重组、淘汰落后产能和技术升级改造为抓手，推动矿山、冶炼、加工全链条发展，加快钢铁行业转型升级，建成现代化“绿色钢城”。优化发展化工产业，严格控制黄磷产能规模，鼓励发展黄磷深加工和磷酸精细加工为主的精细化工产业，延伸产业链，提高资源综合利用水平和环境综合治理能力。</w:t>
                  </w:r>
                </w:p>
                <w:p w14:paraId="27E8EF82">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三、淘汰落后产能</w:t>
                  </w:r>
                </w:p>
                <w:p w14:paraId="2E390B4B">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认真落实产业政策，严格环境影响评价，坚决遏制高耗能高排放项目盲目发展，加快淘汰落后产能，推动产业结构优化升级。严格执行质量、环保、能耗、安全等法规标准，加大钢铁、水泥熟料等行业落后产能淘汰和过剩产能压减力度。推进建材行业绿色发展，鼓励行业产能整合，严格落实水泥行业产能置换政策，到2025年，全市现有日产2000吨以下的新型干法水泥生产线全部淘汰。淘汰磷化工生产工艺落后、污染严重、不具备安全生产条件的落后产能，提高磷化工产业聚集度。建设高浓度磷复肥生产基地，发展高浓度磷复肥。</w:t>
                  </w:r>
                </w:p>
              </w:tc>
              <w:tc>
                <w:tcPr>
                  <w:tcW w:w="1014" w:type="pct"/>
                  <w:tcBorders>
                    <w:tl2br w:val="nil"/>
                    <w:tr2bl w:val="nil"/>
                  </w:tcBorders>
                  <w:vAlign w:val="center"/>
                </w:tcPr>
                <w:p w14:paraId="5D731782">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lang w:bidi="ar"/>
                    </w:rPr>
                    <w:t>项目采取的措施能实现稳定达标排放。建设符合国家产业政策，项目运行后能达标排放，按环保相关要求进行管理。</w:t>
                  </w:r>
                </w:p>
                <w:p w14:paraId="2359B935">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项目单位产品综合能耗为66.58千克标煤/吨。</w:t>
                  </w:r>
                </w:p>
                <w:p w14:paraId="4422FE12">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项目在原有用地范围内进行建设，采用先进的生产工艺和设备，从源头进行控制，采用清洁能源电为能源，污染物排放量较小。</w:t>
                  </w:r>
                </w:p>
              </w:tc>
              <w:tc>
                <w:tcPr>
                  <w:tcW w:w="419" w:type="pct"/>
                  <w:tcBorders>
                    <w:tl2br w:val="nil"/>
                    <w:tr2bl w:val="nil"/>
                  </w:tcBorders>
                  <w:vAlign w:val="center"/>
                </w:tcPr>
                <w:p w14:paraId="0D79CDE3">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w:t>
                  </w:r>
                </w:p>
              </w:tc>
            </w:tr>
            <w:tr w14:paraId="1167BE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508" w:type="pct"/>
                  <w:tcBorders>
                    <w:tl2br w:val="nil"/>
                    <w:tr2bl w:val="nil"/>
                  </w:tcBorders>
                </w:tcPr>
                <w:p w14:paraId="5DAA8698">
                  <w:pPr>
                    <w:adjustRightInd w:val="0"/>
                    <w:snapToGrid w:val="0"/>
                    <w:rPr>
                      <w:rFonts w:hint="default" w:ascii="Times New Roman" w:hAnsi="Times New Roman" w:cs="Times New Roman"/>
                      <w:bCs/>
                      <w:color w:val="auto"/>
                      <w:sz w:val="18"/>
                      <w:szCs w:val="18"/>
                    </w:rPr>
                  </w:pPr>
                </w:p>
              </w:tc>
              <w:tc>
                <w:tcPr>
                  <w:tcW w:w="3056" w:type="pct"/>
                  <w:tcBorders>
                    <w:tl2br w:val="nil"/>
                    <w:tr2bl w:val="nil"/>
                  </w:tcBorders>
                </w:tcPr>
                <w:p w14:paraId="71FA5353">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第三节 加快推动绿色低碳发展</w:t>
                  </w:r>
                </w:p>
                <w:p w14:paraId="2B5B9CC0">
                  <w:pPr>
                    <w:pStyle w:val="18"/>
                    <w:adjustRightInd w:val="0"/>
                    <w:snapToGrid w:val="0"/>
                    <w:spacing w:line="240"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一、推广绿色生产方式</w:t>
                  </w:r>
                </w:p>
                <w:p w14:paraId="7499467E">
                  <w:pPr>
                    <w:pStyle w:val="18"/>
                    <w:adjustRightInd w:val="0"/>
                    <w:snapToGrid w:val="0"/>
                    <w:spacing w:line="240"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绿色技术创新，加强重点行业领域绿色化改造，完成镍、磷化工、水泥等产业全流程清洁生产审核，对钢铁行业重点企业实施高温高压干熄焦、烧结烟气循环、转炉连铸系统优化等技术改造。对矿业行业重点企业实施新型富氧熔炼，电镍系统优化等技术改造。对水泥行业重点企业实施高固气比熟料煅烧、大推力多通道燃烧等技术改造。对造纸行业重点企业实施纸机高效成型、高效双盘磨浆机等技术改造。发展循环高效型、低碳清洁型产业。深度挖掘抚仙湖径流区乃至沿岸周边发展潜力，推动发展生态绿色产业，加强生态农产品供给，科学发展环湖文旅产业，开发滨湖度假旅游产品，实现生态产业化和产业生态化。推行农业清洁生产，实施化肥农药减量增效行动，到2025年，化肥、农药利用率分别提高到40%、42%以上，测土配方施肥技术覆盖率保持在90%以上。</w:t>
                  </w:r>
                </w:p>
                <w:p w14:paraId="37323A53">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三、提高资源利用效率</w:t>
                  </w:r>
                </w:p>
                <w:p w14:paraId="1CF44105">
                  <w:pPr>
                    <w:adjustRightInd w:val="0"/>
                    <w:snapToGrid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行能耗总量和强度“双控”，推进节能示范项目，实施钢铁、磷化工和建材三大主要耗能行业节能技改工程，优化工业能源消费结构。建立水资源刚性约束制度，落实水资源消耗总量和强度双控目标责任，实施全民节水行动，强化企业节水改造，对钢铁行业重点企业、造纸行业重点企业、食品加工企业实施工业节水改造及回收利用工程，提高重点行业工业用水重复率，建设节水型社会。</w:t>
                  </w:r>
                </w:p>
              </w:tc>
              <w:tc>
                <w:tcPr>
                  <w:tcW w:w="1014" w:type="pct"/>
                  <w:tcBorders>
                    <w:tl2br w:val="nil"/>
                    <w:tr2bl w:val="nil"/>
                  </w:tcBorders>
                  <w:vAlign w:val="center"/>
                </w:tcPr>
                <w:p w14:paraId="616F1F80">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项目采用先进的生产工艺和设备，从源头进行控制，</w:t>
                  </w:r>
                  <w:r>
                    <w:rPr>
                      <w:rFonts w:hint="default" w:ascii="Times New Roman" w:hAnsi="Times New Roman" w:cs="Times New Roman"/>
                      <w:color w:val="auto"/>
                      <w:sz w:val="18"/>
                      <w:szCs w:val="18"/>
                    </w:rPr>
                    <w:t>采用清洁能源电为能源，污染物排放量较小</w:t>
                  </w:r>
                  <w:r>
                    <w:rPr>
                      <w:rFonts w:hint="default" w:ascii="Times New Roman" w:hAnsi="Times New Roman" w:cs="Times New Roman"/>
                      <w:bCs/>
                      <w:color w:val="auto"/>
                      <w:sz w:val="18"/>
                      <w:szCs w:val="18"/>
                    </w:rPr>
                    <w:t>。项目为无缝钢管生产项目，采用热拔工艺，主要用电作为能源，采用先进的生产设备和工艺，能耗较低。</w:t>
                  </w:r>
                </w:p>
                <w:p w14:paraId="7F1864A9">
                  <w:pPr>
                    <w:pStyle w:val="18"/>
                    <w:adjustRightInd w:val="0"/>
                    <w:snapToGrid w:val="0"/>
                    <w:spacing w:line="240"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项目生产废水全部循环利用，生活污水进入园区污水处理厂进行处理。</w:t>
                  </w:r>
                </w:p>
              </w:tc>
              <w:tc>
                <w:tcPr>
                  <w:tcW w:w="419" w:type="pct"/>
                  <w:tcBorders>
                    <w:tl2br w:val="nil"/>
                    <w:tr2bl w:val="nil"/>
                  </w:tcBorders>
                  <w:vAlign w:val="center"/>
                </w:tcPr>
                <w:p w14:paraId="65DAAE90">
                  <w:pPr>
                    <w:adjustRightInd w:val="0"/>
                    <w:snapToGrid w:val="0"/>
                    <w:jc w:val="center"/>
                    <w:rPr>
                      <w:rFonts w:hint="default" w:ascii="Times New Roman" w:hAnsi="Times New Roman" w:cs="Times New Roman"/>
                      <w:bCs/>
                      <w:color w:val="auto"/>
                      <w:sz w:val="18"/>
                      <w:szCs w:val="18"/>
                    </w:rPr>
                  </w:pPr>
                </w:p>
              </w:tc>
            </w:tr>
            <w:tr w14:paraId="7B6084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508" w:type="pct"/>
                  <w:tcBorders>
                    <w:tl2br w:val="nil"/>
                    <w:tr2bl w:val="nil"/>
                  </w:tcBorders>
                  <w:vAlign w:val="center"/>
                </w:tcPr>
                <w:p w14:paraId="53F990D5">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第七章</w:t>
                  </w:r>
                </w:p>
              </w:tc>
              <w:tc>
                <w:tcPr>
                  <w:tcW w:w="3056" w:type="pct"/>
                  <w:tcBorders>
                    <w:tl2br w:val="nil"/>
                    <w:tr2bl w:val="nil"/>
                  </w:tcBorders>
                  <w:vAlign w:val="center"/>
                </w:tcPr>
                <w:p w14:paraId="28362C73">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应对气候变化，控制温室气体排放</w:t>
                  </w:r>
                </w:p>
              </w:tc>
              <w:tc>
                <w:tcPr>
                  <w:tcW w:w="1014" w:type="pct"/>
                  <w:tcBorders>
                    <w:tl2br w:val="nil"/>
                    <w:tr2bl w:val="nil"/>
                  </w:tcBorders>
                </w:tcPr>
                <w:p w14:paraId="4153EEED">
                  <w:pPr>
                    <w:adjustRightInd w:val="0"/>
                    <w:snapToGrid w:val="0"/>
                    <w:rPr>
                      <w:rFonts w:hint="default" w:ascii="Times New Roman" w:hAnsi="Times New Roman" w:cs="Times New Roman"/>
                      <w:bCs/>
                      <w:color w:val="auto"/>
                      <w:sz w:val="18"/>
                      <w:szCs w:val="18"/>
                    </w:rPr>
                  </w:pPr>
                </w:p>
              </w:tc>
              <w:tc>
                <w:tcPr>
                  <w:tcW w:w="419" w:type="pct"/>
                  <w:tcBorders>
                    <w:tl2br w:val="nil"/>
                    <w:tr2bl w:val="nil"/>
                  </w:tcBorders>
                  <w:vAlign w:val="center"/>
                </w:tcPr>
                <w:p w14:paraId="4C01C7F3">
                  <w:pPr>
                    <w:adjustRightInd w:val="0"/>
                    <w:snapToGrid w:val="0"/>
                    <w:jc w:val="center"/>
                    <w:rPr>
                      <w:rFonts w:hint="default" w:ascii="Times New Roman" w:hAnsi="Times New Roman" w:cs="Times New Roman"/>
                      <w:bCs/>
                      <w:color w:val="auto"/>
                      <w:sz w:val="18"/>
                      <w:szCs w:val="18"/>
                    </w:rPr>
                  </w:pPr>
                </w:p>
              </w:tc>
            </w:tr>
            <w:tr w14:paraId="2B5263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508" w:type="pct"/>
                  <w:tcBorders>
                    <w:tl2br w:val="nil"/>
                    <w:tr2bl w:val="nil"/>
                  </w:tcBorders>
                  <w:vAlign w:val="center"/>
                </w:tcPr>
                <w:p w14:paraId="40C9F5CE">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w:t>
                  </w:r>
                </w:p>
              </w:tc>
              <w:tc>
                <w:tcPr>
                  <w:tcW w:w="3056" w:type="pct"/>
                  <w:tcBorders>
                    <w:tl2br w:val="nil"/>
                    <w:tr2bl w:val="nil"/>
                  </w:tcBorders>
                </w:tcPr>
                <w:p w14:paraId="1EE7BEEC">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.....二、加快工业节能</w:t>
                  </w:r>
                </w:p>
                <w:p w14:paraId="3B942A78">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加强重点行业领域绿色化改造，完成镍、磷化工、水泥等产业全流程清洁生产审核，发展循环高效型、低碳清洁型产业。扎实推进节能示范项目，切实抓好钢铁、磷化工和建材等三大主要耗能行业的节能技改工作。对钢铁行业重点企业实施高温高压干熄焦、烧结烟气循环、转炉连铸系统优化等技术改造。对矿业行业重点企业实施新型富氧熔炼，电镍系统优化等技术改造。对水泥行业重点企业实施高固气比熟料煅烧、大推力多通道燃烧等技术改造。对造纸行业重点企业实施纸机高效成型、高效双盘磨浆机等技术改造。</w:t>
                  </w:r>
                </w:p>
              </w:tc>
              <w:tc>
                <w:tcPr>
                  <w:tcW w:w="1014" w:type="pct"/>
                  <w:tcBorders>
                    <w:tl2br w:val="nil"/>
                    <w:tr2bl w:val="nil"/>
                  </w:tcBorders>
                  <w:vAlign w:val="center"/>
                </w:tcPr>
                <w:p w14:paraId="3E2E030D">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项目采用先进的生产工艺和设备，</w:t>
                  </w:r>
                  <w:r>
                    <w:rPr>
                      <w:rFonts w:hint="default" w:ascii="Times New Roman" w:hAnsi="Times New Roman" w:cs="Times New Roman"/>
                      <w:color w:val="auto"/>
                      <w:sz w:val="18"/>
                      <w:szCs w:val="18"/>
                    </w:rPr>
                    <w:t>采用清洁能源电为能源，污染物排放量较小</w:t>
                  </w:r>
                  <w:r>
                    <w:rPr>
                      <w:rFonts w:hint="default" w:ascii="Times New Roman" w:hAnsi="Times New Roman" w:cs="Times New Roman"/>
                      <w:bCs/>
                      <w:color w:val="auto"/>
                      <w:sz w:val="18"/>
                      <w:szCs w:val="18"/>
                    </w:rPr>
                    <w:t>。项目主要用电作为能源，采用先进的生产设备和工艺，能耗较低。</w:t>
                  </w:r>
                </w:p>
              </w:tc>
              <w:tc>
                <w:tcPr>
                  <w:tcW w:w="419" w:type="pct"/>
                  <w:tcBorders>
                    <w:tl2br w:val="nil"/>
                    <w:tr2bl w:val="nil"/>
                  </w:tcBorders>
                  <w:vAlign w:val="center"/>
                </w:tcPr>
                <w:p w14:paraId="0637F22D">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w:t>
                  </w:r>
                </w:p>
              </w:tc>
            </w:tr>
            <w:tr w14:paraId="6AD15F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508" w:type="pct"/>
                  <w:tcBorders>
                    <w:tl2br w:val="nil"/>
                    <w:tr2bl w:val="nil"/>
                  </w:tcBorders>
                  <w:vAlign w:val="center"/>
                </w:tcPr>
                <w:p w14:paraId="12CA319E">
                  <w:pPr>
                    <w:adjustRightInd w:val="0"/>
                    <w:snapToGrid w:val="0"/>
                    <w:jc w:val="lef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第八章</w:t>
                  </w:r>
                </w:p>
              </w:tc>
              <w:tc>
                <w:tcPr>
                  <w:tcW w:w="3056" w:type="pct"/>
                  <w:tcBorders>
                    <w:tl2br w:val="nil"/>
                    <w:tr2bl w:val="nil"/>
                  </w:tcBorders>
                  <w:vAlign w:val="center"/>
                </w:tcPr>
                <w:p w14:paraId="71DE44F3">
                  <w:pPr>
                    <w:adjustRightInd w:val="0"/>
                    <w:snapToGrid w:val="0"/>
                    <w:jc w:val="lef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统筹协调，深入打好污染防治攻坚战</w:t>
                  </w:r>
                </w:p>
              </w:tc>
              <w:tc>
                <w:tcPr>
                  <w:tcW w:w="1014" w:type="pct"/>
                  <w:tcBorders>
                    <w:tl2br w:val="nil"/>
                    <w:tr2bl w:val="nil"/>
                  </w:tcBorders>
                </w:tcPr>
                <w:p w14:paraId="77081436">
                  <w:pPr>
                    <w:adjustRightInd w:val="0"/>
                    <w:snapToGrid w:val="0"/>
                    <w:rPr>
                      <w:rFonts w:hint="default" w:ascii="Times New Roman" w:hAnsi="Times New Roman" w:cs="Times New Roman"/>
                      <w:bCs/>
                      <w:color w:val="auto"/>
                      <w:sz w:val="18"/>
                      <w:szCs w:val="18"/>
                    </w:rPr>
                  </w:pPr>
                </w:p>
              </w:tc>
              <w:tc>
                <w:tcPr>
                  <w:tcW w:w="419" w:type="pct"/>
                  <w:tcBorders>
                    <w:tl2br w:val="nil"/>
                    <w:tr2bl w:val="nil"/>
                  </w:tcBorders>
                  <w:vAlign w:val="center"/>
                </w:tcPr>
                <w:p w14:paraId="0BFC583A">
                  <w:pPr>
                    <w:adjustRightInd w:val="0"/>
                    <w:snapToGrid w:val="0"/>
                    <w:jc w:val="center"/>
                    <w:rPr>
                      <w:rFonts w:hint="default" w:ascii="Times New Roman" w:hAnsi="Times New Roman" w:cs="Times New Roman"/>
                      <w:bCs/>
                      <w:color w:val="auto"/>
                      <w:sz w:val="18"/>
                      <w:szCs w:val="18"/>
                    </w:rPr>
                  </w:pPr>
                </w:p>
              </w:tc>
            </w:tr>
            <w:tr w14:paraId="4C1A65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508" w:type="pct"/>
                  <w:tcBorders>
                    <w:tl2br w:val="nil"/>
                    <w:tr2bl w:val="nil"/>
                  </w:tcBorders>
                  <w:vAlign w:val="center"/>
                </w:tcPr>
                <w:p w14:paraId="7D3FB3DF">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控制污染物排放</w:t>
                  </w:r>
                </w:p>
              </w:tc>
              <w:tc>
                <w:tcPr>
                  <w:tcW w:w="3056" w:type="pct"/>
                  <w:tcBorders>
                    <w:tl2br w:val="nil"/>
                    <w:tr2bl w:val="nil"/>
                  </w:tcBorders>
                </w:tcPr>
                <w:p w14:paraId="0FE47703">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（二）有序开展结构调整</w:t>
                  </w:r>
                </w:p>
                <w:p w14:paraId="4AB67173">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调整优化产业结构，推进产业绿色发展。按照云南省环境管控单元生态环境准入清单要求，各县（市、区）必须严格执行生态环境准入清单的管控要求，明确禁止和限制发展的行业、生产工艺和产业目录。修订完善高耗能、高污染和资源型行业准入条件，制订更严格的产业准入门槛。</w:t>
                  </w:r>
                </w:p>
                <w:p w14:paraId="542B2DEE">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加快城市建成区重污染企业搬迁改造或关闭退出，重点推动城市建成区及周边水泥、化工、钢铁等重污染企业搬迁改造或关闭退出。</w:t>
                  </w:r>
                </w:p>
                <w:p w14:paraId="178DE58B">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全面开展“散乱污”企业及集群综合整治行动，实行拉网式排查，建立管理台账，按照“先停后治”的原则，实施分类处置。建立覆盖固定污染源的企业排放许可制度。</w:t>
                  </w:r>
                </w:p>
                <w:p w14:paraId="39ABD66B">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推动淘汰落后产能，淘汰落后生产工艺和设备，深入推进钢铁产业整合重组，提高钢铁产业综合实力。有色金属以铜、镍为重点，开发精深加工，延伸有色金属产业链。</w:t>
                  </w:r>
                </w:p>
                <w:p w14:paraId="104DA74F">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（三）加大重点行业整治</w:t>
                  </w:r>
                </w:p>
                <w:p w14:paraId="0E182C69">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持续推进钢铁行业超低排放改造工作，加强钢铁、水泥等重点行业脱硫、脱硝、除尘设施运行管理，确保治污设施正常运行，污染物达标排放。开展钢铁、建材、有色、焦化、铸造等重点行业及燃煤锅炉无组织排放排查，建立管理台账，对物料（含废渣）运输、装卸、储存、转移和工艺过程等无组织排放实施深度治理。</w:t>
                  </w:r>
                </w:p>
              </w:tc>
              <w:tc>
                <w:tcPr>
                  <w:tcW w:w="1014" w:type="pct"/>
                  <w:tcBorders>
                    <w:tl2br w:val="nil"/>
                    <w:tr2bl w:val="nil"/>
                  </w:tcBorders>
                </w:tcPr>
                <w:p w14:paraId="506C8026">
                  <w:pPr>
                    <w:autoSpaceDE w:val="0"/>
                    <w:autoSpaceDN w:val="0"/>
                    <w:adjustRightInd w:val="0"/>
                    <w:snapToGrid w:val="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项目位于云南通海产业园区里山片区，项目在原有用地范围内进行建设，项目范围均位于通海县“三区三线”划定的永久基本农田及生态保护红线范围外；全部位于城镇开发边界范围内。项目符合云南省及玉溪市生态环境分区管控相关要求。</w:t>
                  </w:r>
                </w:p>
                <w:p w14:paraId="6D7D20FF">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项目采用先进的生产工艺和设备，</w:t>
                  </w:r>
                  <w:r>
                    <w:rPr>
                      <w:rFonts w:hint="default" w:ascii="Times New Roman" w:hAnsi="Times New Roman" w:cs="Times New Roman"/>
                      <w:color w:val="auto"/>
                      <w:sz w:val="18"/>
                      <w:szCs w:val="18"/>
                    </w:rPr>
                    <w:t>采用清洁能源电为能源，污染物排放量较小</w:t>
                  </w:r>
                  <w:r>
                    <w:rPr>
                      <w:rFonts w:hint="default" w:ascii="Times New Roman" w:hAnsi="Times New Roman" w:cs="Times New Roman"/>
                      <w:bCs/>
                      <w:color w:val="auto"/>
                      <w:sz w:val="18"/>
                      <w:szCs w:val="18"/>
                    </w:rPr>
                    <w:t>。</w:t>
                  </w:r>
                </w:p>
              </w:tc>
              <w:tc>
                <w:tcPr>
                  <w:tcW w:w="419" w:type="pct"/>
                  <w:tcBorders>
                    <w:tl2br w:val="nil"/>
                    <w:tr2bl w:val="nil"/>
                  </w:tcBorders>
                  <w:vAlign w:val="center"/>
                </w:tcPr>
                <w:p w14:paraId="7467C5C1">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w:t>
                  </w:r>
                </w:p>
              </w:tc>
            </w:tr>
            <w:tr w14:paraId="35C626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508" w:type="pct"/>
                  <w:tcBorders>
                    <w:tl2br w:val="nil"/>
                    <w:tr2bl w:val="nil"/>
                  </w:tcBorders>
                  <w:vAlign w:val="center"/>
                </w:tcPr>
                <w:p w14:paraId="2BAE878F">
                  <w:pPr>
                    <w:adjustRightInd w:val="0"/>
                    <w:snapToGrid w:val="0"/>
                    <w:jc w:val="lef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降低能源消耗</w:t>
                  </w:r>
                </w:p>
              </w:tc>
              <w:tc>
                <w:tcPr>
                  <w:tcW w:w="3056" w:type="pct"/>
                  <w:tcBorders>
                    <w:tl2br w:val="nil"/>
                    <w:tr2bl w:val="nil"/>
                  </w:tcBorders>
                </w:tcPr>
                <w:p w14:paraId="61934154">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加快调整能源结构，构建清洁低碳高效能源体系。削减煤炭消费量，推进煤炭清洁利用，加快推进煤炭消费减量替代，全面推进城乡“煤改气”“煤改电”工程建设。</w:t>
                  </w:r>
                </w:p>
                <w:p w14:paraId="693E1F2F">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全面推行清洁生产，强化源头污染预防。按照省工业和信息化委公布的审核名单，有序推进化工、钢材、水泥、有色等重点行业自愿性清洁生产审核，按时、按质完成审核评估和验收工作。按照省生态环境厅公布的审核名单，有序推进化工、钢材、水泥、有色等重点行业强制性清洁生产审核，按时、按质完成审核评估和验收工作按照国家铜冶炼业、铜电解业和有色金属行业相关清洁生产标准。</w:t>
                  </w:r>
                </w:p>
              </w:tc>
              <w:tc>
                <w:tcPr>
                  <w:tcW w:w="1014" w:type="pct"/>
                  <w:tcBorders>
                    <w:tl2br w:val="nil"/>
                    <w:tr2bl w:val="nil"/>
                  </w:tcBorders>
                  <w:vAlign w:val="center"/>
                </w:tcPr>
                <w:p w14:paraId="0F3F4EF4">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项目主要用电作为能源，采用先进的生产设备和工艺，能耗较低。</w:t>
                  </w:r>
                </w:p>
              </w:tc>
              <w:tc>
                <w:tcPr>
                  <w:tcW w:w="419" w:type="pct"/>
                  <w:tcBorders>
                    <w:tl2br w:val="nil"/>
                    <w:tr2bl w:val="nil"/>
                  </w:tcBorders>
                  <w:vAlign w:val="center"/>
                </w:tcPr>
                <w:p w14:paraId="0AC4AA4E">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w:t>
                  </w:r>
                </w:p>
              </w:tc>
            </w:tr>
            <w:tr w14:paraId="19D9FB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508" w:type="pct"/>
                  <w:tcBorders>
                    <w:tl2br w:val="nil"/>
                    <w:tr2bl w:val="nil"/>
                  </w:tcBorders>
                  <w:vAlign w:val="center"/>
                </w:tcPr>
                <w:p w14:paraId="0DC50CD1">
                  <w:pPr>
                    <w:adjustRightInd w:val="0"/>
                    <w:snapToGrid w:val="0"/>
                    <w:jc w:val="lef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治理大气污染</w:t>
                  </w:r>
                </w:p>
              </w:tc>
              <w:tc>
                <w:tcPr>
                  <w:tcW w:w="3056" w:type="pct"/>
                  <w:tcBorders>
                    <w:tl2br w:val="nil"/>
                    <w:tr2bl w:val="nil"/>
                  </w:tcBorders>
                </w:tcPr>
                <w:p w14:paraId="5B8959FB">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（一）加强城市扬尘治理</w:t>
                  </w:r>
                </w:p>
                <w:p w14:paraId="3F4DEAE5">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加强施工扬尘监管，积极推进绿色施工。加强建筑施工场地扬尘污染管控。建筑施工场地应做到“六个百分百”。城市建成区及周边地区的工程建设施工现场应全封闭设置围挡墙、施工围网、防风抑尘网，严禁敞开式作业，施工现场道路应进行地面硬化。渣土运输车辆进出施工工地要进行清洗，运输过程采取密闭措施，并按照指定路线运输。加强建筑施工场地运输车辆的管理。建筑施工场地必须设置“三池一设备”（车辆过水池、沉淀池、冲洗池及车辆清洗设备），建筑垃圾（含渣土）运输车辆驶离工地要进行清洗保洁；运输过程中采取密闭措施，杜绝“滴、漏、泼、洒”污染路面、违规乱排乱倒、车身不洁等情况；达不到外运条件的坚决不予外运，造成路面污染或违规行为较突出等情况的，一律停工整改。严惩施工扬尘污染违法违规行为。县级以上城市要加大城市建成区内洒水等防风抑尘作业力度，推行道路机械化清扫等低尘作业方式；大型煤堆、料堆实现封闭存储或建设防风抑尘设施。</w:t>
                  </w:r>
                </w:p>
              </w:tc>
              <w:tc>
                <w:tcPr>
                  <w:tcW w:w="1014" w:type="pct"/>
                  <w:tcBorders>
                    <w:tl2br w:val="nil"/>
                    <w:tr2bl w:val="nil"/>
                  </w:tcBorders>
                  <w:vAlign w:val="center"/>
                </w:tcPr>
                <w:p w14:paraId="2B391E92">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项目施工期已完成，根据调查，项目施工期间严格落实了各项污染防治措施，施工期间未发生环境污染事故。</w:t>
                  </w:r>
                </w:p>
              </w:tc>
              <w:tc>
                <w:tcPr>
                  <w:tcW w:w="419" w:type="pct"/>
                  <w:tcBorders>
                    <w:tl2br w:val="nil"/>
                    <w:tr2bl w:val="nil"/>
                  </w:tcBorders>
                  <w:vAlign w:val="center"/>
                </w:tcPr>
                <w:p w14:paraId="4956968A">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w:t>
                  </w:r>
                </w:p>
              </w:tc>
            </w:tr>
          </w:tbl>
          <w:p w14:paraId="5A88E59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根据分析，项目符合《玉溪市“十四五”生态建设和环境保护规划（2021-2025年）》相关要求。</w:t>
            </w:r>
          </w:p>
          <w:p w14:paraId="50DDEC03">
            <w:pPr>
              <w:pStyle w:val="5"/>
              <w:adjustRightInd w:val="0"/>
              <w:snapToGrid w:val="0"/>
              <w:rPr>
                <w:rFonts w:hint="default" w:ascii="Times New Roman" w:hAnsi="Times New Roman" w:cs="Times New Roman"/>
                <w:color w:val="auto"/>
                <w:sz w:val="24"/>
              </w:rPr>
            </w:pPr>
            <w:bookmarkStart w:id="24" w:name="_Toc17848"/>
            <w:bookmarkStart w:id="25" w:name="_Toc2978"/>
            <w:bookmarkStart w:id="26" w:name="_Toc20273"/>
            <w:bookmarkStart w:id="27" w:name="_Toc29859"/>
            <w:bookmarkStart w:id="28" w:name="_Toc13231"/>
            <w:bookmarkStart w:id="29" w:name="_Toc6421"/>
            <w:r>
              <w:rPr>
                <w:rFonts w:hint="default" w:ascii="Times New Roman" w:hAnsi="Times New Roman" w:cs="Times New Roman"/>
                <w:color w:val="auto"/>
                <w:sz w:val="24"/>
              </w:rPr>
              <w:t>12、与《云南省固体废物污染环境防治条例》符合性分析</w:t>
            </w:r>
            <w:bookmarkEnd w:id="24"/>
            <w:bookmarkEnd w:id="25"/>
            <w:bookmarkEnd w:id="26"/>
            <w:bookmarkEnd w:id="27"/>
            <w:bookmarkEnd w:id="28"/>
            <w:bookmarkEnd w:id="29"/>
          </w:p>
          <w:p w14:paraId="6CB4147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2022年11月30日云南省第十三届人民代表大会常务委员会第三十五次会议通过了《云南省固体废物污染环境防治条例》，项目与其的符合性分析详见下表。</w:t>
            </w:r>
          </w:p>
          <w:p w14:paraId="53821037">
            <w:pPr>
              <w:adjustRightInd w:val="0"/>
              <w:snapToGrid w:val="0"/>
              <w:spacing w:line="360" w:lineRule="auto"/>
              <w:jc w:val="center"/>
              <w:rPr>
                <w:rFonts w:hint="default" w:ascii="Times New Roman" w:hAnsi="Times New Roman" w:eastAsia="黑体" w:cs="Times New Roman"/>
                <w:bCs/>
                <w:color w:val="auto"/>
                <w:szCs w:val="21"/>
              </w:rPr>
            </w:pPr>
            <w:r>
              <w:rPr>
                <w:rFonts w:hint="default" w:ascii="Times New Roman" w:hAnsi="Times New Roman" w:eastAsia="黑体" w:cs="Times New Roman"/>
                <w:bCs/>
                <w:color w:val="auto"/>
                <w:szCs w:val="21"/>
              </w:rPr>
              <w:t>表1-12  本项目与云南省固体废物污染环境防治条例符合性分析</w:t>
            </w:r>
          </w:p>
          <w:tbl>
            <w:tblPr>
              <w:tblStyle w:val="3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0"/>
              <w:gridCol w:w="3983"/>
              <w:gridCol w:w="2387"/>
              <w:gridCol w:w="565"/>
            </w:tblGrid>
            <w:tr w14:paraId="66CADF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30" w:type="pct"/>
                  <w:tcMar>
                    <w:top w:w="57" w:type="dxa"/>
                    <w:left w:w="108" w:type="dxa"/>
                    <w:bottom w:w="57" w:type="dxa"/>
                    <w:right w:w="108" w:type="dxa"/>
                  </w:tcMar>
                  <w:vAlign w:val="center"/>
                </w:tcPr>
                <w:p w14:paraId="3FB4F8E7">
                  <w:pPr>
                    <w:wordWrap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序号</w:t>
                  </w:r>
                </w:p>
              </w:tc>
              <w:tc>
                <w:tcPr>
                  <w:tcW w:w="2681" w:type="pct"/>
                  <w:tcMar>
                    <w:top w:w="57" w:type="dxa"/>
                    <w:left w:w="108" w:type="dxa"/>
                    <w:bottom w:w="57" w:type="dxa"/>
                    <w:right w:w="108" w:type="dxa"/>
                  </w:tcMar>
                  <w:vAlign w:val="center"/>
                </w:tcPr>
                <w:p w14:paraId="1CBD977A">
                  <w:pPr>
                    <w:wordWrap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条例内容</w:t>
                  </w:r>
                </w:p>
              </w:tc>
              <w:tc>
                <w:tcPr>
                  <w:tcW w:w="1607" w:type="pct"/>
                  <w:tcMar>
                    <w:top w:w="57" w:type="dxa"/>
                    <w:left w:w="108" w:type="dxa"/>
                    <w:bottom w:w="57" w:type="dxa"/>
                    <w:right w:w="108" w:type="dxa"/>
                  </w:tcMar>
                  <w:vAlign w:val="center"/>
                </w:tcPr>
                <w:p w14:paraId="3068E9D4">
                  <w:pPr>
                    <w:wordWrap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本项目内容</w:t>
                  </w:r>
                </w:p>
              </w:tc>
              <w:tc>
                <w:tcPr>
                  <w:tcW w:w="380" w:type="pct"/>
                  <w:tcMar>
                    <w:top w:w="57" w:type="dxa"/>
                    <w:left w:w="108" w:type="dxa"/>
                    <w:bottom w:w="57" w:type="dxa"/>
                    <w:right w:w="108" w:type="dxa"/>
                  </w:tcMar>
                  <w:vAlign w:val="center"/>
                </w:tcPr>
                <w:p w14:paraId="43DF40EF">
                  <w:pPr>
                    <w:wordWrap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符合性</w:t>
                  </w:r>
                </w:p>
              </w:tc>
            </w:tr>
            <w:tr w14:paraId="624DFB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330" w:type="pct"/>
                  <w:tcMar>
                    <w:top w:w="57" w:type="dxa"/>
                    <w:left w:w="108" w:type="dxa"/>
                    <w:bottom w:w="57" w:type="dxa"/>
                    <w:right w:w="108" w:type="dxa"/>
                  </w:tcMar>
                  <w:vAlign w:val="center"/>
                </w:tcPr>
                <w:p w14:paraId="0FE4611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2681" w:type="pct"/>
                  <w:tcMar>
                    <w:top w:w="57" w:type="dxa"/>
                    <w:left w:w="108" w:type="dxa"/>
                    <w:bottom w:w="57" w:type="dxa"/>
                    <w:right w:w="108" w:type="dxa"/>
                  </w:tcMar>
                  <w:vAlign w:val="center"/>
                </w:tcPr>
                <w:p w14:paraId="476D6EF8">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第十二条</w:t>
                  </w:r>
                </w:p>
                <w:p w14:paraId="4C47021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生、收集、贮存、运输、利用、处置固体废物的单位和其他生产经营者，应当加强对相关设施、设备和场所的管理和维护，保证其正常运行和使用；依法及时向社会公开固体废物的种类、产生量、流向、贮存、利用、处置等固体废物污染环境防治信息，主动接受社会监督。</w:t>
                  </w:r>
                </w:p>
              </w:tc>
              <w:tc>
                <w:tcPr>
                  <w:tcW w:w="1607" w:type="pct"/>
                  <w:tcMar>
                    <w:top w:w="57" w:type="dxa"/>
                    <w:left w:w="108" w:type="dxa"/>
                    <w:bottom w:w="57" w:type="dxa"/>
                    <w:right w:w="108" w:type="dxa"/>
                  </w:tcMar>
                  <w:vAlign w:val="center"/>
                </w:tcPr>
                <w:p w14:paraId="5B28696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项目在生产期间加强对相关设施、设备和场所的管理和维护，保证其正常运行和使用；依法及时向社会公开固体废物的种类、产生量、流向、贮存、利用、处置等固体废物污染环境防治信息，主动接受社会监督。</w:t>
                  </w:r>
                </w:p>
              </w:tc>
              <w:tc>
                <w:tcPr>
                  <w:tcW w:w="380" w:type="pct"/>
                  <w:tcMar>
                    <w:top w:w="57" w:type="dxa"/>
                    <w:left w:w="108" w:type="dxa"/>
                    <w:bottom w:w="57" w:type="dxa"/>
                    <w:right w:w="108" w:type="dxa"/>
                  </w:tcMar>
                  <w:vAlign w:val="center"/>
                </w:tcPr>
                <w:p w14:paraId="3860529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69A19A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30" w:type="pct"/>
                  <w:tcMar>
                    <w:top w:w="57" w:type="dxa"/>
                    <w:left w:w="108" w:type="dxa"/>
                    <w:bottom w:w="57" w:type="dxa"/>
                    <w:right w:w="108" w:type="dxa"/>
                  </w:tcMar>
                  <w:vAlign w:val="center"/>
                </w:tcPr>
                <w:p w14:paraId="64B1370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681" w:type="pct"/>
                  <w:tcMar>
                    <w:top w:w="57" w:type="dxa"/>
                    <w:left w:w="108" w:type="dxa"/>
                    <w:bottom w:w="57" w:type="dxa"/>
                    <w:right w:w="108" w:type="dxa"/>
                  </w:tcMar>
                  <w:vAlign w:val="center"/>
                </w:tcPr>
                <w:p w14:paraId="7D99581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第十四条  产生、收集、贮存、运输、利用、处置固体废物的单位和其他生产经营者，应当采取防扬散、防流失、防渗漏或者其他防止污染环境的措施，不得擅自倾倒、堆放、丢弃、遗撒固体废物。</w:t>
                  </w:r>
                </w:p>
                <w:p w14:paraId="7ED4716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禁止任何单位或者个人向江河、湖泊、运河、渠道、水库及其最高水位线以下的滩地和岸坡以及法律法规规定的其他地点倾倒、堆放、贮存固体废物。</w:t>
                  </w:r>
                </w:p>
                <w:p w14:paraId="37100FC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在生态保护红线区域、永久基本农田集中区域和其他需要特别保护的区域内，禁止建设工业固体废物、危险废物集中贮存、利用、处置的设施、场所和生活垃圾填埋场。</w:t>
                  </w:r>
                </w:p>
              </w:tc>
              <w:tc>
                <w:tcPr>
                  <w:tcW w:w="1607" w:type="pct"/>
                  <w:tcMar>
                    <w:top w:w="57" w:type="dxa"/>
                    <w:left w:w="108" w:type="dxa"/>
                    <w:bottom w:w="57" w:type="dxa"/>
                    <w:right w:w="108" w:type="dxa"/>
                  </w:tcMar>
                  <w:vAlign w:val="center"/>
                </w:tcPr>
                <w:p w14:paraId="7E3A338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固体废物收集、贮存、利用、处置均采取防扬散、防流失、防渗漏或者其他防止污染环境的措施，无擅自倾倒、堆放、丢弃、遗撒固体废物行为。项目固体废物均能得到合理处置，本项目固体废物贮存不在生态保护红线区域、永久基本农田集中区域和其他需要特别保护的区域内。</w:t>
                  </w:r>
                </w:p>
              </w:tc>
              <w:tc>
                <w:tcPr>
                  <w:tcW w:w="380" w:type="pct"/>
                  <w:tcMar>
                    <w:top w:w="57" w:type="dxa"/>
                    <w:left w:w="108" w:type="dxa"/>
                    <w:bottom w:w="57" w:type="dxa"/>
                    <w:right w:w="108" w:type="dxa"/>
                  </w:tcMar>
                  <w:vAlign w:val="center"/>
                </w:tcPr>
                <w:p w14:paraId="19D709D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670AE3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30" w:type="pct"/>
                  <w:tcMar>
                    <w:top w:w="57" w:type="dxa"/>
                    <w:left w:w="108" w:type="dxa"/>
                    <w:bottom w:w="57" w:type="dxa"/>
                    <w:right w:w="108" w:type="dxa"/>
                  </w:tcMar>
                  <w:vAlign w:val="center"/>
                </w:tcPr>
                <w:p w14:paraId="77C35E2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2681" w:type="pct"/>
                  <w:tcMar>
                    <w:top w:w="57" w:type="dxa"/>
                    <w:left w:w="108" w:type="dxa"/>
                    <w:bottom w:w="57" w:type="dxa"/>
                    <w:right w:w="108" w:type="dxa"/>
                  </w:tcMar>
                  <w:vAlign w:val="center"/>
                </w:tcPr>
                <w:p w14:paraId="1D000F9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第十六条 禁止中华人民共和国境外的固体废物进入本省倾倒、堆放、处置。</w:t>
                  </w:r>
                </w:p>
              </w:tc>
              <w:tc>
                <w:tcPr>
                  <w:tcW w:w="1607" w:type="pct"/>
                  <w:tcMar>
                    <w:top w:w="57" w:type="dxa"/>
                    <w:left w:w="108" w:type="dxa"/>
                    <w:bottom w:w="57" w:type="dxa"/>
                    <w:right w:w="108" w:type="dxa"/>
                  </w:tcMar>
                  <w:vAlign w:val="center"/>
                </w:tcPr>
                <w:p w14:paraId="2663768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不涉及</w:t>
                  </w:r>
                </w:p>
              </w:tc>
              <w:tc>
                <w:tcPr>
                  <w:tcW w:w="380" w:type="pct"/>
                  <w:tcMar>
                    <w:top w:w="57" w:type="dxa"/>
                    <w:left w:w="108" w:type="dxa"/>
                    <w:bottom w:w="57" w:type="dxa"/>
                    <w:right w:w="108" w:type="dxa"/>
                  </w:tcMar>
                  <w:vAlign w:val="center"/>
                </w:tcPr>
                <w:p w14:paraId="50C66B3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7EC79C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30" w:type="pct"/>
                  <w:tcMar>
                    <w:top w:w="57" w:type="dxa"/>
                    <w:left w:w="108" w:type="dxa"/>
                    <w:bottom w:w="57" w:type="dxa"/>
                    <w:right w:w="108" w:type="dxa"/>
                  </w:tcMar>
                  <w:vAlign w:val="center"/>
                </w:tcPr>
                <w:p w14:paraId="27D9025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2681" w:type="pct"/>
                  <w:tcMar>
                    <w:top w:w="57" w:type="dxa"/>
                    <w:left w:w="108" w:type="dxa"/>
                    <w:bottom w:w="57" w:type="dxa"/>
                    <w:right w:w="108" w:type="dxa"/>
                  </w:tcMar>
                  <w:vAlign w:val="center"/>
                </w:tcPr>
                <w:p w14:paraId="4B3B2AC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第二十四条 产生工业固体废物的单位应当建立健全工业固体废物产生、收集、贮存、运输、利用、处置全过程的污染环境防治责任制度，按照国家有关规定建立工业固体废物管理台账，如实记录产生工业固体废物的种类、时间、数量、流向、贮存、利用、处置等信息，并采取防治工业固体废物污染环境的措施。工业固体废物管理台账应当保存5年以上。</w:t>
                  </w:r>
                </w:p>
                <w:p w14:paraId="37E5F5F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鼓励产生工业固体废物的单位在固体废物产生场所、贮存场所及计量设备等关键点位设置视频监控，提高台账记录信息的准确性。</w:t>
                  </w:r>
                </w:p>
                <w:p w14:paraId="0C1978A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禁止向生活垃圾收集设施中投放工业固体废物。</w:t>
                  </w:r>
                </w:p>
              </w:tc>
              <w:tc>
                <w:tcPr>
                  <w:tcW w:w="1607" w:type="pct"/>
                  <w:tcMar>
                    <w:top w:w="57" w:type="dxa"/>
                    <w:left w:w="108" w:type="dxa"/>
                    <w:bottom w:w="57" w:type="dxa"/>
                    <w:right w:w="108" w:type="dxa"/>
                  </w:tcMar>
                  <w:vAlign w:val="center"/>
                </w:tcPr>
                <w:p w14:paraId="4837089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环评提出项目建立健全工业固体废物产生、收集、贮存、运输、利用、处置全过程的污染环境防治责任制度，按照国家有关规定建立工业固体废物管理台账，如实记录产生工业固体废物的种类、时间、数量、流向、贮存、利用、处置等信息，并采取防治工业固体废物污染环境的措施。且规定工业固体废物管理台账保存5年以上。</w:t>
                  </w:r>
                </w:p>
                <w:p w14:paraId="02518C3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禁止向生活垃圾收集设施中投放工业固体废物。</w:t>
                  </w:r>
                </w:p>
              </w:tc>
              <w:tc>
                <w:tcPr>
                  <w:tcW w:w="380" w:type="pct"/>
                  <w:tcMar>
                    <w:top w:w="57" w:type="dxa"/>
                    <w:left w:w="108" w:type="dxa"/>
                    <w:bottom w:w="57" w:type="dxa"/>
                    <w:right w:w="108" w:type="dxa"/>
                  </w:tcMar>
                  <w:vAlign w:val="center"/>
                </w:tcPr>
                <w:p w14:paraId="0D7C90B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71D2D1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30" w:type="pct"/>
                  <w:tcMar>
                    <w:top w:w="57" w:type="dxa"/>
                    <w:left w:w="108" w:type="dxa"/>
                    <w:bottom w:w="57" w:type="dxa"/>
                    <w:right w:w="108" w:type="dxa"/>
                  </w:tcMar>
                  <w:vAlign w:val="center"/>
                </w:tcPr>
                <w:p w14:paraId="4ABAE06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2681" w:type="pct"/>
                  <w:tcMar>
                    <w:top w:w="57" w:type="dxa"/>
                    <w:left w:w="108" w:type="dxa"/>
                    <w:bottom w:w="57" w:type="dxa"/>
                    <w:right w:w="108" w:type="dxa"/>
                  </w:tcMar>
                  <w:vAlign w:val="center"/>
                </w:tcPr>
                <w:p w14:paraId="7E400AC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第二十五条 产生工业固体废物的单位委托他人运输、利用、处置工业固体废物的，应当对受托方的主体资格和技术能力进行核实，依法签订书面合同，在合同中约定污染防治要求。</w:t>
                  </w:r>
                </w:p>
                <w:p w14:paraId="79EBB24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受托方运输、利用、处置工业固体废物，应当依照有关法律法规的规定和合同约定履行污染防治要求，并将运输、利用、处置情况告知产生工业固体废物的单位。</w:t>
                  </w:r>
                </w:p>
              </w:tc>
              <w:tc>
                <w:tcPr>
                  <w:tcW w:w="1607" w:type="pct"/>
                  <w:tcMar>
                    <w:top w:w="57" w:type="dxa"/>
                    <w:left w:w="108" w:type="dxa"/>
                    <w:bottom w:w="57" w:type="dxa"/>
                    <w:right w:w="108" w:type="dxa"/>
                  </w:tcMar>
                  <w:vAlign w:val="center"/>
                </w:tcPr>
                <w:p w14:paraId="6222B95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项目产生的工业固体废物需委托他人进行运输、利用、处置时，应当对受托方的主体资格和技术能力进行核实，依法签订书面合同，在合同中约定污染防治要求。</w:t>
                  </w:r>
                </w:p>
                <w:p w14:paraId="692D01F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同时建设单位应要求受托方应依照有关法律法规的规定和合同约定履行污染防治要求，并将运输、利用、处置情况告知企业。</w:t>
                  </w:r>
                </w:p>
              </w:tc>
              <w:tc>
                <w:tcPr>
                  <w:tcW w:w="380" w:type="pct"/>
                  <w:tcMar>
                    <w:top w:w="57" w:type="dxa"/>
                    <w:left w:w="108" w:type="dxa"/>
                    <w:bottom w:w="57" w:type="dxa"/>
                    <w:right w:w="108" w:type="dxa"/>
                  </w:tcMar>
                  <w:vAlign w:val="center"/>
                </w:tcPr>
                <w:p w14:paraId="7EB145E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403AC2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30" w:type="pct"/>
                  <w:tcMar>
                    <w:top w:w="57" w:type="dxa"/>
                    <w:left w:w="108" w:type="dxa"/>
                    <w:bottom w:w="57" w:type="dxa"/>
                    <w:right w:w="108" w:type="dxa"/>
                  </w:tcMar>
                  <w:vAlign w:val="center"/>
                </w:tcPr>
                <w:p w14:paraId="3FAFC91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2681" w:type="pct"/>
                  <w:tcMar>
                    <w:top w:w="57" w:type="dxa"/>
                    <w:left w:w="108" w:type="dxa"/>
                    <w:bottom w:w="57" w:type="dxa"/>
                    <w:right w:w="108" w:type="dxa"/>
                  </w:tcMar>
                  <w:vAlign w:val="center"/>
                </w:tcPr>
                <w:p w14:paraId="55C19F0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第二十六条 产生工业固体废物的单位应当依法实施清洁生产审核，合理选择和利用原材料、能源和其他资源，采用先进的生产工艺和设备，减少工业固体废物的产生量，降低工业固体废物的危害性。</w:t>
                  </w:r>
                </w:p>
                <w:p w14:paraId="7FFE305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产生工业固体废物的单位应当根据经济、技术条件对工业固体废物加以利用；对暂时不利用或者不能利用的，应当按照国家规定建设贮存设施、场所，安全分类存放，或者采取无害化处置措施。</w:t>
                  </w:r>
                </w:p>
                <w:p w14:paraId="5592972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贮存工业固体废物应当采取符合国家环境保护标准的防护措施。建设工业固体废物贮存、处置的设施、场所，应当符合国家环境保护标准。</w:t>
                  </w:r>
                </w:p>
              </w:tc>
              <w:tc>
                <w:tcPr>
                  <w:tcW w:w="1607" w:type="pct"/>
                  <w:tcMar>
                    <w:top w:w="57" w:type="dxa"/>
                    <w:left w:w="108" w:type="dxa"/>
                    <w:bottom w:w="57" w:type="dxa"/>
                    <w:right w:w="108" w:type="dxa"/>
                  </w:tcMar>
                  <w:vAlign w:val="center"/>
                </w:tcPr>
                <w:p w14:paraId="73BCDF7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本项目产生的部分工业固体废物加以利用；不能利用的，按照国家规定建设贮存设施、场所，安全分类存放。本项目贮存工业固体废物场所应当采取符合国家环境保护标准的防护措施，符合国家环境保护标准。</w:t>
                  </w:r>
                </w:p>
              </w:tc>
              <w:tc>
                <w:tcPr>
                  <w:tcW w:w="380" w:type="pct"/>
                  <w:tcMar>
                    <w:top w:w="57" w:type="dxa"/>
                    <w:left w:w="108" w:type="dxa"/>
                    <w:bottom w:w="57" w:type="dxa"/>
                    <w:right w:w="108" w:type="dxa"/>
                  </w:tcMar>
                  <w:vAlign w:val="center"/>
                </w:tcPr>
                <w:p w14:paraId="2FD602E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28FC78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30" w:type="pct"/>
                  <w:tcMar>
                    <w:top w:w="57" w:type="dxa"/>
                    <w:left w:w="108" w:type="dxa"/>
                    <w:bottom w:w="57" w:type="dxa"/>
                    <w:right w:w="108" w:type="dxa"/>
                  </w:tcMar>
                  <w:vAlign w:val="center"/>
                </w:tcPr>
                <w:p w14:paraId="2950B6C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2681" w:type="pct"/>
                  <w:tcMar>
                    <w:top w:w="57" w:type="dxa"/>
                    <w:left w:w="108" w:type="dxa"/>
                    <w:bottom w:w="57" w:type="dxa"/>
                    <w:right w:w="108" w:type="dxa"/>
                  </w:tcMar>
                  <w:vAlign w:val="center"/>
                </w:tcPr>
                <w:p w14:paraId="1880A48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第二十七条 产生工业固体废物的单位应当依法取得排污许可证，向所在地生态环境主管部门提供工业固体废物的种类、数量、流向、贮存、利用、处置等有关资料，以及减少工业固体废物产生、促进综合利用的具体措施，并执行排污许可管理制度的相关规定。</w:t>
                  </w:r>
                </w:p>
              </w:tc>
              <w:tc>
                <w:tcPr>
                  <w:tcW w:w="1607" w:type="pct"/>
                  <w:tcMar>
                    <w:top w:w="57" w:type="dxa"/>
                    <w:left w:w="108" w:type="dxa"/>
                    <w:bottom w:w="57" w:type="dxa"/>
                    <w:right w:w="108" w:type="dxa"/>
                  </w:tcMar>
                  <w:vAlign w:val="center"/>
                </w:tcPr>
                <w:p w14:paraId="1A344CF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通海南方钢铁有限公司于2023年04月19日取得了玉溪市生态环境局颁发的排污许可证（证书编号：915304236736246431001P），本项目建成后需对排污许可证进行变更。同时项目运营过程中须向辖区生态环境部门提供项目固体废物产生的种类、数量、流向、贮存、利用、处置等有关资料。同时按照排污许可管理制度相关规定执行。</w:t>
                  </w:r>
                </w:p>
              </w:tc>
              <w:tc>
                <w:tcPr>
                  <w:tcW w:w="380" w:type="pct"/>
                  <w:tcMar>
                    <w:top w:w="57" w:type="dxa"/>
                    <w:left w:w="108" w:type="dxa"/>
                    <w:bottom w:w="57" w:type="dxa"/>
                    <w:right w:w="108" w:type="dxa"/>
                  </w:tcMar>
                  <w:vAlign w:val="center"/>
                </w:tcPr>
                <w:p w14:paraId="6378B67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7963A3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30" w:type="pct"/>
                  <w:tcMar>
                    <w:top w:w="57" w:type="dxa"/>
                    <w:left w:w="108" w:type="dxa"/>
                    <w:bottom w:w="57" w:type="dxa"/>
                    <w:right w:w="108" w:type="dxa"/>
                  </w:tcMar>
                  <w:vAlign w:val="center"/>
                </w:tcPr>
                <w:p w14:paraId="78A6AF3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w:t>
                  </w:r>
                </w:p>
              </w:tc>
              <w:tc>
                <w:tcPr>
                  <w:tcW w:w="2681" w:type="pct"/>
                  <w:tcMar>
                    <w:top w:w="57" w:type="dxa"/>
                    <w:left w:w="108" w:type="dxa"/>
                    <w:bottom w:w="57" w:type="dxa"/>
                    <w:right w:w="108" w:type="dxa"/>
                  </w:tcMar>
                  <w:vAlign w:val="center"/>
                </w:tcPr>
                <w:p w14:paraId="2D9CDB7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第三十八条 产生生活垃圾的单位、家庭和个人应当依法履行生活垃圾源头减量和分类投放义务，承担生活垃圾产生者责任。</w:t>
                  </w:r>
                </w:p>
                <w:p w14:paraId="759B980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任何单位和个人都应当依法在指定的地点分类投放生活垃圾。</w:t>
                  </w:r>
                </w:p>
                <w:p w14:paraId="6D2428C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禁止随意倾倒、抛撒、堆放或者焚烧生活垃圾。</w:t>
                  </w:r>
                </w:p>
              </w:tc>
              <w:tc>
                <w:tcPr>
                  <w:tcW w:w="1607" w:type="pct"/>
                  <w:tcMar>
                    <w:top w:w="57" w:type="dxa"/>
                    <w:left w:w="108" w:type="dxa"/>
                    <w:bottom w:w="57" w:type="dxa"/>
                    <w:right w:w="108" w:type="dxa"/>
                  </w:tcMar>
                  <w:vAlign w:val="center"/>
                </w:tcPr>
                <w:p w14:paraId="1F3DF57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本项目设置分类生活垃圾箱，项目产生的生活垃圾经统一收集后委托当地环卫部门进行清运处置。在运营过程中禁止随意倾倒、抛撒、堆放或者焚烧生活垃圾。</w:t>
                  </w:r>
                </w:p>
              </w:tc>
              <w:tc>
                <w:tcPr>
                  <w:tcW w:w="380" w:type="pct"/>
                  <w:tcMar>
                    <w:top w:w="57" w:type="dxa"/>
                    <w:left w:w="108" w:type="dxa"/>
                    <w:bottom w:w="57" w:type="dxa"/>
                    <w:right w:w="108" w:type="dxa"/>
                  </w:tcMar>
                  <w:vAlign w:val="center"/>
                </w:tcPr>
                <w:p w14:paraId="26FE007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7977B3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30" w:type="pct"/>
                  <w:tcMar>
                    <w:top w:w="57" w:type="dxa"/>
                    <w:left w:w="108" w:type="dxa"/>
                    <w:bottom w:w="57" w:type="dxa"/>
                    <w:right w:w="108" w:type="dxa"/>
                  </w:tcMar>
                  <w:vAlign w:val="center"/>
                </w:tcPr>
                <w:p w14:paraId="7E7E854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2681" w:type="pct"/>
                  <w:tcMar>
                    <w:top w:w="57" w:type="dxa"/>
                    <w:left w:w="108" w:type="dxa"/>
                    <w:bottom w:w="57" w:type="dxa"/>
                    <w:right w:w="108" w:type="dxa"/>
                  </w:tcMar>
                  <w:vAlign w:val="center"/>
                </w:tcPr>
                <w:p w14:paraId="56CC60B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第四十三条 工程施工单位应当编制建筑垃圾处理方案，采取污染防治措施，并报所在地县级人民政府环境卫生主管部门备案。建筑垃圾处理方案应当包括单位基本情况、工程概况、建筑垃圾产生量与种类，分类收集、回收利用的措施和目标，需要外运的建筑垃圾种类、数量和时间，污染防治措施以及责任人等内容。</w:t>
                  </w:r>
                </w:p>
                <w:p w14:paraId="79A8326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工程施工单位应当及时清运工程施工过程中产生的建筑垃圾等固体废物，并按照环境卫生主管部门的规定进行利用或者处置，不得擅自倾倒、抛撒或者堆放工程施工过程中产生的建筑垃圾。</w:t>
                  </w:r>
                </w:p>
                <w:p w14:paraId="44A2DAB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禁止将建筑垃圾混入生活垃圾。</w:t>
                  </w:r>
                </w:p>
              </w:tc>
              <w:tc>
                <w:tcPr>
                  <w:tcW w:w="1607" w:type="pct"/>
                  <w:tcMar>
                    <w:top w:w="57" w:type="dxa"/>
                    <w:left w:w="108" w:type="dxa"/>
                    <w:bottom w:w="57" w:type="dxa"/>
                    <w:right w:w="108" w:type="dxa"/>
                  </w:tcMar>
                  <w:vAlign w:val="center"/>
                </w:tcPr>
                <w:p w14:paraId="36AE2A0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项目在施工过程中对产生的建筑垃圾等进行分类收集，可回收利用部分进行回收利用，不可回收利用部分运至当地城建部门指定的地方进行妥善处置。同时在施工过程中禁止将建筑垃圾混入生活垃圾进行处理。</w:t>
                  </w:r>
                </w:p>
              </w:tc>
              <w:tc>
                <w:tcPr>
                  <w:tcW w:w="380" w:type="pct"/>
                  <w:tcMar>
                    <w:top w:w="57" w:type="dxa"/>
                    <w:left w:w="108" w:type="dxa"/>
                    <w:bottom w:w="57" w:type="dxa"/>
                    <w:right w:w="108" w:type="dxa"/>
                  </w:tcMar>
                  <w:vAlign w:val="center"/>
                </w:tcPr>
                <w:p w14:paraId="529000B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28B27E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30" w:type="pct"/>
                  <w:tcMar>
                    <w:top w:w="57" w:type="dxa"/>
                    <w:left w:w="108" w:type="dxa"/>
                    <w:bottom w:w="57" w:type="dxa"/>
                    <w:right w:w="108" w:type="dxa"/>
                  </w:tcMar>
                  <w:vAlign w:val="center"/>
                </w:tcPr>
                <w:p w14:paraId="003DC62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2681" w:type="pct"/>
                  <w:tcMar>
                    <w:top w:w="57" w:type="dxa"/>
                    <w:left w:w="108" w:type="dxa"/>
                    <w:bottom w:w="57" w:type="dxa"/>
                    <w:right w:w="108" w:type="dxa"/>
                  </w:tcMar>
                  <w:vAlign w:val="center"/>
                </w:tcPr>
                <w:p w14:paraId="5CE80EE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第五十条 产生固体废物的单位应当落实危险废物鉴别主体责任，依照法律、行政法规以及国家有关规定主动开展危险废物鉴别。危险废物鉴别单位对鉴别报告和鉴别结论负责并承担相应责任。历史遗存无法查明责任主体的固体废物，由所在地县级人民政府组织鉴别并依法处置。</w:t>
                  </w:r>
                </w:p>
              </w:tc>
              <w:tc>
                <w:tcPr>
                  <w:tcW w:w="1607" w:type="pct"/>
                  <w:tcMar>
                    <w:top w:w="57" w:type="dxa"/>
                    <w:left w:w="108" w:type="dxa"/>
                    <w:bottom w:w="57" w:type="dxa"/>
                    <w:right w:w="108" w:type="dxa"/>
                  </w:tcMar>
                  <w:vAlign w:val="center"/>
                </w:tcPr>
                <w:p w14:paraId="4D907EF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本项目产生的危险废物根据《危险废物名录》（2025年版）确定。</w:t>
                  </w:r>
                </w:p>
              </w:tc>
              <w:tc>
                <w:tcPr>
                  <w:tcW w:w="380" w:type="pct"/>
                  <w:tcMar>
                    <w:top w:w="57" w:type="dxa"/>
                    <w:left w:w="108" w:type="dxa"/>
                    <w:bottom w:w="57" w:type="dxa"/>
                    <w:right w:w="108" w:type="dxa"/>
                  </w:tcMar>
                  <w:vAlign w:val="center"/>
                </w:tcPr>
                <w:p w14:paraId="3B64E50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004676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30" w:type="pct"/>
                  <w:tcMar>
                    <w:top w:w="57" w:type="dxa"/>
                    <w:left w:w="108" w:type="dxa"/>
                    <w:bottom w:w="57" w:type="dxa"/>
                    <w:right w:w="108" w:type="dxa"/>
                  </w:tcMar>
                  <w:vAlign w:val="center"/>
                </w:tcPr>
                <w:p w14:paraId="62BB437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w:t>
                  </w:r>
                </w:p>
              </w:tc>
              <w:tc>
                <w:tcPr>
                  <w:tcW w:w="2681" w:type="pct"/>
                  <w:tcMar>
                    <w:top w:w="57" w:type="dxa"/>
                    <w:left w:w="108" w:type="dxa"/>
                    <w:bottom w:w="57" w:type="dxa"/>
                    <w:right w:w="108" w:type="dxa"/>
                  </w:tcMar>
                  <w:vAlign w:val="center"/>
                </w:tcPr>
                <w:p w14:paraId="4517835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第五十二条 产生危险废物的单位，应当按照国家有关规定制定危险废物管理计划；建立危险废物管理台账，如实记录有关信息，并通过省固体废物信息管理平台向所在地生态环境主管部门申报危险废物的种类、产生量、流向、贮存、处置等有关资料。</w:t>
                  </w:r>
                </w:p>
                <w:p w14:paraId="3215B3E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产生危险废物的单位，应当按照国家有关规定和环境保护标准要求贮存、利用、处置危险废物，不得擅自倾倒、堆放。</w:t>
                  </w:r>
                </w:p>
              </w:tc>
              <w:tc>
                <w:tcPr>
                  <w:tcW w:w="1607" w:type="pct"/>
                  <w:tcMar>
                    <w:top w:w="57" w:type="dxa"/>
                    <w:left w:w="108" w:type="dxa"/>
                    <w:bottom w:w="57" w:type="dxa"/>
                    <w:right w:w="108" w:type="dxa"/>
                  </w:tcMar>
                  <w:vAlign w:val="center"/>
                </w:tcPr>
                <w:p w14:paraId="05A2CFC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在运营过程中建立废物管理台账，如实记录有关信息，下一步将通过省固体废物信息管理平台向所在地生态环境主管部门申报危险废物的种类、产生量、流向、贮存、处置等有关资料。环评提出项目产生的危险废物委托有资质的单位进行清运处置，不得随意倾倒、堆放。</w:t>
                  </w:r>
                </w:p>
              </w:tc>
              <w:tc>
                <w:tcPr>
                  <w:tcW w:w="380" w:type="pct"/>
                  <w:tcMar>
                    <w:top w:w="57" w:type="dxa"/>
                    <w:left w:w="108" w:type="dxa"/>
                    <w:bottom w:w="57" w:type="dxa"/>
                    <w:right w:w="108" w:type="dxa"/>
                  </w:tcMar>
                  <w:vAlign w:val="center"/>
                </w:tcPr>
                <w:p w14:paraId="520AB82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152E9E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30" w:type="pct"/>
                  <w:tcMar>
                    <w:top w:w="57" w:type="dxa"/>
                    <w:left w:w="108" w:type="dxa"/>
                    <w:bottom w:w="57" w:type="dxa"/>
                    <w:right w:w="108" w:type="dxa"/>
                  </w:tcMar>
                  <w:vAlign w:val="center"/>
                </w:tcPr>
                <w:p w14:paraId="2A3CBBE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2681" w:type="pct"/>
                  <w:tcMar>
                    <w:top w:w="57" w:type="dxa"/>
                    <w:left w:w="108" w:type="dxa"/>
                    <w:bottom w:w="57" w:type="dxa"/>
                    <w:right w:w="108" w:type="dxa"/>
                  </w:tcMar>
                  <w:vAlign w:val="center"/>
                </w:tcPr>
                <w:p w14:paraId="7702727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第五十四条  收集、贮存危险废物，应当按照危险废物特性分类进行。禁止混合收集、贮存、运输、处置性质不相容而未经安全性处置的危险废物。</w:t>
                  </w:r>
                </w:p>
                <w:p w14:paraId="33EE927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贮存危险废物应当采取符合国家环境保护标准的防护措施。禁止将危险废物混入非危险废物中贮存。</w:t>
                  </w:r>
                </w:p>
                <w:p w14:paraId="627547C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从事收集、贮存、利用、处置危险废物经营活动的单位，贮存危险废物不得超过一年；确需延长期限的，应当报经颁发许可证的生态环境主管部门批准；法律、行政法规另有规定的除外。</w:t>
                  </w:r>
                </w:p>
              </w:tc>
              <w:tc>
                <w:tcPr>
                  <w:tcW w:w="1607" w:type="pct"/>
                  <w:tcMar>
                    <w:top w:w="57" w:type="dxa"/>
                    <w:left w:w="108" w:type="dxa"/>
                    <w:bottom w:w="57" w:type="dxa"/>
                    <w:right w:w="108" w:type="dxa"/>
                  </w:tcMar>
                  <w:vAlign w:val="center"/>
                </w:tcPr>
                <w:p w14:paraId="484F7CC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项目在运营过程中危险废物为废机油，用专门的储油桶收集，暂存于危险废物贮存库，返回对设备进行润滑使用，在厂区内能自行利用。</w:t>
                  </w:r>
                </w:p>
                <w:p w14:paraId="2C71BB5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本环评提出，在运营过程中禁止将危险废物混入非危险废物中贮存，同时暂存时间禁止超过一年。</w:t>
                  </w:r>
                </w:p>
              </w:tc>
              <w:tc>
                <w:tcPr>
                  <w:tcW w:w="380" w:type="pct"/>
                  <w:tcMar>
                    <w:top w:w="57" w:type="dxa"/>
                    <w:left w:w="108" w:type="dxa"/>
                    <w:bottom w:w="57" w:type="dxa"/>
                    <w:right w:w="108" w:type="dxa"/>
                  </w:tcMar>
                  <w:vAlign w:val="center"/>
                </w:tcPr>
                <w:p w14:paraId="222C365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16DE0B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30" w:type="pct"/>
                  <w:tcMar>
                    <w:top w:w="57" w:type="dxa"/>
                    <w:left w:w="108" w:type="dxa"/>
                    <w:bottom w:w="57" w:type="dxa"/>
                    <w:right w:w="108" w:type="dxa"/>
                  </w:tcMar>
                  <w:vAlign w:val="center"/>
                </w:tcPr>
                <w:p w14:paraId="3882582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13</w:t>
                  </w:r>
                </w:p>
              </w:tc>
              <w:tc>
                <w:tcPr>
                  <w:tcW w:w="2681" w:type="pct"/>
                  <w:tcMar>
                    <w:top w:w="57" w:type="dxa"/>
                    <w:left w:w="108" w:type="dxa"/>
                    <w:bottom w:w="57" w:type="dxa"/>
                    <w:right w:w="108" w:type="dxa"/>
                  </w:tcMar>
                  <w:vAlign w:val="center"/>
                </w:tcPr>
                <w:p w14:paraId="7B7BD176">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第五十五条 转移危险废物的，应当执行国家危险废物转移联单制度，按照国家有关规定如实填写、运行危险废物电子或者纸质转移联单。</w:t>
                  </w:r>
                </w:p>
                <w:p w14:paraId="581F9626">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转移危险废物出省的，应当向省人民政府生态环境主管部门申请。省人民政府生态环境主管部门应当及时商经接受地省（自治区、直辖市）人民政府生态环境主管部门同意后，在规定期限内批准转移该危险废物，并将批准信息通报相关省（自治区、直辖市）人民政府生态环境主管部门和交通运输主管部门。未经批准的，不得转移。</w:t>
                  </w:r>
                </w:p>
                <w:p w14:paraId="4ED01A6D">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转移危险废物进入本省的，省人民政府生态环境主管部门应当在接到移出地的省（自治区、直辖市）人民政府生态环境主管部门商函后，及时研究，未经省人民政府生态环境主管部门同意的，不得转移进入本省。</w:t>
                  </w:r>
                </w:p>
                <w:p w14:paraId="2092B3A6">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严格控制含砷、镉、汞、铊等对环境和安全影响大的重金属类危险废物以及液态危险废物转移至本省，国家统筹布局的危险废物处置设施以及开展区域合作的省（自治区、直辖市）的危险废物处置设施除外。法律、行政法规另有规定的从其规定。</w:t>
                  </w:r>
                </w:p>
                <w:p w14:paraId="370297EF">
                  <w:pPr>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生态环境主管部门依法对危险废物转移污染环境防治以及危险废物转移联单运行实施监督管理。</w:t>
                  </w:r>
                </w:p>
              </w:tc>
              <w:tc>
                <w:tcPr>
                  <w:tcW w:w="1607" w:type="pct"/>
                  <w:tcMar>
                    <w:top w:w="57" w:type="dxa"/>
                    <w:left w:w="108" w:type="dxa"/>
                    <w:bottom w:w="57" w:type="dxa"/>
                    <w:right w:w="108" w:type="dxa"/>
                  </w:tcMar>
                  <w:vAlign w:val="center"/>
                </w:tcPr>
                <w:p w14:paraId="798B813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项目在运营过程中危险废物为废机油，用专门的储油桶收集，暂存于危险废物贮存库，返回对设备进行润滑使用，在厂区内能自行利用。</w:t>
                  </w:r>
                </w:p>
                <w:p w14:paraId="77EA040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项目不涉及转移进入本省的危险废物。</w:t>
                  </w:r>
                </w:p>
              </w:tc>
              <w:tc>
                <w:tcPr>
                  <w:tcW w:w="380" w:type="pct"/>
                  <w:tcMar>
                    <w:top w:w="57" w:type="dxa"/>
                    <w:left w:w="108" w:type="dxa"/>
                    <w:bottom w:w="57" w:type="dxa"/>
                    <w:right w:w="108" w:type="dxa"/>
                  </w:tcMar>
                  <w:vAlign w:val="center"/>
                </w:tcPr>
                <w:p w14:paraId="67AA99E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38E8B5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30" w:type="pct"/>
                  <w:tcMar>
                    <w:top w:w="57" w:type="dxa"/>
                    <w:left w:w="108" w:type="dxa"/>
                    <w:bottom w:w="57" w:type="dxa"/>
                    <w:right w:w="108" w:type="dxa"/>
                  </w:tcMar>
                  <w:vAlign w:val="center"/>
                </w:tcPr>
                <w:p w14:paraId="5F7B7B7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w:t>
                  </w:r>
                </w:p>
              </w:tc>
              <w:tc>
                <w:tcPr>
                  <w:tcW w:w="2681" w:type="pct"/>
                  <w:tcMar>
                    <w:top w:w="57" w:type="dxa"/>
                    <w:left w:w="108" w:type="dxa"/>
                    <w:bottom w:w="57" w:type="dxa"/>
                    <w:right w:w="108" w:type="dxa"/>
                  </w:tcMar>
                  <w:vAlign w:val="center"/>
                </w:tcPr>
                <w:p w14:paraId="1F3CDA0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第五十六条 运输危险废物，应当采取防止污染环境的措施，并遵守国家有关危险货物运输管理的规定。</w:t>
                  </w:r>
                </w:p>
                <w:p w14:paraId="7C84144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禁止将危险废物与旅客在同一运输工具上载运。</w:t>
                  </w:r>
                </w:p>
              </w:tc>
              <w:tc>
                <w:tcPr>
                  <w:tcW w:w="1607" w:type="pct"/>
                  <w:tcMar>
                    <w:top w:w="57" w:type="dxa"/>
                    <w:left w:w="108" w:type="dxa"/>
                    <w:bottom w:w="57" w:type="dxa"/>
                    <w:right w:w="108" w:type="dxa"/>
                  </w:tcMar>
                  <w:vAlign w:val="center"/>
                </w:tcPr>
                <w:p w14:paraId="720BDA2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项目在运营过程中危险废物为废机油，用专门的储油桶收集，暂存于危险废物贮存库，返回对设备进行润滑使用，在厂区内能自行利用。</w:t>
                  </w:r>
                </w:p>
              </w:tc>
              <w:tc>
                <w:tcPr>
                  <w:tcW w:w="380" w:type="pct"/>
                  <w:tcMar>
                    <w:top w:w="57" w:type="dxa"/>
                    <w:left w:w="108" w:type="dxa"/>
                    <w:bottom w:w="57" w:type="dxa"/>
                    <w:right w:w="108" w:type="dxa"/>
                  </w:tcMar>
                  <w:vAlign w:val="center"/>
                </w:tcPr>
                <w:p w14:paraId="4BBD516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3E4953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30" w:type="pct"/>
                  <w:tcMar>
                    <w:top w:w="57" w:type="dxa"/>
                    <w:left w:w="108" w:type="dxa"/>
                    <w:bottom w:w="57" w:type="dxa"/>
                    <w:right w:w="108" w:type="dxa"/>
                  </w:tcMar>
                  <w:vAlign w:val="center"/>
                </w:tcPr>
                <w:p w14:paraId="528DD4A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2681" w:type="pct"/>
                  <w:tcMar>
                    <w:top w:w="57" w:type="dxa"/>
                    <w:left w:w="108" w:type="dxa"/>
                    <w:bottom w:w="57" w:type="dxa"/>
                    <w:right w:w="108" w:type="dxa"/>
                  </w:tcMar>
                  <w:vAlign w:val="center"/>
                </w:tcPr>
                <w:p w14:paraId="2625119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第五十七条 县级以上人民政府应当将危险废物突发环境事件应急处置纳入政府应急响应体系，加强危险废物环境应急响应能力建设。</w:t>
                  </w:r>
                </w:p>
                <w:p w14:paraId="771FD94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生、收集、贮存、运输、利用、处置危险废物的单位，应当依法制定意外事故的防范措施和应急预案。并向所在地生态环境主管部门和其他负有固体废物污染环境防治监督管理职责的部门备案；生态环境主管部门和其他负有固体废物污染环境防治监督管理职责的部门应当进行检查。</w:t>
                  </w:r>
                </w:p>
              </w:tc>
              <w:tc>
                <w:tcPr>
                  <w:tcW w:w="1607" w:type="pct"/>
                  <w:tcMar>
                    <w:top w:w="57" w:type="dxa"/>
                    <w:left w:w="108" w:type="dxa"/>
                    <w:bottom w:w="57" w:type="dxa"/>
                    <w:right w:w="108" w:type="dxa"/>
                  </w:tcMar>
                  <w:vAlign w:val="center"/>
                </w:tcPr>
                <w:p w14:paraId="1BDEEDA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本项目已制定意外事故的防范措施和应急预案。并向所在地生态环境主管部门和其他负有固体废物污染环境防治监督管理职责的部门备案。</w:t>
                  </w:r>
                </w:p>
              </w:tc>
              <w:tc>
                <w:tcPr>
                  <w:tcW w:w="380" w:type="pct"/>
                  <w:tcMar>
                    <w:top w:w="57" w:type="dxa"/>
                    <w:left w:w="108" w:type="dxa"/>
                    <w:bottom w:w="57" w:type="dxa"/>
                    <w:right w:w="108" w:type="dxa"/>
                  </w:tcMar>
                  <w:vAlign w:val="center"/>
                </w:tcPr>
                <w:p w14:paraId="524F10E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bl>
          <w:p w14:paraId="1E0E8154">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根据上表分析，本项目符合《云南省固体废物污染环境防治条例》的相关要求。</w:t>
            </w:r>
          </w:p>
          <w:p w14:paraId="440EF678">
            <w:pPr>
              <w:pStyle w:val="5"/>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13、与《中华人民共和国固体废物污染环境防治法》的符合性</w:t>
            </w:r>
          </w:p>
          <w:p w14:paraId="0D122CC5">
            <w:pPr>
              <w:pStyle w:val="124"/>
              <w:adjustRightInd w:val="0"/>
              <w:snapToGrid w:val="0"/>
              <w:jc w:val="both"/>
              <w:rPr>
                <w:rFonts w:hint="default" w:ascii="Times New Roman" w:hAnsi="Times New Roman" w:cs="Times New Roman"/>
                <w:color w:val="auto"/>
                <w:kern w:val="2"/>
              </w:rPr>
            </w:pPr>
            <w:r>
              <w:rPr>
                <w:rFonts w:hint="default" w:ascii="Times New Roman" w:hAnsi="Times New Roman" w:cs="Times New Roman"/>
                <w:color w:val="auto"/>
                <w:kern w:val="2"/>
              </w:rPr>
              <w:t>2020年4月29日，十三届全国人大常委会第十七次会议审议通过了修订后的固体废物污染环境防治法，自2020年9月1日起施行，本项目与其符合性分析见下表。</w:t>
            </w:r>
          </w:p>
          <w:p w14:paraId="0D4C2682">
            <w:pPr>
              <w:adjustRightInd w:val="0"/>
              <w:snapToGrid w:val="0"/>
              <w:spacing w:line="360" w:lineRule="auto"/>
              <w:jc w:val="center"/>
              <w:rPr>
                <w:rFonts w:hint="default" w:ascii="Times New Roman" w:hAnsi="Times New Roman" w:eastAsia="黑体" w:cs="Times New Roman"/>
                <w:bCs/>
                <w:color w:val="auto"/>
                <w:szCs w:val="21"/>
              </w:rPr>
            </w:pPr>
            <w:r>
              <w:rPr>
                <w:rFonts w:hint="default" w:ascii="Times New Roman" w:hAnsi="Times New Roman" w:eastAsia="黑体" w:cs="Times New Roman"/>
                <w:bCs/>
                <w:color w:val="auto"/>
                <w:szCs w:val="21"/>
              </w:rPr>
              <w:t>表1-13  与《中华人民共和国固体废物污染环境防治法》符合性分析一览表</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3660"/>
              <w:gridCol w:w="2294"/>
              <w:gridCol w:w="702"/>
            </w:tblGrid>
            <w:tr w14:paraId="1ED8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left w:val="nil"/>
                  </w:tcBorders>
                  <w:vAlign w:val="center"/>
                </w:tcPr>
                <w:p w14:paraId="3D6E11C2">
                  <w:pPr>
                    <w:pStyle w:val="18"/>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2468" w:type="pct"/>
                  <w:vAlign w:val="center"/>
                </w:tcPr>
                <w:p w14:paraId="42AC12B9">
                  <w:pPr>
                    <w:pStyle w:val="18"/>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相关内容</w:t>
                  </w:r>
                </w:p>
              </w:tc>
              <w:tc>
                <w:tcPr>
                  <w:tcW w:w="1547" w:type="pct"/>
                  <w:vAlign w:val="center"/>
                </w:tcPr>
                <w:p w14:paraId="5E57157A">
                  <w:pPr>
                    <w:pStyle w:val="18"/>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建设情况</w:t>
                  </w:r>
                </w:p>
              </w:tc>
              <w:tc>
                <w:tcPr>
                  <w:tcW w:w="472" w:type="pct"/>
                  <w:tcBorders>
                    <w:right w:val="nil"/>
                  </w:tcBorders>
                  <w:vAlign w:val="center"/>
                </w:tcPr>
                <w:p w14:paraId="4DDFD418">
                  <w:pPr>
                    <w:pStyle w:val="18"/>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符合性</w:t>
                  </w:r>
                </w:p>
              </w:tc>
            </w:tr>
            <w:tr w14:paraId="5C2D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left w:val="nil"/>
                    <w:right w:val="nil"/>
                  </w:tcBorders>
                  <w:vAlign w:val="center"/>
                </w:tcPr>
                <w:p w14:paraId="705A885A">
                  <w:pPr>
                    <w:pStyle w:val="18"/>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第一章 总则</w:t>
                  </w:r>
                </w:p>
              </w:tc>
            </w:tr>
            <w:tr w14:paraId="13F4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2" w:type="pct"/>
                  <w:tcBorders>
                    <w:left w:val="nil"/>
                  </w:tcBorders>
                  <w:vAlign w:val="center"/>
                </w:tcPr>
                <w:p w14:paraId="672643B6">
                  <w:pPr>
                    <w:pStyle w:val="18"/>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2468" w:type="pct"/>
                  <w:vAlign w:val="center"/>
                </w:tcPr>
                <w:p w14:paraId="42008E8F">
                  <w:pPr>
                    <w:pStyle w:val="31"/>
                    <w:shd w:val="clear" w:color="auto" w:fill="FFFFFF"/>
                    <w:spacing w:before="0" w:beforeAutospacing="0" w:after="0" w:afterAutospacing="0"/>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第四条  固体废物污染环境防治坚持减量化、资源化和无害化的原则。任何单位和个人都应当采取措施，减少固体废物的产生量，促进固体废物的综合利用，降低固体废物的危害性。</w:t>
                  </w:r>
                </w:p>
              </w:tc>
              <w:tc>
                <w:tcPr>
                  <w:tcW w:w="1547" w:type="pct"/>
                  <w:vAlign w:val="center"/>
                </w:tcPr>
                <w:p w14:paraId="2A69DDF1">
                  <w:pPr>
                    <w:pStyle w:val="1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本项目运营期间产生的固体废物主要为边角料及不合格产品、氧化铁皮、生活垃圾、化粪池污泥及少量的废机油，各固废均得到妥善处置。</w:t>
                  </w:r>
                </w:p>
              </w:tc>
              <w:tc>
                <w:tcPr>
                  <w:tcW w:w="472" w:type="pct"/>
                  <w:tcBorders>
                    <w:right w:val="nil"/>
                  </w:tcBorders>
                  <w:vAlign w:val="center"/>
                </w:tcPr>
                <w:p w14:paraId="3A741FCC">
                  <w:pPr>
                    <w:pStyle w:val="18"/>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5530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left w:val="nil"/>
                  </w:tcBorders>
                  <w:vAlign w:val="center"/>
                </w:tcPr>
                <w:p w14:paraId="2B9B00F4">
                  <w:pPr>
                    <w:pStyle w:val="18"/>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468" w:type="pct"/>
                  <w:vAlign w:val="center"/>
                </w:tcPr>
                <w:p w14:paraId="74805559">
                  <w:pPr>
                    <w:pStyle w:val="31"/>
                    <w:shd w:val="clear" w:color="auto" w:fill="FFFFFF"/>
                    <w:spacing w:before="0" w:beforeAutospacing="0" w:after="0" w:afterAutospacing="0"/>
                    <w:ind w:firstLine="360" w:firstLineChars="200"/>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第五条 固体废物污染环境防治坚持污染担责的原则。产生、收集、贮存、运输、利用、处置固体废物的单位和个人，应当采取措施，防止或者减少固体废物对环境的污染，对所造成的环境污染依法承担责任。</w:t>
                  </w:r>
                </w:p>
              </w:tc>
              <w:tc>
                <w:tcPr>
                  <w:tcW w:w="1547" w:type="pct"/>
                  <w:vAlign w:val="center"/>
                </w:tcPr>
                <w:p w14:paraId="7A5726D2">
                  <w:pPr>
                    <w:pStyle w:val="1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本项目产生的固体废物均得到合理处置，固体废物在</w:t>
                  </w:r>
                  <w:r>
                    <w:rPr>
                      <w:rFonts w:hint="default" w:ascii="Times New Roman" w:hAnsi="Times New Roman" w:cs="Times New Roman"/>
                      <w:color w:val="auto"/>
                      <w:kern w:val="0"/>
                      <w:sz w:val="18"/>
                      <w:szCs w:val="18"/>
                    </w:rPr>
                    <w:t>产生、收集、贮存、运输、利用、处置的过程中均采取措施，防止固体废物对环境的污染。</w:t>
                  </w:r>
                </w:p>
              </w:tc>
              <w:tc>
                <w:tcPr>
                  <w:tcW w:w="472" w:type="pct"/>
                  <w:tcBorders>
                    <w:right w:val="nil"/>
                  </w:tcBorders>
                  <w:vAlign w:val="center"/>
                </w:tcPr>
                <w:p w14:paraId="7C795147">
                  <w:pPr>
                    <w:pStyle w:val="18"/>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4EAE7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left w:val="nil"/>
                    <w:right w:val="nil"/>
                  </w:tcBorders>
                  <w:vAlign w:val="center"/>
                </w:tcPr>
                <w:p w14:paraId="2FB85C02">
                  <w:pPr>
                    <w:pStyle w:val="18"/>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"_Toc6776_WPSOffice_Level1" </w:instrText>
                  </w:r>
                  <w:r>
                    <w:rPr>
                      <w:rFonts w:hint="default" w:ascii="Times New Roman" w:hAnsi="Times New Roman" w:cs="Times New Roman"/>
                      <w:color w:val="auto"/>
                    </w:rPr>
                    <w:fldChar w:fldCharType="separate"/>
                  </w:r>
                  <w:r>
                    <w:rPr>
                      <w:rFonts w:hint="default" w:ascii="Times New Roman" w:hAnsi="Times New Roman" w:cs="Times New Roman"/>
                      <w:color w:val="auto"/>
                      <w:sz w:val="18"/>
                      <w:szCs w:val="18"/>
                    </w:rPr>
                    <w:t xml:space="preserve">第二章  </w:t>
                  </w:r>
                  <w:r>
                    <w:rPr>
                      <w:rFonts w:hint="default" w:ascii="Times New Roman" w:hAnsi="Times New Roman" w:cs="Times New Roman"/>
                      <w:color w:val="auto"/>
                      <w:sz w:val="18"/>
                      <w:szCs w:val="18"/>
                    </w:rPr>
                    <w:fldChar w:fldCharType="end"/>
                  </w:r>
                  <w:r>
                    <w:rPr>
                      <w:rFonts w:hint="default" w:ascii="Times New Roman" w:hAnsi="Times New Roman" w:cs="Times New Roman"/>
                      <w:color w:val="auto"/>
                      <w:sz w:val="18"/>
                      <w:szCs w:val="18"/>
                    </w:rPr>
                    <w:t>监督管理</w:t>
                  </w:r>
                </w:p>
              </w:tc>
            </w:tr>
            <w:tr w14:paraId="47FE1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left w:val="nil"/>
                  </w:tcBorders>
                  <w:vAlign w:val="center"/>
                </w:tcPr>
                <w:p w14:paraId="157F6CCC">
                  <w:pPr>
                    <w:pStyle w:val="31"/>
                    <w:shd w:val="clear" w:color="auto" w:fill="FFFFFF"/>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2468" w:type="pct"/>
                  <w:vAlign w:val="center"/>
                </w:tcPr>
                <w:p w14:paraId="547D89C0">
                  <w:pPr>
                    <w:pStyle w:val="31"/>
                    <w:shd w:val="clear" w:color="auto" w:fill="FFFFFF"/>
                    <w:spacing w:before="0" w:beforeAutospacing="0" w:after="0" w:afterAutospacing="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第十八条  建设项目的环境影响评价文件确定需要配套建设的固体废物污染环境防治设施，应当与主体工程同时设计、同时施工、同时投入使用。建设项目的初步设计，应当按照环境保护设计规范的要求，将固体废物污染环境防治内容纳入环境影响评价文件，落实防治固体废物污染环境和破坏生态的措施以及固体废物污染环境防治设施投资概算。建设单位应当依照有关法律法规的规定，对配套建设的固体废物污染环境防治设施进行验收，编制验收报告，并向社会公开。</w:t>
                  </w:r>
                </w:p>
              </w:tc>
              <w:tc>
                <w:tcPr>
                  <w:tcW w:w="1547" w:type="pct"/>
                  <w:vAlign w:val="center"/>
                </w:tcPr>
                <w:p w14:paraId="6F1A7B11">
                  <w:pPr>
                    <w:pStyle w:val="31"/>
                    <w:shd w:val="clear" w:color="auto" w:fill="FFFFFF"/>
                    <w:spacing w:before="0" w:beforeAutospacing="0" w:after="0" w:afterAutospacing="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本项目废机油贮存依托已建成的危险废物贮存库。同时本评价要求项目建设完成后，投入运营前须进行环保竣工验收工作，并编制验收报告，向社会公开。</w:t>
                  </w:r>
                </w:p>
              </w:tc>
              <w:tc>
                <w:tcPr>
                  <w:tcW w:w="472" w:type="pct"/>
                  <w:tcBorders>
                    <w:right w:val="nil"/>
                  </w:tcBorders>
                  <w:vAlign w:val="center"/>
                </w:tcPr>
                <w:p w14:paraId="65F01FBA">
                  <w:pPr>
                    <w:pStyle w:val="31"/>
                    <w:shd w:val="clear" w:color="auto" w:fill="FFFFFF"/>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0C16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left w:val="nil"/>
                  </w:tcBorders>
                  <w:vAlign w:val="center"/>
                </w:tcPr>
                <w:p w14:paraId="7A2FE71E">
                  <w:pPr>
                    <w:pStyle w:val="31"/>
                    <w:shd w:val="clear" w:color="auto" w:fill="FFFFFF"/>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2468" w:type="pct"/>
                  <w:vAlign w:val="center"/>
                </w:tcPr>
                <w:p w14:paraId="1AC26575">
                  <w:pPr>
                    <w:pStyle w:val="31"/>
                    <w:shd w:val="clear" w:color="auto" w:fill="FFFFFF"/>
                    <w:spacing w:before="0" w:beforeAutospacing="0" w:after="0" w:afterAutospacing="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第十九条  收集、贮存、运输、利用、处置固体废物的单位和其他生产经营者，应当加强对相关设施、设备和场所的管理和维护，保证其正常运行和使用。</w:t>
                  </w:r>
                </w:p>
              </w:tc>
              <w:tc>
                <w:tcPr>
                  <w:tcW w:w="1547" w:type="pct"/>
                  <w:vAlign w:val="center"/>
                </w:tcPr>
                <w:p w14:paraId="2EBB0136">
                  <w:pPr>
                    <w:pStyle w:val="31"/>
                    <w:shd w:val="clear" w:color="auto" w:fill="FFFFFF"/>
                    <w:spacing w:before="0" w:beforeAutospacing="0" w:after="0" w:afterAutospacing="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建设单位应定期对危险废物贮存库进行维护，加强管理，保证其正常运行和使用。</w:t>
                  </w:r>
                </w:p>
              </w:tc>
              <w:tc>
                <w:tcPr>
                  <w:tcW w:w="472" w:type="pct"/>
                  <w:tcBorders>
                    <w:right w:val="nil"/>
                  </w:tcBorders>
                  <w:vAlign w:val="center"/>
                </w:tcPr>
                <w:p w14:paraId="572A47F0">
                  <w:pPr>
                    <w:pStyle w:val="31"/>
                    <w:shd w:val="clear" w:color="auto" w:fill="FFFFFF"/>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03CAF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left w:val="nil"/>
                  </w:tcBorders>
                  <w:vAlign w:val="center"/>
                </w:tcPr>
                <w:p w14:paraId="5A558B40">
                  <w:pPr>
                    <w:pStyle w:val="31"/>
                    <w:shd w:val="clear" w:color="auto" w:fill="FFFFFF"/>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2468" w:type="pct"/>
                  <w:vAlign w:val="center"/>
                </w:tcPr>
                <w:p w14:paraId="1ECBEA3F">
                  <w:pPr>
                    <w:pStyle w:val="31"/>
                    <w:shd w:val="clear" w:color="auto" w:fill="FFFFFF"/>
                    <w:spacing w:before="0" w:beforeAutospacing="0" w:after="0" w:afterAutospacing="0"/>
                    <w:ind w:firstLine="180" w:firstLineChars="1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第二十条 产生、收集、贮存、运输、利用、处置固体废物的单位和其他生产经营者，应当采取防扬散、防流失、防渗漏或者其他防止污染环境的措施，不得擅自倾倒、堆放、丢弃、遗撒固体废物。</w:t>
                  </w:r>
                </w:p>
                <w:p w14:paraId="0FE63E1E">
                  <w:pPr>
                    <w:pStyle w:val="31"/>
                    <w:shd w:val="clear" w:color="auto" w:fill="FFFFFF"/>
                    <w:spacing w:before="0" w:beforeAutospacing="0" w:after="0" w:afterAutospacing="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禁止任何单位或者个人向江河、湖泊、运河、渠道、水库及其最高水位线以下的滩地和岸坡以及法律法规规定的其他地点倾倒、堆放、贮存固体废物。</w:t>
                  </w:r>
                </w:p>
              </w:tc>
              <w:tc>
                <w:tcPr>
                  <w:tcW w:w="1547" w:type="pct"/>
                  <w:vAlign w:val="center"/>
                </w:tcPr>
                <w:p w14:paraId="0EE9C677">
                  <w:pPr>
                    <w:pStyle w:val="31"/>
                    <w:shd w:val="clear" w:color="auto" w:fill="FFFFFF"/>
                    <w:spacing w:before="0" w:beforeAutospacing="0" w:after="0" w:afterAutospacing="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危险废物贮存库已采用防渗膜进行了防渗处理，禁止随意倾倒、堆放、丢弃、遗撒危险废物。</w:t>
                  </w:r>
                </w:p>
              </w:tc>
              <w:tc>
                <w:tcPr>
                  <w:tcW w:w="472" w:type="pct"/>
                  <w:tcBorders>
                    <w:right w:val="nil"/>
                  </w:tcBorders>
                  <w:vAlign w:val="center"/>
                </w:tcPr>
                <w:p w14:paraId="396F743C">
                  <w:pPr>
                    <w:widowControl/>
                    <w:shd w:val="clear" w:color="auto" w:fill="FFFFFF"/>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符合</w:t>
                  </w:r>
                </w:p>
              </w:tc>
            </w:tr>
            <w:tr w14:paraId="628AA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left w:val="nil"/>
                  </w:tcBorders>
                  <w:vAlign w:val="center"/>
                </w:tcPr>
                <w:p w14:paraId="1BF3BB99">
                  <w:pPr>
                    <w:pStyle w:val="31"/>
                    <w:shd w:val="clear" w:color="auto" w:fill="FFFFFF"/>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2468" w:type="pct"/>
                  <w:vAlign w:val="center"/>
                </w:tcPr>
                <w:p w14:paraId="70709E71">
                  <w:pPr>
                    <w:pStyle w:val="31"/>
                    <w:shd w:val="clear" w:color="auto" w:fill="FFFFFF"/>
                    <w:spacing w:before="0" w:beforeAutospacing="0" w:after="0" w:afterAutospacing="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第二十一条  在生态保护红线区域、永久基本农田集中区域和其他需要特别保护的区域内，禁止建设工业固体废物、危险废物集中贮存、利用、处置的设施、场所和生活垃圾填埋场。</w:t>
                  </w:r>
                </w:p>
              </w:tc>
              <w:tc>
                <w:tcPr>
                  <w:tcW w:w="1547" w:type="pct"/>
                  <w:vAlign w:val="center"/>
                </w:tcPr>
                <w:p w14:paraId="2B7B484B">
                  <w:pPr>
                    <w:pStyle w:val="31"/>
                    <w:shd w:val="clear" w:color="auto" w:fill="FFFFFF"/>
                    <w:spacing w:before="0" w:beforeAutospacing="0" w:after="0" w:afterAutospacing="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项目危险废物贮存库选址不涉及生态保护红线、永久基本农田集中区域和其他需要特别保护的区域。</w:t>
                  </w:r>
                </w:p>
              </w:tc>
              <w:tc>
                <w:tcPr>
                  <w:tcW w:w="472" w:type="pct"/>
                  <w:tcBorders>
                    <w:right w:val="nil"/>
                  </w:tcBorders>
                  <w:vAlign w:val="center"/>
                </w:tcPr>
                <w:p w14:paraId="339126CF">
                  <w:pPr>
                    <w:widowControl/>
                    <w:shd w:val="clear" w:color="auto" w:fill="FFFFFF"/>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符合</w:t>
                  </w:r>
                </w:p>
              </w:tc>
            </w:tr>
            <w:tr w14:paraId="787B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left w:val="nil"/>
                  </w:tcBorders>
                  <w:vAlign w:val="center"/>
                </w:tcPr>
                <w:p w14:paraId="7CBE4E92">
                  <w:pPr>
                    <w:pStyle w:val="31"/>
                    <w:shd w:val="clear" w:color="auto" w:fill="FFFFFF"/>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2468" w:type="pct"/>
                  <w:vAlign w:val="center"/>
                </w:tcPr>
                <w:p w14:paraId="2BD92556">
                  <w:pPr>
                    <w:pStyle w:val="31"/>
                    <w:shd w:val="clear" w:color="auto" w:fill="FFFFFF"/>
                    <w:spacing w:before="0" w:beforeAutospacing="0" w:after="0" w:afterAutospacing="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第二十二条  转移固体废物出省、自治区、直辖市行政区域贮存、处置的，应当向固体废物移出地的省、自治区、直辖市人民政府生态环境主管部门提出申请。移出地的省、自治区、直辖市人民政府生态环境主管部门应当及时经接受地的省、自治区、直辖市人民政府生态环境主管部门同意后，在规定期限内批准转移该固体废物出省、自治区、直辖市行政区域。未经批准的，不得转移。</w:t>
                  </w:r>
                </w:p>
                <w:p w14:paraId="447A161B">
                  <w:pPr>
                    <w:pStyle w:val="31"/>
                    <w:shd w:val="clear" w:color="auto" w:fill="FFFFFF"/>
                    <w:spacing w:before="0" w:beforeAutospacing="0" w:after="0" w:afterAutospacing="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转移固体废物出省、自治区、直辖市行政区域利用的，应当报固体废物移出地的省、自治区、直辖市人民政府生态环境主管部门备案。移出地的省、自治区、直辖市人民政府生态环境主管部门应当将备案信息通报接收地的省、自治区、直辖市人民政府生态环境主管部门。</w:t>
                  </w:r>
                </w:p>
              </w:tc>
              <w:tc>
                <w:tcPr>
                  <w:tcW w:w="1547" w:type="pct"/>
                  <w:vAlign w:val="center"/>
                </w:tcPr>
                <w:p w14:paraId="1AAED6B0">
                  <w:pPr>
                    <w:pStyle w:val="31"/>
                    <w:shd w:val="clear" w:color="auto" w:fill="FFFFFF"/>
                    <w:spacing w:before="0" w:beforeAutospacing="0" w:after="0" w:afterAutospacing="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项目固体废弃物不涉及转移出省、自治区、直辖市行政区域</w:t>
                  </w:r>
                </w:p>
              </w:tc>
              <w:tc>
                <w:tcPr>
                  <w:tcW w:w="472" w:type="pct"/>
                  <w:tcBorders>
                    <w:right w:val="nil"/>
                  </w:tcBorders>
                  <w:vAlign w:val="center"/>
                </w:tcPr>
                <w:p w14:paraId="406EDF5A">
                  <w:pPr>
                    <w:widowControl/>
                    <w:shd w:val="clear" w:color="auto" w:fill="FFFFFF"/>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符合</w:t>
                  </w:r>
                </w:p>
              </w:tc>
            </w:tr>
            <w:tr w14:paraId="23C2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left w:val="nil"/>
                    <w:right w:val="nil"/>
                  </w:tcBorders>
                  <w:vAlign w:val="center"/>
                </w:tcPr>
                <w:p w14:paraId="2CB12AC4">
                  <w:pPr>
                    <w:pStyle w:val="31"/>
                    <w:shd w:val="clear" w:color="auto" w:fill="FFFFFF"/>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第三章 工业固体废物</w:t>
                  </w:r>
                </w:p>
              </w:tc>
            </w:tr>
            <w:tr w14:paraId="02738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left w:val="nil"/>
                  </w:tcBorders>
                  <w:vAlign w:val="center"/>
                </w:tcPr>
                <w:p w14:paraId="742E46BD">
                  <w:pPr>
                    <w:pStyle w:val="31"/>
                    <w:shd w:val="clear" w:color="auto" w:fill="FFFFFF"/>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w:t>
                  </w:r>
                </w:p>
              </w:tc>
              <w:tc>
                <w:tcPr>
                  <w:tcW w:w="2468" w:type="pct"/>
                  <w:vAlign w:val="center"/>
                </w:tcPr>
                <w:p w14:paraId="2E5CB2A1">
                  <w:pPr>
                    <w:pStyle w:val="31"/>
                    <w:shd w:val="clear" w:color="auto" w:fill="FFFFFF"/>
                    <w:spacing w:before="0" w:beforeAutospacing="0" w:after="0" w:afterAutospacing="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第三十六条 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 禁止向生活垃圾收集设施中投放工业固体废物。</w:t>
                  </w:r>
                </w:p>
              </w:tc>
              <w:tc>
                <w:tcPr>
                  <w:tcW w:w="1547" w:type="pct"/>
                  <w:vAlign w:val="center"/>
                </w:tcPr>
                <w:p w14:paraId="353D889B">
                  <w:pPr>
                    <w:pStyle w:val="31"/>
                    <w:shd w:val="clear" w:color="auto" w:fill="FFFFFF"/>
                    <w:spacing w:before="0" w:beforeAutospacing="0" w:after="0" w:afterAutospacing="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项目固体废弃物建立工业固体废物管理台账，如实记录产生工业固体废物的种类、数量、流向、贮存、利用、处置等信息。禁止向生活垃圾桶内丢弃工业固废。</w:t>
                  </w:r>
                </w:p>
              </w:tc>
              <w:tc>
                <w:tcPr>
                  <w:tcW w:w="472" w:type="pct"/>
                  <w:tcBorders>
                    <w:right w:val="nil"/>
                  </w:tcBorders>
                  <w:vAlign w:val="center"/>
                </w:tcPr>
                <w:p w14:paraId="14AE6C0A">
                  <w:pPr>
                    <w:pStyle w:val="31"/>
                    <w:shd w:val="clear" w:color="auto" w:fill="FFFFFF"/>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14:paraId="1D7D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left w:val="nil"/>
                  </w:tcBorders>
                  <w:vAlign w:val="center"/>
                </w:tcPr>
                <w:p w14:paraId="25B32638">
                  <w:pPr>
                    <w:pStyle w:val="31"/>
                    <w:shd w:val="clear" w:color="auto" w:fill="FFFFFF"/>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2468" w:type="pct"/>
                  <w:vAlign w:val="center"/>
                </w:tcPr>
                <w:p w14:paraId="64CDFCBF">
                  <w:pPr>
                    <w:pStyle w:val="31"/>
                    <w:shd w:val="clear" w:color="auto" w:fill="FFFFFF"/>
                    <w:spacing w:before="0" w:beforeAutospacing="0" w:after="0" w:afterAutospacing="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第三十七条 产生工业固体废物的单位委托他人运输、利用、处置工业固体废物的，应当对受托方的主体资格和技术能力进行核实，依法签订书面合同，在合同中约定污染防治要求。受托方运输、利用、处置工业固体废物，应当依照有关法律法规的规定和合同约定履行污染防治要求，并将运输、利用、处置情况告知产生工业固体废物的单位。</w:t>
                  </w:r>
                </w:p>
              </w:tc>
              <w:tc>
                <w:tcPr>
                  <w:tcW w:w="1547" w:type="pct"/>
                  <w:vAlign w:val="center"/>
                </w:tcPr>
                <w:p w14:paraId="4D662A64">
                  <w:pPr>
                    <w:pStyle w:val="31"/>
                    <w:shd w:val="clear" w:color="auto" w:fill="FFFFFF"/>
                    <w:spacing w:before="0" w:beforeAutospacing="0" w:after="0" w:afterAutospacing="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项目在运营过程中危险废物为废机油，用专门的储油桶收集，暂存于危险废物贮存库，返回对设备进行润滑使用，在厂区内能自行利用。</w:t>
                  </w:r>
                </w:p>
              </w:tc>
              <w:tc>
                <w:tcPr>
                  <w:tcW w:w="472" w:type="pct"/>
                  <w:tcBorders>
                    <w:right w:val="nil"/>
                  </w:tcBorders>
                  <w:vAlign w:val="center"/>
                </w:tcPr>
                <w:p w14:paraId="63751398">
                  <w:pPr>
                    <w:widowControl/>
                    <w:shd w:val="clear" w:color="auto" w:fill="FFFFFF"/>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符合</w:t>
                  </w:r>
                </w:p>
              </w:tc>
            </w:tr>
            <w:tr w14:paraId="7290F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left w:val="nil"/>
                  </w:tcBorders>
                  <w:vAlign w:val="center"/>
                </w:tcPr>
                <w:p w14:paraId="77EA0A4D">
                  <w:pPr>
                    <w:pStyle w:val="31"/>
                    <w:shd w:val="clear" w:color="auto" w:fill="FFFFFF"/>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2468" w:type="pct"/>
                  <w:vAlign w:val="center"/>
                </w:tcPr>
                <w:p w14:paraId="689A3012">
                  <w:pPr>
                    <w:pStyle w:val="31"/>
                    <w:shd w:val="clear" w:color="auto" w:fill="FFFFFF"/>
                    <w:spacing w:before="0" w:beforeAutospacing="0" w:after="0" w:afterAutospacing="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第三十九条  产生工业固体废物的单位应当取得排污许可证。排污许可的具体办法和实施步骤由国务院规定。产生工业固体废物的单位应当向所在地生态环境主管部门提供工业固体废物的种类、数量、流向、贮存、利用、处置等有关资料，以及减少工业固体废物产生、促进综合利用的具体措施，并执行排污许可管理制度的相关规定。</w:t>
                  </w:r>
                </w:p>
              </w:tc>
              <w:tc>
                <w:tcPr>
                  <w:tcW w:w="1547" w:type="pct"/>
                  <w:vAlign w:val="center"/>
                </w:tcPr>
                <w:p w14:paraId="7E33055E">
                  <w:pPr>
                    <w:pStyle w:val="31"/>
                    <w:shd w:val="clear" w:color="auto" w:fill="FFFFFF"/>
                    <w:spacing w:before="0" w:beforeAutospacing="0" w:after="0" w:afterAutospacing="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项目建设完成后须对排污许可证进行变更，并向辖区生态环境部门提供工业固体废物的种类、数量、流向、贮存、利用、处置等有关资料。</w:t>
                  </w:r>
                </w:p>
              </w:tc>
              <w:tc>
                <w:tcPr>
                  <w:tcW w:w="472" w:type="pct"/>
                  <w:tcBorders>
                    <w:right w:val="nil"/>
                  </w:tcBorders>
                  <w:vAlign w:val="center"/>
                </w:tcPr>
                <w:p w14:paraId="0661D765">
                  <w:pPr>
                    <w:widowControl/>
                    <w:shd w:val="clear" w:color="auto" w:fill="FFFFFF"/>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符合</w:t>
                  </w:r>
                </w:p>
              </w:tc>
            </w:tr>
            <w:tr w14:paraId="7811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left w:val="nil"/>
                    <w:right w:val="nil"/>
                  </w:tcBorders>
                  <w:vAlign w:val="center"/>
                </w:tcPr>
                <w:p w14:paraId="3E164992">
                  <w:pPr>
                    <w:pStyle w:val="31"/>
                    <w:shd w:val="clear" w:color="auto" w:fill="FFFFFF"/>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第六章  危险废物</w:t>
                  </w:r>
                </w:p>
              </w:tc>
            </w:tr>
            <w:tr w14:paraId="495A4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left w:val="nil"/>
                  </w:tcBorders>
                  <w:vAlign w:val="center"/>
                </w:tcPr>
                <w:p w14:paraId="456293BA">
                  <w:pPr>
                    <w:pStyle w:val="31"/>
                    <w:shd w:val="clear" w:color="auto" w:fill="FFFFFF"/>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w:t>
                  </w:r>
                </w:p>
              </w:tc>
              <w:tc>
                <w:tcPr>
                  <w:tcW w:w="2468" w:type="pct"/>
                  <w:vAlign w:val="center"/>
                </w:tcPr>
                <w:p w14:paraId="71CA12EB">
                  <w:pPr>
                    <w:pStyle w:val="31"/>
                    <w:shd w:val="clear" w:color="auto" w:fill="FFFFFF"/>
                    <w:spacing w:before="0" w:beforeAutospacing="0" w:after="0" w:afterAutospacing="0"/>
                    <w:ind w:firstLine="180" w:firstLineChars="1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第七十七条 对危险废物的容器和包装物以及收集、贮存、运输、利用、处置危险废物的设施、场所，应当按照规定设置危险废物识别标志。</w:t>
                  </w:r>
                </w:p>
              </w:tc>
              <w:tc>
                <w:tcPr>
                  <w:tcW w:w="1547" w:type="pct"/>
                  <w:vAlign w:val="center"/>
                </w:tcPr>
                <w:p w14:paraId="7044C518">
                  <w:pPr>
                    <w:pStyle w:val="31"/>
                    <w:shd w:val="clear" w:color="auto" w:fill="FFFFFF"/>
                    <w:spacing w:before="0" w:beforeAutospacing="0" w:after="0" w:afterAutospacing="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危险废物贮存库按规定设置标识标牌。</w:t>
                  </w:r>
                </w:p>
              </w:tc>
              <w:tc>
                <w:tcPr>
                  <w:tcW w:w="472" w:type="pct"/>
                  <w:tcBorders>
                    <w:right w:val="nil"/>
                  </w:tcBorders>
                  <w:vAlign w:val="center"/>
                </w:tcPr>
                <w:p w14:paraId="194A1026">
                  <w:pPr>
                    <w:widowControl/>
                    <w:shd w:val="clear" w:color="auto" w:fill="FFFFFF"/>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符合</w:t>
                  </w:r>
                </w:p>
              </w:tc>
            </w:tr>
            <w:tr w14:paraId="1E55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left w:val="nil"/>
                  </w:tcBorders>
                  <w:vAlign w:val="center"/>
                </w:tcPr>
                <w:p w14:paraId="267B48A8">
                  <w:pPr>
                    <w:pStyle w:val="31"/>
                    <w:shd w:val="clear" w:color="auto" w:fill="FFFFFF"/>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2468" w:type="pct"/>
                  <w:vAlign w:val="center"/>
                </w:tcPr>
                <w:p w14:paraId="629F1159">
                  <w:pPr>
                    <w:pStyle w:val="31"/>
                    <w:shd w:val="clear" w:color="auto" w:fill="FFFFFF"/>
                    <w:spacing w:before="0" w:beforeAutospacing="0" w:after="0" w:afterAutospacing="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第七十八条 产生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w:t>
                  </w:r>
                </w:p>
                <w:p w14:paraId="0B6965A4">
                  <w:pPr>
                    <w:pStyle w:val="31"/>
                    <w:shd w:val="clear" w:color="auto" w:fill="FFFFFF"/>
                    <w:spacing w:before="0" w:beforeAutospacing="0" w:after="0" w:afterAutospacing="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前款所称危险废物管理计划应当包括减少危险废物产生量和降低危险废物危害性的措施以及危险废物贮存、利用、处置措施。危险废物管理计划应当报产生危险废物的单位所在地生态环境主管部门备案。</w:t>
                  </w:r>
                </w:p>
                <w:p w14:paraId="656D040A">
                  <w:pPr>
                    <w:pStyle w:val="31"/>
                    <w:shd w:val="clear" w:color="auto" w:fill="FFFFFF"/>
                    <w:spacing w:before="0" w:beforeAutospacing="0" w:after="0" w:afterAutospacing="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产生危险废物的单位已经取得排污许可证的，执行排污许可管理制度的规定。</w:t>
                  </w:r>
                </w:p>
              </w:tc>
              <w:tc>
                <w:tcPr>
                  <w:tcW w:w="1547" w:type="pct"/>
                  <w:vAlign w:val="center"/>
                </w:tcPr>
                <w:p w14:paraId="2240EE11">
                  <w:pPr>
                    <w:pStyle w:val="31"/>
                    <w:shd w:val="clear" w:color="auto" w:fill="FFFFFF"/>
                    <w:spacing w:before="0" w:beforeAutospacing="0" w:after="0" w:afterAutospacing="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危险废物贮存库设置有危废管理台账，如实记录有关信息。</w:t>
                  </w:r>
                </w:p>
              </w:tc>
              <w:tc>
                <w:tcPr>
                  <w:tcW w:w="472" w:type="pct"/>
                  <w:tcBorders>
                    <w:right w:val="nil"/>
                  </w:tcBorders>
                  <w:vAlign w:val="center"/>
                </w:tcPr>
                <w:p w14:paraId="2FF9D460">
                  <w:pPr>
                    <w:widowControl/>
                    <w:shd w:val="clear" w:color="auto" w:fill="FFFFFF"/>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符合</w:t>
                  </w:r>
                </w:p>
              </w:tc>
            </w:tr>
            <w:tr w14:paraId="51CC3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left w:val="nil"/>
                  </w:tcBorders>
                  <w:vAlign w:val="center"/>
                </w:tcPr>
                <w:p w14:paraId="435F0F2B">
                  <w:pPr>
                    <w:pStyle w:val="31"/>
                    <w:shd w:val="clear" w:color="auto" w:fill="FFFFFF"/>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13</w:t>
                  </w:r>
                </w:p>
              </w:tc>
              <w:tc>
                <w:tcPr>
                  <w:tcW w:w="2468" w:type="pct"/>
                  <w:vAlign w:val="center"/>
                </w:tcPr>
                <w:p w14:paraId="30D5B2FF">
                  <w:pPr>
                    <w:pStyle w:val="31"/>
                    <w:shd w:val="clear" w:color="auto" w:fill="FFFFFF"/>
                    <w:spacing w:before="0" w:beforeAutospacing="0" w:after="0" w:afterAutospacing="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第七十九条  产生危险废物的单位，应当按照国家有关规定和环境保护标准要求贮存、利用、处置危险废物，不得擅自倾倒、堆放。</w:t>
                  </w:r>
                </w:p>
              </w:tc>
              <w:tc>
                <w:tcPr>
                  <w:tcW w:w="1547" w:type="pct"/>
                  <w:vAlign w:val="center"/>
                </w:tcPr>
                <w:p w14:paraId="1140BA54">
                  <w:pPr>
                    <w:pStyle w:val="31"/>
                    <w:shd w:val="clear" w:color="auto" w:fill="FFFFFF"/>
                    <w:spacing w:before="0" w:beforeAutospacing="0" w:after="0" w:afterAutospacing="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项目在运营过程中危险废物为废机油，用专门的储油桶收集，暂存于危险废物贮存库，返回对设备进行润滑使用，在厂区内能自行利用，禁止擅自倾倒、堆放。</w:t>
                  </w:r>
                </w:p>
              </w:tc>
              <w:tc>
                <w:tcPr>
                  <w:tcW w:w="472" w:type="pct"/>
                  <w:tcBorders>
                    <w:right w:val="nil"/>
                  </w:tcBorders>
                  <w:vAlign w:val="center"/>
                </w:tcPr>
                <w:p w14:paraId="7B38EC3F">
                  <w:pPr>
                    <w:widowControl/>
                    <w:shd w:val="clear" w:color="auto" w:fill="FFFFFF"/>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符合</w:t>
                  </w:r>
                </w:p>
              </w:tc>
            </w:tr>
            <w:tr w14:paraId="458C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left w:val="nil"/>
                  </w:tcBorders>
                  <w:vAlign w:val="center"/>
                </w:tcPr>
                <w:p w14:paraId="22158FA8">
                  <w:pPr>
                    <w:pStyle w:val="31"/>
                    <w:shd w:val="clear" w:color="auto" w:fill="FFFFFF"/>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2468" w:type="pct"/>
                  <w:vAlign w:val="center"/>
                </w:tcPr>
                <w:p w14:paraId="3034D36F">
                  <w:pPr>
                    <w:pStyle w:val="31"/>
                    <w:shd w:val="clear" w:color="auto" w:fill="FFFFFF"/>
                    <w:spacing w:before="0" w:beforeAutospacing="0" w:after="0" w:afterAutospacing="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第八十一条 收集、贮存危险废物，应当按照危险废物特性分类进行。禁止混合收集、贮存、运输、处置性质不相容而未经安全性处置的危险废物。</w:t>
                  </w:r>
                </w:p>
                <w:p w14:paraId="75A01406">
                  <w:pPr>
                    <w:pStyle w:val="31"/>
                    <w:shd w:val="clear" w:color="auto" w:fill="FFFFFF"/>
                    <w:spacing w:before="0" w:beforeAutospacing="0" w:after="0" w:afterAutospacing="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贮存危险废物应当采取符合国家环境保护标准的防护措施。禁止将危险废物混入非危险废物中贮存。</w:t>
                  </w:r>
                </w:p>
                <w:p w14:paraId="192D2E0E">
                  <w:pPr>
                    <w:pStyle w:val="31"/>
                    <w:shd w:val="clear" w:color="auto" w:fill="FFFFFF"/>
                    <w:spacing w:before="0" w:beforeAutospacing="0" w:after="0" w:afterAutospacing="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从事收集、贮存、利用、处置危险废物经营活动的单位，贮存危险废物不得超过一年；确需延长期限的，应当报经颁发许可证的生态环境主管部门批准；法律、行政法规另有规定的除外。</w:t>
                  </w:r>
                </w:p>
              </w:tc>
              <w:tc>
                <w:tcPr>
                  <w:tcW w:w="1547" w:type="pct"/>
                  <w:vAlign w:val="center"/>
                </w:tcPr>
                <w:p w14:paraId="754C9CEF">
                  <w:pPr>
                    <w:pStyle w:val="31"/>
                    <w:shd w:val="clear" w:color="auto" w:fill="FFFFFF"/>
                    <w:spacing w:before="0" w:beforeAutospacing="0" w:after="0" w:afterAutospacing="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项目在运营过程中危险废物为废机油，用专门的储油桶收集，暂存于危险废物贮存库，返回对设备进行润滑使用，在厂区内能自行利用。危险废物贮存禁止超过一年。</w:t>
                  </w:r>
                </w:p>
              </w:tc>
              <w:tc>
                <w:tcPr>
                  <w:tcW w:w="472" w:type="pct"/>
                  <w:tcBorders>
                    <w:right w:val="nil"/>
                  </w:tcBorders>
                  <w:vAlign w:val="center"/>
                </w:tcPr>
                <w:p w14:paraId="172D7277">
                  <w:pPr>
                    <w:widowControl/>
                    <w:shd w:val="clear" w:color="auto" w:fill="FFFFFF"/>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符合</w:t>
                  </w:r>
                </w:p>
              </w:tc>
            </w:tr>
            <w:tr w14:paraId="5E881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left w:val="nil"/>
                  </w:tcBorders>
                  <w:vAlign w:val="center"/>
                </w:tcPr>
                <w:p w14:paraId="4C504F87">
                  <w:pPr>
                    <w:pStyle w:val="31"/>
                    <w:shd w:val="clear" w:color="auto" w:fill="FFFFFF"/>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w:t>
                  </w:r>
                </w:p>
              </w:tc>
              <w:tc>
                <w:tcPr>
                  <w:tcW w:w="2468" w:type="pct"/>
                  <w:vAlign w:val="center"/>
                </w:tcPr>
                <w:p w14:paraId="4007CBEE">
                  <w:pPr>
                    <w:pStyle w:val="31"/>
                    <w:shd w:val="clear" w:color="auto" w:fill="FFFFFF"/>
                    <w:spacing w:before="0" w:beforeAutospacing="0" w:after="0" w:afterAutospacing="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第八十二条  转移危险废物的，应当按照国家有关规定填写、运行危险废物电子或者纸质转移联单。</w:t>
                  </w:r>
                </w:p>
                <w:p w14:paraId="062733CB">
                  <w:pPr>
                    <w:pStyle w:val="31"/>
                    <w:shd w:val="clear" w:color="auto" w:fill="FFFFFF"/>
                    <w:spacing w:before="0" w:beforeAutospacing="0" w:after="0" w:afterAutospacing="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跨省、自治区、直辖市转移危险废物的，应当向危险废物移出地省、自治区、直辖市人民政府生态环境主管部门申请。移出地省、自治区、直辖市人民政府生态环境主管部门应当及时商经接受地省、自治区、直辖市人民政府生态环境主管部门同意后，在规定期限内批准转移该危险废物，并将批准信息通报相关省、自治区、直辖市人民政府生态环境主管部门和交通运输主管部门。未经批准的，不得转移。</w:t>
                  </w:r>
                </w:p>
                <w:p w14:paraId="28FAAD6B">
                  <w:pPr>
                    <w:pStyle w:val="31"/>
                    <w:shd w:val="clear" w:color="auto" w:fill="FFFFFF"/>
                    <w:spacing w:before="0" w:beforeAutospacing="0" w:after="0" w:afterAutospacing="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危险废物转移管理应当全程管控、提高效率，具体办法由国务院生态环境主管部门会同国务院交通运输主管部门和公安部门制定。</w:t>
                  </w:r>
                </w:p>
              </w:tc>
              <w:tc>
                <w:tcPr>
                  <w:tcW w:w="1547" w:type="pct"/>
                  <w:vAlign w:val="center"/>
                </w:tcPr>
                <w:p w14:paraId="33DB9DF7">
                  <w:pPr>
                    <w:pStyle w:val="31"/>
                    <w:shd w:val="clear" w:color="auto" w:fill="FFFFFF"/>
                    <w:spacing w:before="0" w:beforeAutospacing="0" w:after="0" w:afterAutospacing="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项目危险废物转移按照国家相关规定设置危险废物转移联单</w:t>
                  </w:r>
                </w:p>
              </w:tc>
              <w:tc>
                <w:tcPr>
                  <w:tcW w:w="472" w:type="pct"/>
                  <w:tcBorders>
                    <w:right w:val="nil"/>
                  </w:tcBorders>
                  <w:vAlign w:val="center"/>
                </w:tcPr>
                <w:p w14:paraId="0B47DA23">
                  <w:pPr>
                    <w:widowControl/>
                    <w:shd w:val="clear" w:color="auto" w:fill="FFFFFF"/>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符合</w:t>
                  </w:r>
                </w:p>
              </w:tc>
            </w:tr>
            <w:tr w14:paraId="0397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2" w:type="pct"/>
                  <w:tcBorders>
                    <w:left w:val="nil"/>
                  </w:tcBorders>
                  <w:vAlign w:val="center"/>
                </w:tcPr>
                <w:p w14:paraId="25C7B5A9">
                  <w:pPr>
                    <w:pStyle w:val="31"/>
                    <w:shd w:val="clear" w:color="auto" w:fill="FFFFFF"/>
                    <w:spacing w:before="0" w:beforeAutospacing="0" w:after="0" w:afterAutospacing="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w:t>
                  </w:r>
                </w:p>
              </w:tc>
              <w:tc>
                <w:tcPr>
                  <w:tcW w:w="2468" w:type="pct"/>
                  <w:vAlign w:val="center"/>
                </w:tcPr>
                <w:p w14:paraId="7990CACA">
                  <w:pPr>
                    <w:pStyle w:val="31"/>
                    <w:shd w:val="clear" w:color="auto" w:fill="FFFFFF"/>
                    <w:spacing w:before="0" w:beforeAutospacing="0" w:after="0" w:afterAutospacing="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第八十五条  产生、收集、贮存、运输、利用、处置危险废物的单位，应当依法制定意外事故的防范措施和应急预案，并向所在地生态环境主管部门和其他负有固体废物污染环境防治监督管理职责的部门备案；生态环境主管部门和其他负有固体废物污染环境防治监督管理职责的部门应当进行检查。</w:t>
                  </w:r>
                </w:p>
              </w:tc>
              <w:tc>
                <w:tcPr>
                  <w:tcW w:w="1547" w:type="pct"/>
                  <w:vAlign w:val="center"/>
                </w:tcPr>
                <w:p w14:paraId="42C0A2A4">
                  <w:pPr>
                    <w:pStyle w:val="31"/>
                    <w:shd w:val="clear" w:color="auto" w:fill="FFFFFF"/>
                    <w:spacing w:before="0" w:beforeAutospacing="0" w:after="0" w:afterAutospacing="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项目建设完成须对全厂突发环境事件应急预案进行修编，并到玉溪市生态环境局通海分局进行备案。</w:t>
                  </w:r>
                </w:p>
              </w:tc>
              <w:tc>
                <w:tcPr>
                  <w:tcW w:w="472" w:type="pct"/>
                  <w:tcBorders>
                    <w:right w:val="nil"/>
                  </w:tcBorders>
                  <w:vAlign w:val="center"/>
                </w:tcPr>
                <w:p w14:paraId="732C3FC6">
                  <w:pPr>
                    <w:widowControl/>
                    <w:shd w:val="clear" w:color="auto" w:fill="FFFFFF"/>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符合</w:t>
                  </w:r>
                </w:p>
              </w:tc>
            </w:tr>
          </w:tbl>
          <w:p w14:paraId="64196E09">
            <w:pPr>
              <w:adjustRightInd w:val="0"/>
              <w:snapToGrid w:val="0"/>
              <w:spacing w:line="360" w:lineRule="auto"/>
              <w:ind w:firstLine="480" w:firstLineChars="200"/>
              <w:rPr>
                <w:rFonts w:hint="default" w:ascii="Times New Roman" w:hAnsi="Times New Roman" w:cs="Times New Roman"/>
                <w:b/>
                <w:bCs/>
                <w:color w:val="auto"/>
                <w:sz w:val="24"/>
                <w:szCs w:val="22"/>
              </w:rPr>
            </w:pPr>
            <w:r>
              <w:rPr>
                <w:rFonts w:hint="default" w:ascii="Times New Roman" w:hAnsi="Times New Roman" w:cs="Times New Roman"/>
                <w:color w:val="auto"/>
                <w:sz w:val="24"/>
              </w:rPr>
              <w:t>根据以上分析，本项目符合《中华人民共和国固体废物污染环境防治法》的相关要求。</w:t>
            </w:r>
          </w:p>
          <w:p w14:paraId="2843892E">
            <w:pPr>
              <w:pStyle w:val="5"/>
              <w:numPr>
                <w:ilvl w:val="0"/>
                <w:numId w:val="2"/>
              </w:numPr>
              <w:adjustRightInd w:val="0"/>
              <w:snapToGrid w:val="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与《危险废物转移管理办法》的符合性分析</w:t>
            </w:r>
          </w:p>
          <w:p w14:paraId="679BBA04">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《危险废物转移管理办法》已于2021年9月18日由生态环境部部务会议审议通过，并经公安部和交通运输部同意，2021年11月30日，自2022年1月1日起施行。</w:t>
            </w:r>
          </w:p>
          <w:p w14:paraId="461D2D49">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本项目涉及的危险废物为废机油、废弃含油抹布和劳保用品，项目与其符合性分析见下表：</w:t>
            </w:r>
          </w:p>
          <w:p w14:paraId="0D9BC5CB">
            <w:pPr>
              <w:adjustRightInd w:val="0"/>
              <w:snapToGrid w:val="0"/>
              <w:spacing w:line="360" w:lineRule="auto"/>
              <w:jc w:val="center"/>
              <w:rPr>
                <w:rFonts w:hint="default" w:ascii="Times New Roman" w:hAnsi="Times New Roman" w:eastAsia="黑体" w:cs="Times New Roman"/>
                <w:bCs/>
                <w:color w:val="auto"/>
                <w:szCs w:val="21"/>
                <w:lang w:val="en-US" w:eastAsia="zh-CN"/>
              </w:rPr>
            </w:pPr>
            <w:r>
              <w:rPr>
                <w:rFonts w:hint="default" w:ascii="Times New Roman" w:hAnsi="Times New Roman" w:eastAsia="黑体" w:cs="Times New Roman"/>
                <w:bCs/>
                <w:color w:val="auto"/>
                <w:szCs w:val="21"/>
              </w:rPr>
              <w:t>表</w:t>
            </w:r>
            <w:r>
              <w:rPr>
                <w:rFonts w:hint="default" w:ascii="Times New Roman" w:hAnsi="Times New Roman" w:eastAsia="黑体" w:cs="Times New Roman"/>
                <w:bCs/>
                <w:color w:val="auto"/>
                <w:szCs w:val="21"/>
                <w:lang w:val="en-US" w:eastAsia="zh-CN"/>
              </w:rPr>
              <w:t>1-14</w:t>
            </w:r>
            <w:r>
              <w:rPr>
                <w:rFonts w:hint="default" w:ascii="Times New Roman" w:hAnsi="Times New Roman" w:eastAsia="黑体" w:cs="Times New Roman"/>
                <w:bCs/>
                <w:color w:val="auto"/>
                <w:szCs w:val="21"/>
              </w:rPr>
              <w:t xml:space="preserve">   与《危险废物转移管理办法》</w:t>
            </w:r>
            <w:r>
              <w:rPr>
                <w:rFonts w:hint="default" w:ascii="Times New Roman" w:hAnsi="Times New Roman" w:eastAsia="黑体" w:cs="Times New Roman"/>
                <w:bCs/>
                <w:color w:val="auto"/>
                <w:szCs w:val="21"/>
                <w:lang w:val="en-US" w:eastAsia="zh-CN"/>
              </w:rPr>
              <w:t>符合性分析一览表</w:t>
            </w:r>
          </w:p>
          <w:tbl>
            <w:tblPr>
              <w:tblStyle w:val="35"/>
              <w:tblW w:w="50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73"/>
              <w:gridCol w:w="2643"/>
              <w:gridCol w:w="712"/>
            </w:tblGrid>
            <w:tr w14:paraId="2A01ED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95" w:type="dxa"/>
                  <w:tcBorders>
                    <w:tl2br w:val="nil"/>
                    <w:tr2bl w:val="nil"/>
                  </w:tcBorders>
                  <w:vAlign w:val="center"/>
                </w:tcPr>
                <w:p w14:paraId="111DC36C">
                  <w:pPr>
                    <w:pStyle w:val="105"/>
                    <w:topLinePunct/>
                    <w:adjustRightInd w:val="0"/>
                    <w:snapToGrid w:val="0"/>
                    <w:spacing w:line="240" w:lineRule="auto"/>
                    <w:ind w:firstLine="0" w:firstLineChars="0"/>
                    <w:jc w:val="center"/>
                    <w:rPr>
                      <w:rFonts w:hint="default" w:ascii="Times New Roman" w:hAnsi="Times New Roman" w:cs="Times New Roman"/>
                      <w:caps/>
                      <w:color w:val="auto"/>
                      <w:sz w:val="18"/>
                      <w:szCs w:val="18"/>
                    </w:rPr>
                  </w:pPr>
                  <w:r>
                    <w:rPr>
                      <w:rFonts w:hint="default" w:ascii="Times New Roman" w:hAnsi="Times New Roman" w:cs="Times New Roman"/>
                      <w:color w:val="auto"/>
                      <w:sz w:val="18"/>
                      <w:szCs w:val="18"/>
                    </w:rPr>
                    <w:t>规范要求</w:t>
                  </w:r>
                </w:p>
              </w:tc>
              <w:tc>
                <w:tcPr>
                  <w:tcW w:w="2657" w:type="dxa"/>
                  <w:tcBorders>
                    <w:tl2br w:val="nil"/>
                    <w:tr2bl w:val="nil"/>
                  </w:tcBorders>
                  <w:vAlign w:val="center"/>
                </w:tcPr>
                <w:p w14:paraId="3F183AB7">
                  <w:pPr>
                    <w:pStyle w:val="105"/>
                    <w:topLinePunct/>
                    <w:adjustRightInd w:val="0"/>
                    <w:snapToGrid w:val="0"/>
                    <w:spacing w:line="240" w:lineRule="auto"/>
                    <w:ind w:firstLine="0" w:firstLineChars="0"/>
                    <w:jc w:val="center"/>
                    <w:rPr>
                      <w:rFonts w:hint="default" w:ascii="Times New Roman" w:hAnsi="Times New Roman" w:cs="Times New Roman"/>
                      <w:caps/>
                      <w:color w:val="auto"/>
                      <w:sz w:val="18"/>
                      <w:szCs w:val="18"/>
                    </w:rPr>
                  </w:pPr>
                  <w:r>
                    <w:rPr>
                      <w:rFonts w:hint="default" w:ascii="Times New Roman" w:hAnsi="Times New Roman" w:cs="Times New Roman"/>
                      <w:color w:val="auto"/>
                      <w:sz w:val="18"/>
                      <w:szCs w:val="18"/>
                    </w:rPr>
                    <w:t>项目建设情况</w:t>
                  </w:r>
                </w:p>
              </w:tc>
              <w:tc>
                <w:tcPr>
                  <w:tcW w:w="715" w:type="dxa"/>
                  <w:tcBorders>
                    <w:tl2br w:val="nil"/>
                    <w:tr2bl w:val="nil"/>
                  </w:tcBorders>
                  <w:vAlign w:val="center"/>
                </w:tcPr>
                <w:p w14:paraId="522CD18A">
                  <w:pPr>
                    <w:pStyle w:val="105"/>
                    <w:topLinePunct/>
                    <w:adjustRightInd w:val="0"/>
                    <w:snapToGrid w:val="0"/>
                    <w:spacing w:line="240" w:lineRule="auto"/>
                    <w:ind w:firstLine="0" w:firstLineChars="0"/>
                    <w:jc w:val="center"/>
                    <w:rPr>
                      <w:rFonts w:hint="default" w:ascii="Times New Roman" w:hAnsi="Times New Roman" w:cs="Times New Roman"/>
                      <w:caps/>
                      <w:color w:val="auto"/>
                      <w:sz w:val="18"/>
                      <w:szCs w:val="18"/>
                    </w:rPr>
                  </w:pPr>
                  <w:r>
                    <w:rPr>
                      <w:rFonts w:hint="default" w:ascii="Times New Roman" w:hAnsi="Times New Roman" w:cs="Times New Roman"/>
                      <w:color w:val="auto"/>
                      <w:sz w:val="18"/>
                      <w:szCs w:val="18"/>
                    </w:rPr>
                    <w:t>符合性</w:t>
                  </w:r>
                </w:p>
              </w:tc>
            </w:tr>
            <w:tr w14:paraId="3B5EFC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7" w:type="dxa"/>
                  <w:gridSpan w:val="3"/>
                  <w:tcBorders>
                    <w:tl2br w:val="nil"/>
                    <w:tr2bl w:val="nil"/>
                  </w:tcBorders>
                  <w:vAlign w:val="center"/>
                </w:tcPr>
                <w:p w14:paraId="32C38873">
                  <w:pPr>
                    <w:pStyle w:val="105"/>
                    <w:topLinePunct/>
                    <w:adjustRightInd w:val="0"/>
                    <w:snapToGrid w:val="0"/>
                    <w:spacing w:line="240" w:lineRule="auto"/>
                    <w:ind w:firstLine="0" w:firstLineChars="0"/>
                    <w:jc w:val="center"/>
                    <w:rPr>
                      <w:rFonts w:hint="default" w:ascii="Times New Roman" w:hAnsi="Times New Roman" w:cs="Times New Roman"/>
                      <w:b/>
                      <w:bCs/>
                      <w:caps/>
                      <w:color w:val="auto"/>
                      <w:sz w:val="18"/>
                      <w:szCs w:val="18"/>
                    </w:rPr>
                  </w:pPr>
                  <w:r>
                    <w:rPr>
                      <w:rFonts w:hint="default" w:ascii="Times New Roman" w:hAnsi="Times New Roman" w:cs="Times New Roman"/>
                      <w:b/>
                      <w:bCs/>
                      <w:color w:val="auto"/>
                      <w:sz w:val="18"/>
                      <w:szCs w:val="18"/>
                    </w:rPr>
                    <w:t>总则</w:t>
                  </w:r>
                </w:p>
              </w:tc>
            </w:tr>
            <w:tr w14:paraId="496747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95" w:type="dxa"/>
                  <w:tcBorders>
                    <w:tl2br w:val="nil"/>
                    <w:tr2bl w:val="nil"/>
                  </w:tcBorders>
                  <w:vAlign w:val="center"/>
                </w:tcPr>
                <w:p w14:paraId="25C84046">
                  <w:pPr>
                    <w:pStyle w:val="31"/>
                    <w:shd w:val="clear" w:color="auto" w:fill="FFFFFF"/>
                    <w:spacing w:before="0" w:beforeAutospacing="0" w:after="0" w:afterAutospacing="0"/>
                    <w:ind w:firstLine="360" w:firstLineChars="200"/>
                    <w:rPr>
                      <w:rFonts w:hint="default" w:ascii="Times New Roman" w:hAnsi="Times New Roman" w:cs="Times New Roman"/>
                      <w:bCs/>
                      <w:caps/>
                      <w:color w:val="auto"/>
                      <w:sz w:val="18"/>
                      <w:szCs w:val="18"/>
                    </w:rPr>
                  </w:pPr>
                  <w:r>
                    <w:rPr>
                      <w:rFonts w:hint="default" w:ascii="Times New Roman" w:hAnsi="Times New Roman" w:cs="Times New Roman"/>
                      <w:bCs/>
                      <w:color w:val="auto"/>
                      <w:sz w:val="18"/>
                      <w:szCs w:val="18"/>
                      <w:lang w:val="en"/>
                    </w:rPr>
                    <w:t>危险废物转移应当遵循就近原则。跨省、自治区、直辖市转移（以下简称跨省转移）处置危险废物的，应当以转移至相邻或者开展区域合作的省、自治区、直辖市的危险废物处置设施，以及全国统筹布局的危险废物处置设施为主。</w:t>
                  </w:r>
                </w:p>
              </w:tc>
              <w:tc>
                <w:tcPr>
                  <w:tcW w:w="2657" w:type="dxa"/>
                  <w:vMerge w:val="restart"/>
                  <w:tcBorders>
                    <w:tl2br w:val="nil"/>
                    <w:tr2bl w:val="nil"/>
                  </w:tcBorders>
                  <w:vAlign w:val="center"/>
                </w:tcPr>
                <w:p w14:paraId="0C802BDE">
                  <w:pPr>
                    <w:pStyle w:val="31"/>
                    <w:shd w:val="clear" w:color="auto" w:fill="FFFFFF"/>
                    <w:spacing w:before="0" w:beforeAutospacing="0" w:after="0" w:afterAutospacing="0"/>
                    <w:ind w:firstLine="360" w:firstLineChars="200"/>
                    <w:rPr>
                      <w:rFonts w:hint="default" w:ascii="Times New Roman" w:hAnsi="Times New Roman" w:eastAsia="宋体" w:cs="Times New Roman"/>
                      <w:bCs/>
                      <w:caps/>
                      <w:color w:val="auto"/>
                      <w:sz w:val="18"/>
                      <w:szCs w:val="18"/>
                      <w:lang w:eastAsia="zh-CN"/>
                    </w:rPr>
                  </w:pPr>
                  <w:r>
                    <w:rPr>
                      <w:rFonts w:hint="default" w:ascii="Times New Roman" w:hAnsi="Times New Roman" w:cs="Times New Roman"/>
                      <w:bCs/>
                      <w:color w:val="auto"/>
                      <w:sz w:val="18"/>
                      <w:szCs w:val="18"/>
                      <w:lang w:val="en-US" w:eastAsia="zh-CN"/>
                    </w:rPr>
                    <w:t>项目危险废物</w:t>
                  </w:r>
                  <w:r>
                    <w:rPr>
                      <w:rFonts w:hint="default" w:ascii="Times New Roman" w:hAnsi="Times New Roman" w:cs="Times New Roman"/>
                      <w:bCs/>
                      <w:color w:val="auto"/>
                      <w:sz w:val="18"/>
                      <w:szCs w:val="18"/>
                    </w:rPr>
                    <w:t>废机油用专门的储油桶收集，废弃含油抹布和劳保用品</w:t>
                  </w:r>
                  <w:r>
                    <w:rPr>
                      <w:rFonts w:hint="eastAsia" w:ascii="Times New Roman" w:hAnsi="Times New Roman" w:cs="Times New Roman"/>
                      <w:bCs/>
                      <w:color w:val="auto"/>
                      <w:sz w:val="18"/>
                      <w:szCs w:val="18"/>
                      <w:lang w:val="en-US" w:eastAsia="zh-CN"/>
                    </w:rPr>
                    <w:t>分类收集，</w:t>
                  </w:r>
                  <w:r>
                    <w:rPr>
                      <w:rFonts w:hint="default" w:ascii="Times New Roman" w:hAnsi="Times New Roman" w:cs="Times New Roman"/>
                      <w:bCs/>
                      <w:color w:val="auto"/>
                      <w:sz w:val="18"/>
                      <w:szCs w:val="18"/>
                    </w:rPr>
                    <w:t>暂存于危险废物贮存库中，然后返回对设备进行润滑使用，在厂区内能自行利用，本环评提出项目运行后若利用不完，必须定期委托有资质的单位处置，储存和转运符合《危险废物贮存污染控制标准》（GB18597-2023）相关要求，建设完善的危废管理制度和转运联单</w:t>
                  </w:r>
                  <w:r>
                    <w:rPr>
                      <w:rFonts w:hint="default" w:ascii="Times New Roman" w:hAnsi="Times New Roman" w:cs="Times New Roman"/>
                      <w:bCs/>
                      <w:color w:val="auto"/>
                      <w:sz w:val="18"/>
                      <w:szCs w:val="18"/>
                      <w:lang w:eastAsia="zh-CN"/>
                    </w:rPr>
                    <w:t>。</w:t>
                  </w:r>
                </w:p>
              </w:tc>
              <w:tc>
                <w:tcPr>
                  <w:tcW w:w="715" w:type="dxa"/>
                  <w:tcBorders>
                    <w:tl2br w:val="nil"/>
                    <w:tr2bl w:val="nil"/>
                  </w:tcBorders>
                  <w:vAlign w:val="center"/>
                </w:tcPr>
                <w:p w14:paraId="51C93008">
                  <w:pPr>
                    <w:pStyle w:val="105"/>
                    <w:topLinePunct/>
                    <w:adjustRightInd w:val="0"/>
                    <w:snapToGrid w:val="0"/>
                    <w:spacing w:line="240" w:lineRule="auto"/>
                    <w:ind w:firstLine="0" w:firstLineChars="0"/>
                    <w:jc w:val="center"/>
                    <w:rPr>
                      <w:rFonts w:hint="default" w:ascii="Times New Roman" w:hAnsi="Times New Roman" w:cs="Times New Roman"/>
                      <w:bCs/>
                      <w:caps/>
                      <w:color w:val="auto"/>
                      <w:sz w:val="18"/>
                      <w:szCs w:val="18"/>
                    </w:rPr>
                  </w:pPr>
                  <w:r>
                    <w:rPr>
                      <w:rFonts w:hint="default" w:ascii="Times New Roman" w:hAnsi="Times New Roman" w:cs="Times New Roman"/>
                      <w:bCs/>
                      <w:color w:val="auto"/>
                      <w:sz w:val="18"/>
                      <w:szCs w:val="18"/>
                    </w:rPr>
                    <w:t>符合</w:t>
                  </w:r>
                </w:p>
              </w:tc>
            </w:tr>
            <w:tr w14:paraId="590D18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95" w:type="dxa"/>
                  <w:tcBorders>
                    <w:tl2br w:val="nil"/>
                    <w:tr2bl w:val="nil"/>
                  </w:tcBorders>
                  <w:vAlign w:val="center"/>
                </w:tcPr>
                <w:p w14:paraId="6D6B94F1">
                  <w:pPr>
                    <w:pStyle w:val="31"/>
                    <w:shd w:val="clear" w:color="auto" w:fill="FFFFFF"/>
                    <w:spacing w:before="0" w:beforeAutospacing="0" w:after="0" w:afterAutospacing="0"/>
                    <w:ind w:firstLine="360" w:firstLineChars="200"/>
                    <w:rPr>
                      <w:rFonts w:hint="default" w:ascii="Times New Roman" w:hAnsi="Times New Roman" w:cs="Times New Roman"/>
                      <w:bCs/>
                      <w:caps/>
                      <w:color w:val="auto"/>
                      <w:sz w:val="18"/>
                      <w:szCs w:val="18"/>
                    </w:rPr>
                  </w:pPr>
                  <w:r>
                    <w:rPr>
                      <w:rFonts w:hint="default" w:ascii="Times New Roman" w:hAnsi="Times New Roman" w:cs="Times New Roman"/>
                      <w:bCs/>
                      <w:color w:val="auto"/>
                      <w:sz w:val="18"/>
                      <w:szCs w:val="18"/>
                      <w:lang w:val="en"/>
                    </w:rPr>
                    <w:t>转移危险废物的，应当执行危险废物转移联单制度，法律法规另有规定的除外。</w:t>
                  </w:r>
                </w:p>
              </w:tc>
              <w:tc>
                <w:tcPr>
                  <w:tcW w:w="2657" w:type="dxa"/>
                  <w:vMerge w:val="continue"/>
                  <w:tcBorders>
                    <w:tl2br w:val="nil"/>
                    <w:tr2bl w:val="nil"/>
                  </w:tcBorders>
                  <w:vAlign w:val="center"/>
                </w:tcPr>
                <w:p w14:paraId="282BEEF2">
                  <w:pPr>
                    <w:pStyle w:val="105"/>
                    <w:topLinePunct/>
                    <w:adjustRightInd w:val="0"/>
                    <w:snapToGrid w:val="0"/>
                    <w:spacing w:line="240" w:lineRule="auto"/>
                    <w:ind w:firstLine="0" w:firstLineChars="0"/>
                    <w:rPr>
                      <w:rFonts w:hint="default" w:ascii="Times New Roman" w:hAnsi="Times New Roman" w:cs="Times New Roman"/>
                      <w:bCs/>
                      <w:caps/>
                      <w:color w:val="auto"/>
                      <w:sz w:val="18"/>
                      <w:szCs w:val="18"/>
                    </w:rPr>
                  </w:pPr>
                </w:p>
              </w:tc>
              <w:tc>
                <w:tcPr>
                  <w:tcW w:w="715" w:type="dxa"/>
                  <w:tcBorders>
                    <w:tl2br w:val="nil"/>
                    <w:tr2bl w:val="nil"/>
                  </w:tcBorders>
                  <w:vAlign w:val="center"/>
                </w:tcPr>
                <w:p w14:paraId="19E2DEDF">
                  <w:pPr>
                    <w:pStyle w:val="105"/>
                    <w:topLinePunct/>
                    <w:adjustRightInd w:val="0"/>
                    <w:snapToGrid w:val="0"/>
                    <w:spacing w:line="240" w:lineRule="auto"/>
                    <w:ind w:firstLine="0" w:firstLineChars="0"/>
                    <w:jc w:val="center"/>
                    <w:rPr>
                      <w:rFonts w:hint="default" w:ascii="Times New Roman" w:hAnsi="Times New Roman" w:cs="Times New Roman"/>
                      <w:b/>
                      <w:bCs/>
                      <w:caps/>
                      <w:color w:val="auto"/>
                      <w:sz w:val="18"/>
                      <w:szCs w:val="18"/>
                    </w:rPr>
                  </w:pPr>
                  <w:r>
                    <w:rPr>
                      <w:rFonts w:hint="default" w:ascii="Times New Roman" w:hAnsi="Times New Roman" w:cs="Times New Roman"/>
                      <w:bCs/>
                      <w:color w:val="auto"/>
                      <w:sz w:val="18"/>
                      <w:szCs w:val="18"/>
                    </w:rPr>
                    <w:t>符合</w:t>
                  </w:r>
                </w:p>
              </w:tc>
            </w:tr>
            <w:tr w14:paraId="754652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95" w:type="dxa"/>
                  <w:tcBorders>
                    <w:tl2br w:val="nil"/>
                    <w:tr2bl w:val="nil"/>
                  </w:tcBorders>
                  <w:vAlign w:val="center"/>
                </w:tcPr>
                <w:p w14:paraId="238F095E">
                  <w:pPr>
                    <w:pStyle w:val="31"/>
                    <w:shd w:val="clear" w:color="auto" w:fill="FFFFFF"/>
                    <w:spacing w:before="0" w:beforeAutospacing="0" w:after="0" w:afterAutospacing="0"/>
                    <w:ind w:firstLine="360" w:firstLineChars="200"/>
                    <w:rPr>
                      <w:rFonts w:hint="default" w:ascii="Times New Roman" w:hAnsi="Times New Roman" w:cs="Times New Roman"/>
                      <w:bCs/>
                      <w:caps/>
                      <w:color w:val="auto"/>
                      <w:sz w:val="18"/>
                      <w:szCs w:val="18"/>
                    </w:rPr>
                  </w:pPr>
                  <w:r>
                    <w:rPr>
                      <w:rFonts w:hint="default" w:ascii="Times New Roman" w:hAnsi="Times New Roman" w:cs="Times New Roman"/>
                      <w:bCs/>
                      <w:color w:val="auto"/>
                      <w:sz w:val="18"/>
                      <w:szCs w:val="18"/>
                      <w:lang w:val="en"/>
                    </w:rPr>
                    <w:t>转移危险废物的，应当通过国家危险废物信息管理系统（以下简称信息系统）填写、运行危险废物电子转移联单，并依照国家有关规定公开危险废物转移相关污染环境防治信息。</w:t>
                  </w:r>
                </w:p>
              </w:tc>
              <w:tc>
                <w:tcPr>
                  <w:tcW w:w="2657" w:type="dxa"/>
                  <w:tcBorders>
                    <w:tl2br w:val="nil"/>
                    <w:tr2bl w:val="nil"/>
                  </w:tcBorders>
                  <w:vAlign w:val="center"/>
                </w:tcPr>
                <w:p w14:paraId="356C68CF">
                  <w:pPr>
                    <w:pStyle w:val="31"/>
                    <w:shd w:val="clear" w:color="auto" w:fill="FFFFFF"/>
                    <w:spacing w:before="0" w:beforeAutospacing="0" w:after="0" w:afterAutospacing="0"/>
                    <w:ind w:firstLine="360" w:firstLineChars="200"/>
                    <w:rPr>
                      <w:rFonts w:hint="default" w:ascii="Times New Roman" w:hAnsi="Times New Roman" w:cs="Times New Roman"/>
                      <w:bCs/>
                      <w:caps/>
                      <w:color w:val="auto"/>
                      <w:sz w:val="18"/>
                      <w:szCs w:val="18"/>
                    </w:rPr>
                  </w:pPr>
                  <w:r>
                    <w:rPr>
                      <w:rFonts w:hint="default" w:ascii="Times New Roman" w:hAnsi="Times New Roman" w:cs="Times New Roman"/>
                      <w:bCs/>
                      <w:color w:val="auto"/>
                      <w:sz w:val="18"/>
                      <w:szCs w:val="18"/>
                      <w:lang w:val="en-US" w:eastAsia="zh-CN"/>
                    </w:rPr>
                    <w:t>后续项目运营过程中将</w:t>
                  </w:r>
                  <w:r>
                    <w:rPr>
                      <w:rFonts w:hint="default" w:ascii="Times New Roman" w:hAnsi="Times New Roman" w:cs="Times New Roman"/>
                      <w:bCs/>
                      <w:color w:val="auto"/>
                      <w:sz w:val="18"/>
                      <w:szCs w:val="18"/>
                    </w:rPr>
                    <w:t>严格按照要求填写国家危险废物信息管理系统和危险废物电子转移联单，依法公开</w:t>
                  </w:r>
                  <w:r>
                    <w:rPr>
                      <w:rFonts w:hint="default" w:ascii="Times New Roman" w:hAnsi="Times New Roman" w:cs="Times New Roman"/>
                      <w:bCs/>
                      <w:color w:val="auto"/>
                      <w:sz w:val="18"/>
                      <w:szCs w:val="18"/>
                      <w:lang w:val="en"/>
                    </w:rPr>
                    <w:t>危废转移污染防治信息。</w:t>
                  </w:r>
                </w:p>
              </w:tc>
              <w:tc>
                <w:tcPr>
                  <w:tcW w:w="715" w:type="dxa"/>
                  <w:tcBorders>
                    <w:tl2br w:val="nil"/>
                    <w:tr2bl w:val="nil"/>
                  </w:tcBorders>
                  <w:vAlign w:val="center"/>
                </w:tcPr>
                <w:p w14:paraId="632C94AB">
                  <w:pPr>
                    <w:pStyle w:val="105"/>
                    <w:topLinePunct/>
                    <w:adjustRightInd w:val="0"/>
                    <w:snapToGrid w:val="0"/>
                    <w:spacing w:line="240" w:lineRule="auto"/>
                    <w:ind w:firstLine="0" w:firstLineChars="0"/>
                    <w:jc w:val="center"/>
                    <w:rPr>
                      <w:rFonts w:hint="default" w:ascii="Times New Roman" w:hAnsi="Times New Roman" w:cs="Times New Roman"/>
                      <w:b/>
                      <w:bCs/>
                      <w:caps/>
                      <w:color w:val="auto"/>
                      <w:sz w:val="18"/>
                      <w:szCs w:val="18"/>
                    </w:rPr>
                  </w:pPr>
                  <w:r>
                    <w:rPr>
                      <w:rFonts w:hint="default" w:ascii="Times New Roman" w:hAnsi="Times New Roman" w:cs="Times New Roman"/>
                      <w:bCs/>
                      <w:color w:val="auto"/>
                      <w:sz w:val="18"/>
                      <w:szCs w:val="18"/>
                    </w:rPr>
                    <w:t>符合</w:t>
                  </w:r>
                </w:p>
              </w:tc>
            </w:tr>
            <w:tr w14:paraId="076B04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7" w:type="dxa"/>
                  <w:gridSpan w:val="3"/>
                  <w:tcBorders>
                    <w:tl2br w:val="nil"/>
                    <w:tr2bl w:val="nil"/>
                  </w:tcBorders>
                  <w:vAlign w:val="center"/>
                </w:tcPr>
                <w:p w14:paraId="02C1D15C">
                  <w:pPr>
                    <w:pStyle w:val="105"/>
                    <w:topLinePunct/>
                    <w:adjustRightInd w:val="0"/>
                    <w:snapToGrid w:val="0"/>
                    <w:spacing w:line="240" w:lineRule="auto"/>
                    <w:ind w:firstLine="0" w:firstLineChars="0"/>
                    <w:jc w:val="center"/>
                    <w:rPr>
                      <w:rFonts w:hint="default" w:ascii="Times New Roman" w:hAnsi="Times New Roman" w:cs="Times New Roman"/>
                      <w:b/>
                      <w:bCs/>
                      <w:caps/>
                      <w:color w:val="auto"/>
                      <w:sz w:val="18"/>
                      <w:szCs w:val="18"/>
                    </w:rPr>
                  </w:pPr>
                  <w:r>
                    <w:rPr>
                      <w:rFonts w:hint="default" w:ascii="Times New Roman" w:hAnsi="Times New Roman" w:cs="Times New Roman"/>
                      <w:b/>
                      <w:bCs/>
                      <w:color w:val="auto"/>
                      <w:sz w:val="18"/>
                      <w:szCs w:val="18"/>
                    </w:rPr>
                    <w:t>法律责任</w:t>
                  </w:r>
                </w:p>
              </w:tc>
            </w:tr>
            <w:tr w14:paraId="1EED6E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95" w:type="dxa"/>
                  <w:tcBorders>
                    <w:tl2br w:val="nil"/>
                    <w:tr2bl w:val="nil"/>
                  </w:tcBorders>
                  <w:vAlign w:val="center"/>
                </w:tcPr>
                <w:p w14:paraId="25614A7E">
                  <w:pPr>
                    <w:pStyle w:val="31"/>
                    <w:shd w:val="clear" w:color="auto" w:fill="FFFFFF"/>
                    <w:spacing w:before="0" w:beforeAutospacing="0" w:after="0" w:afterAutospacing="0"/>
                    <w:ind w:firstLine="360" w:firstLineChars="200"/>
                    <w:rPr>
                      <w:rFonts w:hint="default" w:ascii="Times New Roman" w:hAnsi="Times New Roman" w:cs="Times New Roman"/>
                      <w:bCs/>
                      <w:caps/>
                      <w:color w:val="auto"/>
                      <w:sz w:val="18"/>
                      <w:szCs w:val="18"/>
                    </w:rPr>
                  </w:pPr>
                  <w:r>
                    <w:rPr>
                      <w:rFonts w:hint="default" w:ascii="Times New Roman" w:hAnsi="Times New Roman" w:cs="Times New Roman"/>
                      <w:bCs/>
                      <w:color w:val="auto"/>
                      <w:sz w:val="18"/>
                      <w:szCs w:val="18"/>
                      <w:lang w:val="en"/>
                    </w:rPr>
                    <w:t>危险废物移出人、危险废物承运人、危险废物接受人（以下分别简称移出人、承运人和接受人）在危险废物转移过程中应当采取防扬散、防流失、防渗漏或者其他防止污染环境的措施，不得擅自倾倒、堆放、丢弃、遗撒危险废物，并对所造成的环境污染及生态破坏依法承担责任。</w:t>
                  </w:r>
                </w:p>
              </w:tc>
              <w:tc>
                <w:tcPr>
                  <w:tcW w:w="2657" w:type="dxa"/>
                  <w:tcBorders>
                    <w:tl2br w:val="nil"/>
                    <w:tr2bl w:val="nil"/>
                  </w:tcBorders>
                  <w:vAlign w:val="center"/>
                </w:tcPr>
                <w:p w14:paraId="7A25C154">
                  <w:pPr>
                    <w:pStyle w:val="31"/>
                    <w:shd w:val="clear" w:color="auto" w:fill="FFFFFF"/>
                    <w:spacing w:before="0" w:beforeAutospacing="0" w:after="0" w:afterAutospacing="0"/>
                    <w:ind w:firstLine="360" w:firstLineChars="200"/>
                    <w:rPr>
                      <w:rFonts w:hint="default" w:ascii="Times New Roman" w:hAnsi="Times New Roman" w:cs="Times New Roman"/>
                      <w:bCs/>
                      <w:caps/>
                      <w:color w:val="auto"/>
                      <w:sz w:val="18"/>
                      <w:szCs w:val="18"/>
                    </w:rPr>
                  </w:pPr>
                  <w:r>
                    <w:rPr>
                      <w:rFonts w:hint="default" w:ascii="Times New Roman" w:hAnsi="Times New Roman" w:cs="Times New Roman"/>
                      <w:bCs/>
                      <w:color w:val="auto"/>
                      <w:sz w:val="18"/>
                      <w:szCs w:val="18"/>
                    </w:rPr>
                    <w:t>项目属于危险废物移出人，仅对移出过程进行控制，</w:t>
                  </w:r>
                  <w:r>
                    <w:rPr>
                      <w:rFonts w:hint="default" w:ascii="Times New Roman" w:hAnsi="Times New Roman" w:cs="Times New Roman"/>
                      <w:bCs/>
                      <w:color w:val="auto"/>
                      <w:sz w:val="18"/>
                      <w:szCs w:val="18"/>
                      <w:lang w:val="en"/>
                    </w:rPr>
                    <w:t>采取防扬散、防流失、防渗漏措施。</w:t>
                  </w:r>
                </w:p>
              </w:tc>
              <w:tc>
                <w:tcPr>
                  <w:tcW w:w="715" w:type="dxa"/>
                  <w:tcBorders>
                    <w:tl2br w:val="nil"/>
                    <w:tr2bl w:val="nil"/>
                  </w:tcBorders>
                  <w:vAlign w:val="center"/>
                </w:tcPr>
                <w:p w14:paraId="1CF348A8">
                  <w:pPr>
                    <w:pStyle w:val="105"/>
                    <w:topLinePunct/>
                    <w:adjustRightInd w:val="0"/>
                    <w:snapToGrid w:val="0"/>
                    <w:spacing w:line="240" w:lineRule="auto"/>
                    <w:ind w:firstLine="0" w:firstLineChars="0"/>
                    <w:jc w:val="center"/>
                    <w:rPr>
                      <w:rFonts w:hint="default" w:ascii="Times New Roman" w:hAnsi="Times New Roman" w:cs="Times New Roman"/>
                      <w:b/>
                      <w:bCs/>
                      <w:caps/>
                      <w:color w:val="auto"/>
                      <w:sz w:val="18"/>
                      <w:szCs w:val="18"/>
                    </w:rPr>
                  </w:pPr>
                  <w:r>
                    <w:rPr>
                      <w:rFonts w:hint="default" w:ascii="Times New Roman" w:hAnsi="Times New Roman" w:cs="Times New Roman"/>
                      <w:bCs/>
                      <w:color w:val="auto"/>
                      <w:sz w:val="18"/>
                      <w:szCs w:val="18"/>
                    </w:rPr>
                    <w:t>符合</w:t>
                  </w:r>
                </w:p>
              </w:tc>
            </w:tr>
            <w:tr w14:paraId="5FE115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95" w:type="dxa"/>
                  <w:tcBorders>
                    <w:tl2br w:val="nil"/>
                    <w:tr2bl w:val="nil"/>
                  </w:tcBorders>
                  <w:vAlign w:val="center"/>
                </w:tcPr>
                <w:p w14:paraId="54396E7C">
                  <w:pPr>
                    <w:pStyle w:val="31"/>
                    <w:shd w:val="clear" w:color="auto" w:fill="FFFFFF"/>
                    <w:spacing w:before="0" w:beforeAutospacing="0" w:after="0" w:afterAutospacing="0"/>
                    <w:ind w:firstLine="360" w:firstLineChars="200"/>
                    <w:rPr>
                      <w:rFonts w:hint="default" w:ascii="Times New Roman" w:hAnsi="Times New Roman" w:cs="Times New Roman"/>
                      <w:bCs/>
                      <w:caps/>
                      <w:color w:val="auto"/>
                      <w:sz w:val="18"/>
                      <w:szCs w:val="18"/>
                    </w:rPr>
                  </w:pPr>
                  <w:r>
                    <w:rPr>
                      <w:rFonts w:hint="default" w:ascii="Times New Roman" w:hAnsi="Times New Roman" w:cs="Times New Roman"/>
                      <w:bCs/>
                      <w:color w:val="auto"/>
                      <w:sz w:val="18"/>
                      <w:szCs w:val="18"/>
                      <w:lang w:val="en"/>
                    </w:rPr>
                    <w:t>移出人、承运人、接受人应当依法制定突发环境事件的防范措施和应急预案，并报有关部门备案；发生危险废物突发环境事件时，应当立即采取有效措施消除或者减轻对环境的污染危害，并按相关规定向事故发生地有关部门报告，接受调查处理。</w:t>
                  </w:r>
                </w:p>
              </w:tc>
              <w:tc>
                <w:tcPr>
                  <w:tcW w:w="2657" w:type="dxa"/>
                  <w:tcBorders>
                    <w:tl2br w:val="nil"/>
                    <w:tr2bl w:val="nil"/>
                  </w:tcBorders>
                  <w:vAlign w:val="center"/>
                </w:tcPr>
                <w:p w14:paraId="22545260">
                  <w:pPr>
                    <w:pStyle w:val="31"/>
                    <w:shd w:val="clear" w:color="auto" w:fill="FFFFFF"/>
                    <w:spacing w:before="0" w:beforeAutospacing="0" w:after="0" w:afterAutospacing="0"/>
                    <w:ind w:firstLine="360" w:firstLineChars="200"/>
                    <w:rPr>
                      <w:rFonts w:hint="default" w:ascii="Times New Roman" w:hAnsi="Times New Roman" w:cs="Times New Roman"/>
                      <w:bCs/>
                      <w:caps/>
                      <w:color w:val="auto"/>
                      <w:sz w:val="18"/>
                      <w:szCs w:val="18"/>
                    </w:rPr>
                  </w:pPr>
                  <w:r>
                    <w:rPr>
                      <w:rFonts w:hint="default" w:ascii="Times New Roman" w:hAnsi="Times New Roman" w:cs="Times New Roman"/>
                      <w:bCs/>
                      <w:color w:val="auto"/>
                      <w:sz w:val="18"/>
                      <w:szCs w:val="18"/>
                    </w:rPr>
                    <w:t>项目为危废贮存单位，建成后修订</w:t>
                  </w:r>
                  <w:r>
                    <w:rPr>
                      <w:rFonts w:hint="default" w:ascii="Times New Roman" w:hAnsi="Times New Roman" w:cs="Times New Roman"/>
                      <w:bCs/>
                      <w:color w:val="auto"/>
                      <w:sz w:val="18"/>
                      <w:szCs w:val="18"/>
                      <w:lang w:val="en"/>
                    </w:rPr>
                    <w:t>突发环境事件防范措施和应急预案，并备案。</w:t>
                  </w:r>
                </w:p>
              </w:tc>
              <w:tc>
                <w:tcPr>
                  <w:tcW w:w="715" w:type="dxa"/>
                  <w:tcBorders>
                    <w:tl2br w:val="nil"/>
                    <w:tr2bl w:val="nil"/>
                  </w:tcBorders>
                  <w:vAlign w:val="center"/>
                </w:tcPr>
                <w:p w14:paraId="4196D7A8">
                  <w:pPr>
                    <w:pStyle w:val="105"/>
                    <w:topLinePunct/>
                    <w:adjustRightInd w:val="0"/>
                    <w:snapToGrid w:val="0"/>
                    <w:spacing w:line="240" w:lineRule="auto"/>
                    <w:ind w:firstLine="0" w:firstLineChars="0"/>
                    <w:jc w:val="center"/>
                    <w:rPr>
                      <w:rFonts w:hint="default" w:ascii="Times New Roman" w:hAnsi="Times New Roman" w:cs="Times New Roman"/>
                      <w:bCs/>
                      <w:caps/>
                      <w:color w:val="auto"/>
                      <w:sz w:val="18"/>
                      <w:szCs w:val="18"/>
                    </w:rPr>
                  </w:pPr>
                  <w:r>
                    <w:rPr>
                      <w:rFonts w:hint="default" w:ascii="Times New Roman" w:hAnsi="Times New Roman" w:cs="Times New Roman"/>
                      <w:bCs/>
                      <w:color w:val="auto"/>
                      <w:sz w:val="18"/>
                      <w:szCs w:val="18"/>
                    </w:rPr>
                    <w:t>符合</w:t>
                  </w:r>
                </w:p>
              </w:tc>
            </w:tr>
            <w:tr w14:paraId="3BE6EE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7" w:type="dxa"/>
                  <w:gridSpan w:val="3"/>
                  <w:tcBorders>
                    <w:tl2br w:val="nil"/>
                    <w:tr2bl w:val="nil"/>
                  </w:tcBorders>
                  <w:vAlign w:val="center"/>
                </w:tcPr>
                <w:p w14:paraId="63EC6CBC">
                  <w:pPr>
                    <w:pStyle w:val="105"/>
                    <w:topLinePunct/>
                    <w:adjustRightInd w:val="0"/>
                    <w:snapToGrid w:val="0"/>
                    <w:spacing w:line="240" w:lineRule="auto"/>
                    <w:ind w:firstLine="0" w:firstLineChars="0"/>
                    <w:jc w:val="center"/>
                    <w:rPr>
                      <w:rFonts w:hint="default" w:ascii="Times New Roman" w:hAnsi="Times New Roman" w:cs="Times New Roman"/>
                      <w:b/>
                      <w:bCs/>
                      <w:caps/>
                      <w:color w:val="auto"/>
                      <w:sz w:val="18"/>
                      <w:szCs w:val="18"/>
                    </w:rPr>
                  </w:pPr>
                  <w:r>
                    <w:rPr>
                      <w:rFonts w:hint="default" w:ascii="Times New Roman" w:hAnsi="Times New Roman" w:cs="Times New Roman"/>
                      <w:b/>
                      <w:bCs/>
                      <w:color w:val="auto"/>
                      <w:sz w:val="18"/>
                      <w:szCs w:val="18"/>
                    </w:rPr>
                    <w:t>危险废物转移联单的运行和管理</w:t>
                  </w:r>
                </w:p>
              </w:tc>
            </w:tr>
            <w:tr w14:paraId="2D374F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95" w:type="dxa"/>
                  <w:tcBorders>
                    <w:tl2br w:val="nil"/>
                    <w:tr2bl w:val="nil"/>
                  </w:tcBorders>
                  <w:vAlign w:val="center"/>
                </w:tcPr>
                <w:p w14:paraId="15E4A7EC">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
                    </w:rPr>
                  </w:pPr>
                  <w:r>
                    <w:rPr>
                      <w:rFonts w:hint="default" w:ascii="Times New Roman" w:hAnsi="Times New Roman" w:eastAsia="宋体" w:cs="Times New Roman"/>
                      <w:bCs/>
                      <w:color w:val="auto"/>
                      <w:sz w:val="18"/>
                      <w:szCs w:val="18"/>
                      <w:lang w:val="en"/>
                    </w:rPr>
                    <w:t>危险废物转移联单应当根据危险废物管理计划中填报的危险废物转移等备案信息填写、运行。</w:t>
                  </w:r>
                </w:p>
              </w:tc>
              <w:tc>
                <w:tcPr>
                  <w:tcW w:w="2657" w:type="dxa"/>
                  <w:tcBorders>
                    <w:tl2br w:val="nil"/>
                    <w:tr2bl w:val="nil"/>
                  </w:tcBorders>
                  <w:vAlign w:val="center"/>
                </w:tcPr>
                <w:p w14:paraId="72CCD6E5">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
                    </w:rPr>
                  </w:pPr>
                  <w:r>
                    <w:rPr>
                      <w:rFonts w:hint="default" w:ascii="Times New Roman" w:hAnsi="Times New Roman" w:eastAsia="宋体" w:cs="Times New Roman"/>
                      <w:bCs/>
                      <w:color w:val="auto"/>
                      <w:sz w:val="18"/>
                      <w:szCs w:val="18"/>
                      <w:lang w:val="en"/>
                    </w:rPr>
                    <w:t>项目运营期危险废物转移联单根据危险废物管理计划中填报的危险废物转移等备案信息填写、运行。</w:t>
                  </w:r>
                </w:p>
              </w:tc>
              <w:tc>
                <w:tcPr>
                  <w:tcW w:w="715" w:type="dxa"/>
                  <w:tcBorders>
                    <w:tl2br w:val="nil"/>
                    <w:tr2bl w:val="nil"/>
                  </w:tcBorders>
                  <w:vAlign w:val="center"/>
                </w:tcPr>
                <w:p w14:paraId="7A234869">
                  <w:pPr>
                    <w:pStyle w:val="105"/>
                    <w:topLinePunct/>
                    <w:adjustRightInd w:val="0"/>
                    <w:snapToGrid w:val="0"/>
                    <w:spacing w:line="240" w:lineRule="auto"/>
                    <w:ind w:firstLine="0" w:firstLineChars="0"/>
                    <w:jc w:val="center"/>
                    <w:rPr>
                      <w:rFonts w:hint="default" w:ascii="Times New Roman" w:hAnsi="Times New Roman" w:cs="Times New Roman"/>
                      <w:bCs/>
                      <w:caps/>
                      <w:color w:val="auto"/>
                      <w:sz w:val="18"/>
                      <w:szCs w:val="18"/>
                    </w:rPr>
                  </w:pPr>
                  <w:r>
                    <w:rPr>
                      <w:rFonts w:hint="default" w:ascii="Times New Roman" w:hAnsi="Times New Roman" w:cs="Times New Roman"/>
                      <w:bCs/>
                      <w:color w:val="auto"/>
                      <w:sz w:val="18"/>
                      <w:szCs w:val="18"/>
                    </w:rPr>
                    <w:t>符合</w:t>
                  </w:r>
                </w:p>
              </w:tc>
            </w:tr>
            <w:tr w14:paraId="01FF79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95" w:type="dxa"/>
                  <w:tcBorders>
                    <w:tl2br w:val="nil"/>
                    <w:tr2bl w:val="nil"/>
                  </w:tcBorders>
                  <w:vAlign w:val="center"/>
                </w:tcPr>
                <w:p w14:paraId="452DD961">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
                    </w:rPr>
                  </w:pPr>
                  <w:r>
                    <w:rPr>
                      <w:rFonts w:hint="default" w:ascii="Times New Roman" w:hAnsi="Times New Roman" w:eastAsia="宋体" w:cs="Times New Roman"/>
                      <w:bCs/>
                      <w:color w:val="auto"/>
                      <w:sz w:val="18"/>
                      <w:szCs w:val="18"/>
                      <w:lang w:val="en"/>
                    </w:rPr>
                    <w:t>危险废物转移联单实行全国统一编号，编号由十四位阿拉伯数字组成。第一至四位数字为年份代码；第五、六位数字为移出地省级行政区划代码；第七、八位数字为移出地设区的市级行政区划代码；其余六位数字以移出地设区的市级行政区域为单位进行流水编号。</w:t>
                  </w:r>
                </w:p>
              </w:tc>
              <w:tc>
                <w:tcPr>
                  <w:tcW w:w="2657" w:type="dxa"/>
                  <w:tcBorders>
                    <w:tl2br w:val="nil"/>
                    <w:tr2bl w:val="nil"/>
                  </w:tcBorders>
                  <w:vAlign w:val="center"/>
                </w:tcPr>
                <w:p w14:paraId="6E2A4556">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
                    </w:rPr>
                  </w:pPr>
                  <w:r>
                    <w:rPr>
                      <w:rFonts w:hint="default" w:ascii="Times New Roman" w:hAnsi="Times New Roman" w:eastAsia="宋体" w:cs="Times New Roman"/>
                      <w:bCs/>
                      <w:color w:val="auto"/>
                      <w:sz w:val="18"/>
                      <w:szCs w:val="18"/>
                      <w:lang w:val="en"/>
                    </w:rPr>
                    <w:t>项目运营期危险废物转移联单采用全国统一的编号。</w:t>
                  </w:r>
                </w:p>
              </w:tc>
              <w:tc>
                <w:tcPr>
                  <w:tcW w:w="715" w:type="dxa"/>
                  <w:tcBorders>
                    <w:tl2br w:val="nil"/>
                    <w:tr2bl w:val="nil"/>
                  </w:tcBorders>
                  <w:vAlign w:val="center"/>
                </w:tcPr>
                <w:p w14:paraId="20228BE5">
                  <w:pPr>
                    <w:pStyle w:val="105"/>
                    <w:topLinePunct/>
                    <w:adjustRightInd w:val="0"/>
                    <w:snapToGrid w:val="0"/>
                    <w:spacing w:line="240" w:lineRule="auto"/>
                    <w:ind w:firstLine="0" w:firstLineChars="0"/>
                    <w:jc w:val="center"/>
                    <w:rPr>
                      <w:rFonts w:hint="default" w:ascii="Times New Roman" w:hAnsi="Times New Roman" w:cs="Times New Roman"/>
                      <w:bCs/>
                      <w:caps/>
                      <w:color w:val="auto"/>
                      <w:sz w:val="18"/>
                      <w:szCs w:val="18"/>
                    </w:rPr>
                  </w:pPr>
                  <w:r>
                    <w:rPr>
                      <w:rFonts w:hint="default" w:ascii="Times New Roman" w:hAnsi="Times New Roman" w:cs="Times New Roman"/>
                      <w:bCs/>
                      <w:color w:val="auto"/>
                      <w:sz w:val="18"/>
                      <w:szCs w:val="18"/>
                    </w:rPr>
                    <w:t>符合</w:t>
                  </w:r>
                </w:p>
              </w:tc>
            </w:tr>
            <w:tr w14:paraId="65D96C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95" w:type="dxa"/>
                  <w:tcBorders>
                    <w:tl2br w:val="nil"/>
                    <w:tr2bl w:val="nil"/>
                  </w:tcBorders>
                  <w:vAlign w:val="center"/>
                </w:tcPr>
                <w:p w14:paraId="1E3BAC8B">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
                    </w:rPr>
                  </w:pPr>
                  <w:r>
                    <w:rPr>
                      <w:rFonts w:hint="default" w:ascii="Times New Roman" w:hAnsi="Times New Roman" w:eastAsia="宋体" w:cs="Times New Roman"/>
                      <w:bCs/>
                      <w:color w:val="auto"/>
                      <w:sz w:val="18"/>
                      <w:szCs w:val="18"/>
                      <w:lang w:val="en"/>
                    </w:rPr>
                    <w:t>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使用同一车（船或者其他运输工具）一次为多个移出人转移危险废物的，每个移出人应当分别填写、运行危险废物转移联单。</w:t>
                  </w:r>
                </w:p>
              </w:tc>
              <w:tc>
                <w:tcPr>
                  <w:tcW w:w="2657" w:type="dxa"/>
                  <w:tcBorders>
                    <w:tl2br w:val="nil"/>
                    <w:tr2bl w:val="nil"/>
                  </w:tcBorders>
                  <w:vAlign w:val="center"/>
                </w:tcPr>
                <w:p w14:paraId="371002B5">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
                    </w:rPr>
                  </w:pPr>
                  <w:r>
                    <w:rPr>
                      <w:rFonts w:hint="default" w:ascii="Times New Roman" w:hAnsi="Times New Roman" w:eastAsia="宋体" w:cs="Times New Roman"/>
                      <w:bCs/>
                      <w:color w:val="auto"/>
                      <w:sz w:val="18"/>
                      <w:szCs w:val="18"/>
                      <w:lang w:val="en"/>
                    </w:rPr>
                    <w:t>项目运营期每次转移时填写相应的转移联单。</w:t>
                  </w:r>
                </w:p>
              </w:tc>
              <w:tc>
                <w:tcPr>
                  <w:tcW w:w="715" w:type="dxa"/>
                  <w:tcBorders>
                    <w:tl2br w:val="nil"/>
                    <w:tr2bl w:val="nil"/>
                  </w:tcBorders>
                  <w:vAlign w:val="center"/>
                </w:tcPr>
                <w:p w14:paraId="18D57810">
                  <w:pPr>
                    <w:pStyle w:val="105"/>
                    <w:topLinePunct/>
                    <w:adjustRightInd w:val="0"/>
                    <w:snapToGrid w:val="0"/>
                    <w:spacing w:line="240" w:lineRule="auto"/>
                    <w:ind w:firstLine="0" w:firstLineChars="0"/>
                    <w:jc w:val="center"/>
                    <w:rPr>
                      <w:rFonts w:hint="default" w:ascii="Times New Roman" w:hAnsi="Times New Roman" w:cs="Times New Roman"/>
                      <w:bCs/>
                      <w:caps/>
                      <w:color w:val="auto"/>
                      <w:sz w:val="18"/>
                      <w:szCs w:val="18"/>
                    </w:rPr>
                  </w:pPr>
                  <w:r>
                    <w:rPr>
                      <w:rFonts w:hint="default" w:ascii="Times New Roman" w:hAnsi="Times New Roman" w:cs="Times New Roman"/>
                      <w:bCs/>
                      <w:color w:val="auto"/>
                      <w:sz w:val="18"/>
                      <w:szCs w:val="18"/>
                    </w:rPr>
                    <w:t>符合</w:t>
                  </w:r>
                </w:p>
              </w:tc>
            </w:tr>
            <w:tr w14:paraId="5690AA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95" w:type="dxa"/>
                  <w:tcBorders>
                    <w:tl2br w:val="nil"/>
                    <w:tr2bl w:val="nil"/>
                  </w:tcBorders>
                  <w:vAlign w:val="center"/>
                </w:tcPr>
                <w:p w14:paraId="52D25A8A">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
                    </w:rPr>
                  </w:pPr>
                  <w:r>
                    <w:rPr>
                      <w:rFonts w:hint="default" w:ascii="Times New Roman" w:hAnsi="Times New Roman" w:eastAsia="宋体" w:cs="Times New Roman"/>
                      <w:bCs/>
                      <w:color w:val="auto"/>
                      <w:sz w:val="18"/>
                      <w:szCs w:val="18"/>
                      <w:lang w:val="en"/>
                    </w:rPr>
                    <w:t>采用联运方式转移危险废物的，前一承运人和后一承运人应当明确运输交接的时间和地点。后一承运人应当核实危险废物转移联单确定的移出人信息、前一承运人信息及危险废物相关信息。</w:t>
                  </w:r>
                </w:p>
              </w:tc>
              <w:tc>
                <w:tcPr>
                  <w:tcW w:w="2657" w:type="dxa"/>
                  <w:tcBorders>
                    <w:tl2br w:val="nil"/>
                    <w:tr2bl w:val="nil"/>
                  </w:tcBorders>
                  <w:vAlign w:val="center"/>
                </w:tcPr>
                <w:p w14:paraId="602C3F98">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
                    </w:rPr>
                  </w:pPr>
                  <w:r>
                    <w:rPr>
                      <w:rFonts w:hint="default" w:ascii="Times New Roman" w:hAnsi="Times New Roman" w:eastAsia="宋体" w:cs="Times New Roman"/>
                      <w:bCs/>
                      <w:color w:val="auto"/>
                      <w:sz w:val="18"/>
                      <w:szCs w:val="18"/>
                      <w:lang w:val="en"/>
                    </w:rPr>
                    <w:t>项目危险废物采取专车专送，不采用联运方式。</w:t>
                  </w:r>
                </w:p>
              </w:tc>
              <w:tc>
                <w:tcPr>
                  <w:tcW w:w="715" w:type="dxa"/>
                  <w:tcBorders>
                    <w:tl2br w:val="nil"/>
                    <w:tr2bl w:val="nil"/>
                  </w:tcBorders>
                  <w:vAlign w:val="center"/>
                </w:tcPr>
                <w:p w14:paraId="52F4C410">
                  <w:pPr>
                    <w:pStyle w:val="105"/>
                    <w:topLinePunct/>
                    <w:adjustRightInd w:val="0"/>
                    <w:snapToGrid w:val="0"/>
                    <w:spacing w:line="240" w:lineRule="auto"/>
                    <w:ind w:firstLine="0" w:firstLineChars="0"/>
                    <w:jc w:val="center"/>
                    <w:rPr>
                      <w:rFonts w:hint="default" w:ascii="Times New Roman" w:hAnsi="Times New Roman" w:cs="Times New Roman"/>
                      <w:bCs/>
                      <w:caps/>
                      <w:color w:val="auto"/>
                      <w:sz w:val="18"/>
                      <w:szCs w:val="18"/>
                    </w:rPr>
                  </w:pPr>
                  <w:r>
                    <w:rPr>
                      <w:rFonts w:hint="default" w:ascii="Times New Roman" w:hAnsi="Times New Roman" w:cs="Times New Roman"/>
                      <w:bCs/>
                      <w:color w:val="auto"/>
                      <w:sz w:val="18"/>
                      <w:szCs w:val="18"/>
                    </w:rPr>
                    <w:t>符合</w:t>
                  </w:r>
                </w:p>
              </w:tc>
            </w:tr>
            <w:tr w14:paraId="1F29ED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95" w:type="dxa"/>
                  <w:tcBorders>
                    <w:tl2br w:val="nil"/>
                    <w:tr2bl w:val="nil"/>
                  </w:tcBorders>
                  <w:vAlign w:val="center"/>
                </w:tcPr>
                <w:p w14:paraId="65C1C162">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
                    </w:rPr>
                  </w:pPr>
                  <w:r>
                    <w:rPr>
                      <w:rFonts w:hint="default" w:ascii="Times New Roman" w:hAnsi="Times New Roman" w:eastAsia="宋体" w:cs="Times New Roman"/>
                      <w:bCs/>
                      <w:color w:val="auto"/>
                      <w:sz w:val="18"/>
                      <w:szCs w:val="18"/>
                      <w:lang w:val="en"/>
                    </w:rPr>
                    <w:t>对不通过车（船或者其他运输工具），且无法按次对危险废物计量的其他方式转移危险废物的，移出人和接受人应当分别配备计量记录设备，将每天危险废物转移的种类、重量（数量）、形态和危险特性等信息纳入相关台账记录，并根据所在地设区的市级以上地方生态环境主管部门的要求填写、运行危险废物转移联单。</w:t>
                  </w:r>
                </w:p>
              </w:tc>
              <w:tc>
                <w:tcPr>
                  <w:tcW w:w="2657" w:type="dxa"/>
                  <w:tcBorders>
                    <w:tl2br w:val="nil"/>
                    <w:tr2bl w:val="nil"/>
                  </w:tcBorders>
                  <w:vAlign w:val="center"/>
                </w:tcPr>
                <w:p w14:paraId="0B8EB527">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
                    </w:rPr>
                  </w:pPr>
                  <w:r>
                    <w:rPr>
                      <w:rFonts w:hint="default" w:ascii="Times New Roman" w:hAnsi="Times New Roman" w:eastAsia="宋体" w:cs="Times New Roman"/>
                      <w:bCs/>
                      <w:color w:val="auto"/>
                      <w:sz w:val="18"/>
                      <w:szCs w:val="18"/>
                      <w:lang w:val="en"/>
                    </w:rPr>
                    <w:t>项目移出人和接受人应当分别配备计量记录设备，将每天危险废物转移的种类、重量（数量）、形态和危险特性等信息纳入相关台账记录，并根据所在地设区的市级以上地方生态环境主管部门的要求填写、运行危险废物转移联单。</w:t>
                  </w:r>
                </w:p>
              </w:tc>
              <w:tc>
                <w:tcPr>
                  <w:tcW w:w="715" w:type="dxa"/>
                  <w:tcBorders>
                    <w:tl2br w:val="nil"/>
                    <w:tr2bl w:val="nil"/>
                  </w:tcBorders>
                  <w:vAlign w:val="center"/>
                </w:tcPr>
                <w:p w14:paraId="238C2449">
                  <w:pPr>
                    <w:pStyle w:val="105"/>
                    <w:topLinePunct/>
                    <w:adjustRightInd w:val="0"/>
                    <w:snapToGrid w:val="0"/>
                    <w:spacing w:line="240" w:lineRule="auto"/>
                    <w:ind w:firstLine="0" w:firstLineChars="0"/>
                    <w:jc w:val="center"/>
                    <w:rPr>
                      <w:rFonts w:hint="default" w:ascii="Times New Roman" w:hAnsi="Times New Roman" w:cs="Times New Roman"/>
                      <w:bCs/>
                      <w:caps/>
                      <w:color w:val="auto"/>
                      <w:sz w:val="18"/>
                      <w:szCs w:val="18"/>
                    </w:rPr>
                  </w:pPr>
                  <w:r>
                    <w:rPr>
                      <w:rFonts w:hint="default" w:ascii="Times New Roman" w:hAnsi="Times New Roman" w:cs="Times New Roman"/>
                      <w:bCs/>
                      <w:color w:val="auto"/>
                      <w:sz w:val="18"/>
                      <w:szCs w:val="18"/>
                    </w:rPr>
                    <w:t>符合</w:t>
                  </w:r>
                </w:p>
              </w:tc>
            </w:tr>
          </w:tbl>
          <w:p w14:paraId="1CE036D7">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由上表可知，项目建设与《危险废物转移管理办法》（部令第23号）相符。</w:t>
            </w:r>
          </w:p>
          <w:p w14:paraId="43C4B2EB">
            <w:pPr>
              <w:pStyle w:val="5"/>
              <w:numPr>
                <w:ilvl w:val="0"/>
                <w:numId w:val="2"/>
              </w:numPr>
              <w:adjustRightInd w:val="0"/>
              <w:snapToGrid w:val="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与《云南省生态环境保护条例》的符合性分析</w:t>
            </w:r>
          </w:p>
          <w:p w14:paraId="25971DBD">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本项目与《云南省生态环境保护条例》符合性分析见下表。</w:t>
            </w:r>
          </w:p>
          <w:p w14:paraId="0FA0F5F6">
            <w:pPr>
              <w:adjustRightInd w:val="0"/>
              <w:snapToGrid w:val="0"/>
              <w:spacing w:line="360" w:lineRule="auto"/>
              <w:jc w:val="center"/>
              <w:rPr>
                <w:rFonts w:hint="default" w:ascii="Times New Roman" w:hAnsi="Times New Roman" w:eastAsia="黑体" w:cs="Times New Roman"/>
                <w:bCs/>
                <w:color w:val="auto"/>
                <w:szCs w:val="21"/>
                <w:lang w:val="en-US" w:eastAsia="zh-CN"/>
              </w:rPr>
            </w:pPr>
            <w:r>
              <w:rPr>
                <w:rFonts w:hint="default" w:ascii="Times New Roman" w:hAnsi="Times New Roman" w:eastAsia="黑体" w:cs="Times New Roman"/>
                <w:bCs/>
                <w:color w:val="auto"/>
                <w:szCs w:val="21"/>
              </w:rPr>
              <w:t>表</w:t>
            </w:r>
            <w:r>
              <w:rPr>
                <w:rFonts w:hint="default" w:ascii="Times New Roman" w:hAnsi="Times New Roman" w:eastAsia="黑体" w:cs="Times New Roman"/>
                <w:bCs/>
                <w:color w:val="auto"/>
                <w:szCs w:val="21"/>
                <w:lang w:val="en-US" w:eastAsia="zh-CN"/>
              </w:rPr>
              <w:t xml:space="preserve">1-15 </w:t>
            </w:r>
            <w:r>
              <w:rPr>
                <w:rFonts w:hint="default" w:ascii="Times New Roman" w:hAnsi="Times New Roman" w:eastAsia="黑体" w:cs="Times New Roman"/>
                <w:bCs/>
                <w:color w:val="auto"/>
                <w:szCs w:val="21"/>
                <w:lang w:eastAsia="zh-CN"/>
              </w:rPr>
              <w:t xml:space="preserve"> </w:t>
            </w:r>
            <w:r>
              <w:rPr>
                <w:rFonts w:hint="default" w:ascii="Times New Roman" w:hAnsi="Times New Roman" w:eastAsia="黑体" w:cs="Times New Roman"/>
                <w:bCs/>
                <w:color w:val="auto"/>
                <w:szCs w:val="21"/>
                <w:lang w:val="en-US" w:eastAsia="zh-CN"/>
              </w:rPr>
              <w:t>与《云南省生物多样性保护条例》符合性分析一览表</w:t>
            </w:r>
          </w:p>
          <w:tbl>
            <w:tblPr>
              <w:tblStyle w:val="128"/>
              <w:tblW w:w="7504" w:type="dxa"/>
              <w:jc w:val="center"/>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554"/>
              <w:gridCol w:w="3715"/>
              <w:gridCol w:w="2570"/>
              <w:gridCol w:w="665"/>
            </w:tblGrid>
            <w:tr w14:paraId="37E474E7">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0" w:hRule="atLeast"/>
                <w:tblHeader/>
                <w:jc w:val="center"/>
              </w:trPr>
              <w:tc>
                <w:tcPr>
                  <w:tcW w:w="369" w:type="pct"/>
                  <w:tcBorders>
                    <w:tl2br w:val="nil"/>
                    <w:tr2bl w:val="nil"/>
                  </w:tcBorders>
                  <w:shd w:val="clear" w:color="auto" w:fill="auto"/>
                  <w:noWrap w:val="0"/>
                  <w:vAlign w:val="center"/>
                </w:tcPr>
                <w:p w14:paraId="68F75559">
                  <w:pPr>
                    <w:pStyle w:val="105"/>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序号</w:t>
                  </w:r>
                </w:p>
              </w:tc>
              <w:tc>
                <w:tcPr>
                  <w:tcW w:w="2475" w:type="pct"/>
                  <w:tcBorders>
                    <w:tl2br w:val="nil"/>
                    <w:tr2bl w:val="nil"/>
                  </w:tcBorders>
                  <w:shd w:val="clear" w:color="auto" w:fill="auto"/>
                  <w:noWrap w:val="0"/>
                  <w:vAlign w:val="center"/>
                </w:tcPr>
                <w:p w14:paraId="346C7562">
                  <w:pPr>
                    <w:pStyle w:val="105"/>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
                    </w:rPr>
                  </w:pPr>
                  <w:r>
                    <w:rPr>
                      <w:rFonts w:hint="default" w:ascii="Times New Roman" w:hAnsi="Times New Roman" w:eastAsia="宋体" w:cs="Times New Roman"/>
                      <w:bCs/>
                      <w:color w:val="auto"/>
                      <w:sz w:val="18"/>
                      <w:szCs w:val="18"/>
                      <w:highlight w:val="none"/>
                      <w:lang w:val="en" w:eastAsia="zh-CN"/>
                    </w:rPr>
                    <w:t>“</w:t>
                  </w:r>
                  <w:r>
                    <w:rPr>
                      <w:rFonts w:hint="default" w:ascii="Times New Roman" w:hAnsi="Times New Roman" w:eastAsia="宋体" w:cs="Times New Roman"/>
                      <w:bCs/>
                      <w:color w:val="auto"/>
                      <w:sz w:val="18"/>
                      <w:szCs w:val="18"/>
                      <w:highlight w:val="none"/>
                      <w:lang w:val="en-US" w:eastAsia="zh-CN"/>
                    </w:rPr>
                    <w:t>条例</w:t>
                  </w:r>
                  <w:r>
                    <w:rPr>
                      <w:rFonts w:hint="default" w:ascii="Times New Roman" w:hAnsi="Times New Roman" w:eastAsia="宋体" w:cs="Times New Roman"/>
                      <w:bCs/>
                      <w:color w:val="auto"/>
                      <w:sz w:val="18"/>
                      <w:szCs w:val="18"/>
                      <w:highlight w:val="none"/>
                      <w:lang w:val="en" w:eastAsia="zh-CN"/>
                    </w:rPr>
                    <w:t>”</w:t>
                  </w:r>
                  <w:r>
                    <w:rPr>
                      <w:rFonts w:hint="default" w:ascii="Times New Roman" w:hAnsi="Times New Roman" w:eastAsia="宋体" w:cs="Times New Roman"/>
                      <w:bCs/>
                      <w:color w:val="auto"/>
                      <w:sz w:val="18"/>
                      <w:szCs w:val="18"/>
                      <w:highlight w:val="none"/>
                      <w:lang w:val="en-US" w:eastAsia="zh-CN"/>
                    </w:rPr>
                    <w:t>相关要求</w:t>
                  </w:r>
                </w:p>
              </w:tc>
              <w:tc>
                <w:tcPr>
                  <w:tcW w:w="1712" w:type="pct"/>
                  <w:tcBorders>
                    <w:tl2br w:val="nil"/>
                    <w:tr2bl w:val="nil"/>
                  </w:tcBorders>
                  <w:shd w:val="clear" w:color="auto" w:fill="auto"/>
                  <w:noWrap w:val="0"/>
                  <w:vAlign w:val="center"/>
                </w:tcPr>
                <w:p w14:paraId="2C2D8E34">
                  <w:pPr>
                    <w:pStyle w:val="105"/>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
                    </w:rPr>
                  </w:pPr>
                  <w:r>
                    <w:rPr>
                      <w:rFonts w:hint="default" w:ascii="Times New Roman" w:hAnsi="Times New Roman" w:eastAsia="宋体" w:cs="Times New Roman"/>
                      <w:bCs/>
                      <w:color w:val="auto"/>
                      <w:sz w:val="18"/>
                      <w:szCs w:val="18"/>
                      <w:highlight w:val="none"/>
                      <w:lang w:val="en"/>
                    </w:rPr>
                    <w:t>本项目情况</w:t>
                  </w:r>
                </w:p>
              </w:tc>
              <w:tc>
                <w:tcPr>
                  <w:tcW w:w="443" w:type="pct"/>
                  <w:tcBorders>
                    <w:tl2br w:val="nil"/>
                    <w:tr2bl w:val="nil"/>
                  </w:tcBorders>
                  <w:shd w:val="clear" w:color="auto" w:fill="auto"/>
                  <w:noWrap w:val="0"/>
                  <w:vAlign w:val="center"/>
                </w:tcPr>
                <w:p w14:paraId="60004C10">
                  <w:pPr>
                    <w:pStyle w:val="105"/>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符合性</w:t>
                  </w:r>
                </w:p>
              </w:tc>
            </w:tr>
            <w:tr w14:paraId="297CF656">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9" w:type="pct"/>
                  <w:tcBorders>
                    <w:tl2br w:val="nil"/>
                    <w:tr2bl w:val="nil"/>
                  </w:tcBorders>
                  <w:shd w:val="clear" w:color="auto" w:fill="auto"/>
                  <w:noWrap w:val="0"/>
                  <w:tcMar>
                    <w:top w:w="0" w:type="dxa"/>
                    <w:left w:w="57" w:type="dxa"/>
                    <w:bottom w:w="0" w:type="dxa"/>
                    <w:right w:w="57" w:type="dxa"/>
                  </w:tcMar>
                  <w:vAlign w:val="center"/>
                </w:tcPr>
                <w:p w14:paraId="493C9B25">
                  <w:pPr>
                    <w:pStyle w:val="105"/>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1</w:t>
                  </w:r>
                </w:p>
              </w:tc>
              <w:tc>
                <w:tcPr>
                  <w:tcW w:w="2475" w:type="pct"/>
                  <w:tcBorders>
                    <w:tl2br w:val="nil"/>
                    <w:tr2bl w:val="nil"/>
                  </w:tcBorders>
                  <w:shd w:val="clear" w:color="auto" w:fill="auto"/>
                  <w:noWrap w:val="0"/>
                  <w:tcMar>
                    <w:top w:w="0" w:type="dxa"/>
                    <w:left w:w="57" w:type="dxa"/>
                    <w:bottom w:w="0" w:type="dxa"/>
                    <w:right w:w="57" w:type="dxa"/>
                  </w:tcMar>
                  <w:vAlign w:val="center"/>
                </w:tcPr>
                <w:p w14:paraId="4D5EC8B2">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
                    </w:rPr>
                    <w:t>第六条 企业事业单位和其他生产经营者应当建立健全生态环境保护管理制度，采取生态环境保护措施，加强对从业人员生态环境保护法律法规和生态环境保护知识的培训，防止、减少环境污染和生态破坏，对所造成的损害依法承担责任。</w:t>
                  </w:r>
                </w:p>
              </w:tc>
              <w:tc>
                <w:tcPr>
                  <w:tcW w:w="1712" w:type="pct"/>
                  <w:tcBorders>
                    <w:tl2br w:val="nil"/>
                    <w:tr2bl w:val="nil"/>
                  </w:tcBorders>
                  <w:shd w:val="clear" w:color="auto" w:fill="auto"/>
                  <w:noWrap w:val="0"/>
                  <w:tcMar>
                    <w:top w:w="0" w:type="dxa"/>
                    <w:left w:w="57" w:type="dxa"/>
                    <w:bottom w:w="0" w:type="dxa"/>
                    <w:right w:w="57" w:type="dxa"/>
                  </w:tcMar>
                  <w:vAlign w:val="center"/>
                </w:tcPr>
                <w:p w14:paraId="0CE32595">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项目批准后按要求</w:t>
                  </w:r>
                  <w:r>
                    <w:rPr>
                      <w:rFonts w:hint="default" w:ascii="Times New Roman" w:hAnsi="Times New Roman" w:eastAsia="宋体" w:cs="Times New Roman"/>
                      <w:bCs/>
                      <w:color w:val="auto"/>
                      <w:sz w:val="18"/>
                      <w:szCs w:val="18"/>
                      <w:lang w:val="en"/>
                    </w:rPr>
                    <w:t>建立健全生态环境保护管理制度，采取生态环境保护措施，加强对从业人员生态环境保护法律法规和生态环境保护知识的培训，防止、减少环境污染和生态破坏</w:t>
                  </w:r>
                  <w:r>
                    <w:rPr>
                      <w:rFonts w:hint="default" w:ascii="Times New Roman" w:hAnsi="Times New Roman" w:eastAsia="宋体" w:cs="Times New Roman"/>
                      <w:bCs/>
                      <w:color w:val="auto"/>
                      <w:sz w:val="18"/>
                      <w:szCs w:val="18"/>
                      <w:lang w:val="en" w:eastAsia="zh-CN"/>
                    </w:rPr>
                    <w:t>。</w:t>
                  </w:r>
                </w:p>
              </w:tc>
              <w:tc>
                <w:tcPr>
                  <w:tcW w:w="443" w:type="pct"/>
                  <w:tcBorders>
                    <w:tl2br w:val="nil"/>
                    <w:tr2bl w:val="nil"/>
                  </w:tcBorders>
                  <w:shd w:val="clear" w:color="auto" w:fill="auto"/>
                  <w:noWrap w:val="0"/>
                  <w:vAlign w:val="center"/>
                </w:tcPr>
                <w:p w14:paraId="111766EC">
                  <w:pPr>
                    <w:pStyle w:val="105"/>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符合</w:t>
                  </w:r>
                </w:p>
              </w:tc>
            </w:tr>
            <w:tr w14:paraId="22EA18EB">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0" w:hRule="atLeast"/>
                <w:jc w:val="center"/>
              </w:trPr>
              <w:tc>
                <w:tcPr>
                  <w:tcW w:w="369" w:type="pct"/>
                  <w:tcBorders>
                    <w:tl2br w:val="nil"/>
                    <w:tr2bl w:val="nil"/>
                  </w:tcBorders>
                  <w:shd w:val="clear" w:color="auto" w:fill="auto"/>
                  <w:noWrap w:val="0"/>
                  <w:tcMar>
                    <w:top w:w="0" w:type="dxa"/>
                    <w:left w:w="57" w:type="dxa"/>
                    <w:bottom w:w="0" w:type="dxa"/>
                    <w:right w:w="57" w:type="dxa"/>
                  </w:tcMar>
                  <w:vAlign w:val="center"/>
                </w:tcPr>
                <w:p w14:paraId="2147A8B9">
                  <w:pPr>
                    <w:pStyle w:val="105"/>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2</w:t>
                  </w:r>
                </w:p>
              </w:tc>
              <w:tc>
                <w:tcPr>
                  <w:tcW w:w="2475" w:type="pct"/>
                  <w:tcBorders>
                    <w:tl2br w:val="nil"/>
                    <w:tr2bl w:val="nil"/>
                  </w:tcBorders>
                  <w:shd w:val="clear" w:color="auto" w:fill="auto"/>
                  <w:noWrap w:val="0"/>
                  <w:tcMar>
                    <w:top w:w="0" w:type="dxa"/>
                    <w:left w:w="57" w:type="dxa"/>
                    <w:bottom w:w="0" w:type="dxa"/>
                    <w:right w:w="57" w:type="dxa"/>
                  </w:tcMar>
                  <w:vAlign w:val="center"/>
                </w:tcPr>
                <w:p w14:paraId="5601BC05">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
                    </w:rPr>
                  </w:pPr>
                  <w:r>
                    <w:rPr>
                      <w:rFonts w:hint="default" w:ascii="Times New Roman" w:hAnsi="Times New Roman" w:eastAsia="宋体" w:cs="Times New Roman"/>
                      <w:bCs/>
                      <w:color w:val="auto"/>
                      <w:sz w:val="18"/>
                      <w:szCs w:val="18"/>
                      <w:lang w:val="en"/>
                    </w:rPr>
                    <w:t> 第十八条 建设项目需要配套建设的环境保护设施应当与主体工程同时设计、同时施工、同时投产使用。</w:t>
                  </w:r>
                  <w:r>
                    <w:rPr>
                      <w:rFonts w:hint="default" w:ascii="Times New Roman" w:hAnsi="Times New Roman" w:eastAsia="宋体" w:cs="Times New Roman"/>
                      <w:bCs/>
                      <w:color w:val="auto"/>
                      <w:sz w:val="18"/>
                      <w:szCs w:val="18"/>
                      <w:lang w:val="en"/>
                    </w:rPr>
                    <w:br w:type="textWrapping"/>
                  </w:r>
                  <w:r>
                    <w:rPr>
                      <w:rFonts w:hint="default" w:ascii="Times New Roman" w:hAnsi="Times New Roman" w:eastAsia="宋体" w:cs="Times New Roman"/>
                      <w:bCs/>
                      <w:color w:val="auto"/>
                      <w:sz w:val="18"/>
                      <w:szCs w:val="18"/>
                      <w:lang w:val="en"/>
                    </w:rPr>
                    <w:t>  编制环境影响报告书、环境影响报告表的建设项目竣工后，建设单位应当按照国家规定的标准和程序，对配套建设的环境保护设施进行验收，编制验收报告。配套建设的环境保护设施经验收合格，方可投入生产或者使用；未经验收或者验收不合格的，不得投入生产或者使用。</w:t>
                  </w:r>
                </w:p>
              </w:tc>
              <w:tc>
                <w:tcPr>
                  <w:tcW w:w="1712" w:type="pct"/>
                  <w:tcBorders>
                    <w:tl2br w:val="nil"/>
                    <w:tr2bl w:val="nil"/>
                  </w:tcBorders>
                  <w:shd w:val="clear" w:color="auto" w:fill="auto"/>
                  <w:noWrap w:val="0"/>
                  <w:tcMar>
                    <w:top w:w="0" w:type="dxa"/>
                    <w:left w:w="57" w:type="dxa"/>
                    <w:bottom w:w="0" w:type="dxa"/>
                    <w:right w:w="57" w:type="dxa"/>
                  </w:tcMar>
                  <w:vAlign w:val="center"/>
                </w:tcPr>
                <w:p w14:paraId="74B6BC46">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项目批准后，</w:t>
                  </w:r>
                  <w:r>
                    <w:rPr>
                      <w:rFonts w:hint="default" w:ascii="Times New Roman" w:hAnsi="Times New Roman" w:eastAsia="宋体" w:cs="Times New Roman"/>
                      <w:bCs/>
                      <w:color w:val="auto"/>
                      <w:sz w:val="18"/>
                      <w:szCs w:val="18"/>
                      <w:lang w:val="en"/>
                    </w:rPr>
                    <w:t>项目</w:t>
                  </w:r>
                  <w:r>
                    <w:rPr>
                      <w:rFonts w:hint="default" w:ascii="Times New Roman" w:hAnsi="Times New Roman" w:eastAsia="宋体" w:cs="Times New Roman"/>
                      <w:bCs/>
                      <w:color w:val="auto"/>
                      <w:sz w:val="18"/>
                      <w:szCs w:val="18"/>
                      <w:lang w:val="en-US" w:eastAsia="zh-CN"/>
                    </w:rPr>
                    <w:t>按环评要求</w:t>
                  </w:r>
                  <w:r>
                    <w:rPr>
                      <w:rFonts w:hint="default" w:ascii="Times New Roman" w:hAnsi="Times New Roman" w:eastAsia="宋体" w:cs="Times New Roman"/>
                      <w:bCs/>
                      <w:color w:val="auto"/>
                      <w:sz w:val="18"/>
                      <w:szCs w:val="18"/>
                      <w:lang w:val="en"/>
                    </w:rPr>
                    <w:t>配套建设的环境保护设施应当与主体工程同时设计、同时施工、同时投产使用。</w:t>
                  </w:r>
                </w:p>
              </w:tc>
              <w:tc>
                <w:tcPr>
                  <w:tcW w:w="443" w:type="pct"/>
                  <w:tcBorders>
                    <w:tl2br w:val="nil"/>
                    <w:tr2bl w:val="nil"/>
                  </w:tcBorders>
                  <w:shd w:val="clear" w:color="auto" w:fill="auto"/>
                  <w:noWrap w:val="0"/>
                  <w:vAlign w:val="center"/>
                </w:tcPr>
                <w:p w14:paraId="19957D57">
                  <w:pPr>
                    <w:pStyle w:val="105"/>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符合</w:t>
                  </w:r>
                </w:p>
              </w:tc>
            </w:tr>
            <w:tr w14:paraId="2CBC89A2">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0" w:hRule="atLeast"/>
                <w:jc w:val="center"/>
              </w:trPr>
              <w:tc>
                <w:tcPr>
                  <w:tcW w:w="369" w:type="pct"/>
                  <w:tcBorders>
                    <w:tl2br w:val="nil"/>
                    <w:tr2bl w:val="nil"/>
                  </w:tcBorders>
                  <w:shd w:val="clear" w:color="auto" w:fill="auto"/>
                  <w:noWrap w:val="0"/>
                  <w:tcMar>
                    <w:top w:w="0" w:type="dxa"/>
                    <w:left w:w="57" w:type="dxa"/>
                    <w:bottom w:w="0" w:type="dxa"/>
                    <w:right w:w="57" w:type="dxa"/>
                  </w:tcMar>
                  <w:vAlign w:val="center"/>
                </w:tcPr>
                <w:p w14:paraId="00B1D4B1">
                  <w:pPr>
                    <w:pStyle w:val="105"/>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3</w:t>
                  </w:r>
                </w:p>
              </w:tc>
              <w:tc>
                <w:tcPr>
                  <w:tcW w:w="2475" w:type="pct"/>
                  <w:tcBorders>
                    <w:tl2br w:val="nil"/>
                    <w:tr2bl w:val="nil"/>
                  </w:tcBorders>
                  <w:shd w:val="clear" w:color="auto" w:fill="auto"/>
                  <w:noWrap w:val="0"/>
                  <w:tcMar>
                    <w:top w:w="0" w:type="dxa"/>
                    <w:left w:w="57" w:type="dxa"/>
                    <w:bottom w:w="0" w:type="dxa"/>
                    <w:right w:w="57" w:type="dxa"/>
                  </w:tcMar>
                  <w:vAlign w:val="center"/>
                </w:tcPr>
                <w:p w14:paraId="25F587CA">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
                    </w:rPr>
                  </w:pPr>
                  <w:r>
                    <w:rPr>
                      <w:rFonts w:hint="default" w:ascii="Times New Roman" w:hAnsi="Times New Roman" w:eastAsia="宋体" w:cs="Times New Roman"/>
                      <w:bCs/>
                      <w:color w:val="auto"/>
                      <w:sz w:val="18"/>
                      <w:szCs w:val="18"/>
                      <w:lang w:val="en"/>
                    </w:rPr>
                    <w:t>第三十六条 排放污染物的企业事业单位和其他生产经营者，应当采取措施，防治在生产建设或者其他活动中产生的废气、废水、废渣、医疗废物、粉尘、恶臭气体、放射性物质以及噪声、振动、光辐射、电磁辐射等对生态环境的污染和危害。</w:t>
                  </w:r>
                </w:p>
              </w:tc>
              <w:tc>
                <w:tcPr>
                  <w:tcW w:w="1712" w:type="pct"/>
                  <w:tcBorders>
                    <w:tl2br w:val="nil"/>
                    <w:tr2bl w:val="nil"/>
                  </w:tcBorders>
                  <w:shd w:val="clear" w:color="auto" w:fill="auto"/>
                  <w:noWrap w:val="0"/>
                  <w:tcMar>
                    <w:top w:w="0" w:type="dxa"/>
                    <w:left w:w="57" w:type="dxa"/>
                    <w:bottom w:w="0" w:type="dxa"/>
                    <w:right w:w="57" w:type="dxa"/>
                  </w:tcMar>
                  <w:vAlign w:val="center"/>
                </w:tcPr>
                <w:p w14:paraId="7547A199">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项目生产废水经处理后循环使用，生活污水经化粪池预处理后进入园区污水处理厂；废气采取相应的治理设施处理后达标排放；项目采用低噪声设备，合理布置，安装减震垫噪声达标排放，固废综合利用或合理处置，处置率100%，环评已提出土壤和地下水的污染防治措施</w:t>
                  </w:r>
                  <w:r>
                    <w:rPr>
                      <w:rFonts w:hint="default" w:ascii="Times New Roman" w:hAnsi="Times New Roman" w:eastAsia="宋体" w:cs="Times New Roman"/>
                      <w:bCs/>
                      <w:color w:val="auto"/>
                      <w:sz w:val="18"/>
                      <w:szCs w:val="18"/>
                      <w:lang w:val="en"/>
                    </w:rPr>
                    <w:t>。</w:t>
                  </w:r>
                </w:p>
              </w:tc>
              <w:tc>
                <w:tcPr>
                  <w:tcW w:w="443" w:type="pct"/>
                  <w:tcBorders>
                    <w:tl2br w:val="nil"/>
                    <w:tr2bl w:val="nil"/>
                  </w:tcBorders>
                  <w:shd w:val="clear" w:color="auto" w:fill="auto"/>
                  <w:noWrap w:val="0"/>
                  <w:vAlign w:val="center"/>
                </w:tcPr>
                <w:p w14:paraId="79EF3DD6">
                  <w:pPr>
                    <w:pStyle w:val="105"/>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符合</w:t>
                  </w:r>
                </w:p>
              </w:tc>
            </w:tr>
            <w:tr w14:paraId="03E5D8B7">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0" w:hRule="atLeast"/>
                <w:jc w:val="center"/>
              </w:trPr>
              <w:tc>
                <w:tcPr>
                  <w:tcW w:w="369" w:type="pct"/>
                  <w:tcBorders>
                    <w:tl2br w:val="nil"/>
                    <w:tr2bl w:val="nil"/>
                  </w:tcBorders>
                  <w:shd w:val="clear" w:color="auto" w:fill="auto"/>
                  <w:noWrap w:val="0"/>
                  <w:tcMar>
                    <w:top w:w="0" w:type="dxa"/>
                    <w:left w:w="57" w:type="dxa"/>
                    <w:bottom w:w="0" w:type="dxa"/>
                    <w:right w:w="57" w:type="dxa"/>
                  </w:tcMar>
                  <w:vAlign w:val="center"/>
                </w:tcPr>
                <w:p w14:paraId="4DAC9FE6">
                  <w:pPr>
                    <w:pStyle w:val="105"/>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4</w:t>
                  </w:r>
                </w:p>
              </w:tc>
              <w:tc>
                <w:tcPr>
                  <w:tcW w:w="2475" w:type="pct"/>
                  <w:tcBorders>
                    <w:tl2br w:val="nil"/>
                    <w:tr2bl w:val="nil"/>
                  </w:tcBorders>
                  <w:shd w:val="clear" w:color="auto" w:fill="auto"/>
                  <w:noWrap w:val="0"/>
                  <w:tcMar>
                    <w:top w:w="0" w:type="dxa"/>
                    <w:left w:w="57" w:type="dxa"/>
                    <w:bottom w:w="0" w:type="dxa"/>
                    <w:right w:w="57" w:type="dxa"/>
                  </w:tcMar>
                  <w:vAlign w:val="center"/>
                </w:tcPr>
                <w:p w14:paraId="0FE27E1F">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
                    </w:rPr>
                  </w:pPr>
                  <w:r>
                    <w:rPr>
                      <w:rFonts w:hint="default" w:ascii="Times New Roman" w:hAnsi="Times New Roman" w:eastAsia="宋体" w:cs="Times New Roman"/>
                      <w:bCs/>
                      <w:color w:val="auto"/>
                      <w:sz w:val="18"/>
                      <w:szCs w:val="18"/>
                      <w:lang w:val="en"/>
                    </w:rPr>
                    <w:t> 第三十七条 企业事业单位在执行国家和地方污染物排放标准的同时，应当遵守分解落实到本单位的重点污染物排放总量控制指标。</w:t>
                  </w:r>
                </w:p>
              </w:tc>
              <w:tc>
                <w:tcPr>
                  <w:tcW w:w="1712" w:type="pct"/>
                  <w:tcBorders>
                    <w:tl2br w:val="nil"/>
                    <w:tr2bl w:val="nil"/>
                  </w:tcBorders>
                  <w:shd w:val="clear" w:color="auto" w:fill="auto"/>
                  <w:noWrap w:val="0"/>
                  <w:tcMar>
                    <w:top w:w="0" w:type="dxa"/>
                    <w:left w:w="57" w:type="dxa"/>
                    <w:bottom w:w="0" w:type="dxa"/>
                    <w:right w:w="57" w:type="dxa"/>
                  </w:tcMar>
                  <w:vAlign w:val="center"/>
                </w:tcPr>
                <w:p w14:paraId="42A55126">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本项目不涉及重点污染物排放总量。</w:t>
                  </w:r>
                </w:p>
              </w:tc>
              <w:tc>
                <w:tcPr>
                  <w:tcW w:w="443" w:type="pct"/>
                  <w:tcBorders>
                    <w:tl2br w:val="nil"/>
                    <w:tr2bl w:val="nil"/>
                  </w:tcBorders>
                  <w:shd w:val="clear" w:color="auto" w:fill="auto"/>
                  <w:noWrap w:val="0"/>
                  <w:vAlign w:val="center"/>
                </w:tcPr>
                <w:p w14:paraId="289BF989">
                  <w:pPr>
                    <w:pStyle w:val="105"/>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符合</w:t>
                  </w:r>
                </w:p>
              </w:tc>
            </w:tr>
            <w:tr w14:paraId="745268E3">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0" w:hRule="atLeast"/>
                <w:jc w:val="center"/>
              </w:trPr>
              <w:tc>
                <w:tcPr>
                  <w:tcW w:w="369" w:type="pct"/>
                  <w:tcBorders>
                    <w:tl2br w:val="nil"/>
                    <w:tr2bl w:val="nil"/>
                  </w:tcBorders>
                  <w:shd w:val="clear" w:color="auto" w:fill="auto"/>
                  <w:noWrap w:val="0"/>
                  <w:tcMar>
                    <w:top w:w="0" w:type="dxa"/>
                    <w:left w:w="57" w:type="dxa"/>
                    <w:bottom w:w="0" w:type="dxa"/>
                    <w:right w:w="57" w:type="dxa"/>
                  </w:tcMar>
                  <w:vAlign w:val="center"/>
                </w:tcPr>
                <w:p w14:paraId="466E79CB">
                  <w:pPr>
                    <w:pStyle w:val="105"/>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5</w:t>
                  </w:r>
                </w:p>
              </w:tc>
              <w:tc>
                <w:tcPr>
                  <w:tcW w:w="2475" w:type="pct"/>
                  <w:tcBorders>
                    <w:tl2br w:val="nil"/>
                    <w:tr2bl w:val="nil"/>
                  </w:tcBorders>
                  <w:shd w:val="clear" w:color="auto" w:fill="auto"/>
                  <w:noWrap w:val="0"/>
                  <w:tcMar>
                    <w:top w:w="0" w:type="dxa"/>
                    <w:left w:w="57" w:type="dxa"/>
                    <w:bottom w:w="0" w:type="dxa"/>
                    <w:right w:w="57" w:type="dxa"/>
                  </w:tcMar>
                  <w:vAlign w:val="center"/>
                </w:tcPr>
                <w:p w14:paraId="21CB2B52">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
                    </w:rPr>
                  </w:pPr>
                  <w:r>
                    <w:rPr>
                      <w:rFonts w:hint="default" w:ascii="Times New Roman" w:hAnsi="Times New Roman" w:eastAsia="宋体" w:cs="Times New Roman"/>
                      <w:bCs/>
                      <w:color w:val="auto"/>
                      <w:sz w:val="18"/>
                      <w:szCs w:val="18"/>
                      <w:lang w:val="en"/>
                    </w:rPr>
                    <w:t>第三十八条 落实以排污许可制为核心的固定污染源监管制度。依照法律规定实行排污许可管理的企业事业单位和其他生产经营者，应当依法申请取得排污许可证；未取得排污许可证的，不得排放污染物。</w:t>
                  </w:r>
                </w:p>
              </w:tc>
              <w:tc>
                <w:tcPr>
                  <w:tcW w:w="1712" w:type="pct"/>
                  <w:tcBorders>
                    <w:tl2br w:val="nil"/>
                    <w:tr2bl w:val="nil"/>
                  </w:tcBorders>
                  <w:shd w:val="clear" w:color="auto" w:fill="auto"/>
                  <w:noWrap w:val="0"/>
                  <w:tcMar>
                    <w:top w:w="0" w:type="dxa"/>
                    <w:left w:w="57" w:type="dxa"/>
                    <w:bottom w:w="0" w:type="dxa"/>
                    <w:right w:w="57" w:type="dxa"/>
                  </w:tcMar>
                  <w:vAlign w:val="center"/>
                </w:tcPr>
                <w:p w14:paraId="19E80E5B">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项目建成后</w:t>
                  </w:r>
                  <w:r>
                    <w:rPr>
                      <w:rFonts w:hint="default" w:ascii="Times New Roman" w:hAnsi="Times New Roman" w:eastAsia="宋体" w:cs="Times New Roman"/>
                      <w:bCs/>
                      <w:color w:val="auto"/>
                      <w:sz w:val="18"/>
                      <w:szCs w:val="18"/>
                      <w:lang w:val="en"/>
                    </w:rPr>
                    <w:t>依法申请</w:t>
                  </w:r>
                  <w:r>
                    <w:rPr>
                      <w:rFonts w:hint="default" w:ascii="Times New Roman" w:hAnsi="Times New Roman" w:eastAsia="宋体" w:cs="Times New Roman"/>
                      <w:bCs/>
                      <w:color w:val="auto"/>
                      <w:sz w:val="18"/>
                      <w:szCs w:val="18"/>
                      <w:lang w:val="en-US" w:eastAsia="zh-CN"/>
                    </w:rPr>
                    <w:t>变更</w:t>
                  </w:r>
                  <w:r>
                    <w:rPr>
                      <w:rFonts w:hint="default" w:ascii="Times New Roman" w:hAnsi="Times New Roman" w:eastAsia="宋体" w:cs="Times New Roman"/>
                      <w:bCs/>
                      <w:color w:val="auto"/>
                      <w:sz w:val="18"/>
                      <w:szCs w:val="18"/>
                      <w:lang w:val="en"/>
                    </w:rPr>
                    <w:t>排污许可证</w:t>
                  </w:r>
                  <w:r>
                    <w:rPr>
                      <w:rFonts w:hint="default" w:ascii="Times New Roman" w:hAnsi="Times New Roman" w:eastAsia="宋体" w:cs="Times New Roman"/>
                      <w:bCs/>
                      <w:color w:val="auto"/>
                      <w:sz w:val="18"/>
                      <w:szCs w:val="18"/>
                      <w:lang w:val="en" w:eastAsia="zh-CN"/>
                    </w:rPr>
                    <w:t>。</w:t>
                  </w:r>
                </w:p>
              </w:tc>
              <w:tc>
                <w:tcPr>
                  <w:tcW w:w="443" w:type="pct"/>
                  <w:tcBorders>
                    <w:tl2br w:val="nil"/>
                    <w:tr2bl w:val="nil"/>
                  </w:tcBorders>
                  <w:shd w:val="clear" w:color="auto" w:fill="auto"/>
                  <w:noWrap w:val="0"/>
                  <w:vAlign w:val="center"/>
                </w:tcPr>
                <w:p w14:paraId="702AFA76">
                  <w:pPr>
                    <w:pStyle w:val="105"/>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符合</w:t>
                  </w:r>
                </w:p>
              </w:tc>
            </w:tr>
            <w:tr w14:paraId="0EEF3515">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0" w:hRule="atLeast"/>
                <w:jc w:val="center"/>
              </w:trPr>
              <w:tc>
                <w:tcPr>
                  <w:tcW w:w="369" w:type="pct"/>
                  <w:tcBorders>
                    <w:tl2br w:val="nil"/>
                    <w:tr2bl w:val="nil"/>
                  </w:tcBorders>
                  <w:shd w:val="clear" w:color="auto" w:fill="auto"/>
                  <w:noWrap w:val="0"/>
                  <w:tcMar>
                    <w:top w:w="0" w:type="dxa"/>
                    <w:left w:w="57" w:type="dxa"/>
                    <w:bottom w:w="0" w:type="dxa"/>
                    <w:right w:w="57" w:type="dxa"/>
                  </w:tcMar>
                  <w:vAlign w:val="center"/>
                </w:tcPr>
                <w:p w14:paraId="6D3EB306">
                  <w:pPr>
                    <w:pStyle w:val="105"/>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6</w:t>
                  </w:r>
                </w:p>
              </w:tc>
              <w:tc>
                <w:tcPr>
                  <w:tcW w:w="2475" w:type="pct"/>
                  <w:tcBorders>
                    <w:tl2br w:val="nil"/>
                    <w:tr2bl w:val="nil"/>
                  </w:tcBorders>
                  <w:shd w:val="clear" w:color="auto" w:fill="auto"/>
                  <w:noWrap w:val="0"/>
                  <w:tcMar>
                    <w:top w:w="0" w:type="dxa"/>
                    <w:left w:w="57" w:type="dxa"/>
                    <w:bottom w:w="0" w:type="dxa"/>
                    <w:right w:w="57" w:type="dxa"/>
                  </w:tcMar>
                  <w:vAlign w:val="center"/>
                </w:tcPr>
                <w:p w14:paraId="2DE4D7B0">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
                    </w:rPr>
                  </w:pPr>
                  <w:r>
                    <w:rPr>
                      <w:rFonts w:hint="default" w:ascii="Times New Roman" w:hAnsi="Times New Roman" w:eastAsia="宋体" w:cs="Times New Roman"/>
                      <w:bCs/>
                      <w:color w:val="auto"/>
                      <w:sz w:val="18"/>
                      <w:szCs w:val="18"/>
                      <w:lang w:val="en"/>
                    </w:rPr>
                    <w:t>第三十九条 依照法律规定实行排污许可管理的企业事业单位和其他生产经营者应当按照排污许可证规定和有关标准规范，依法开展自行监测，保存原始监测记录，并对自行监测数据的真实性、准确性负责，不得篡改、伪造。</w:t>
                  </w:r>
                </w:p>
              </w:tc>
              <w:tc>
                <w:tcPr>
                  <w:tcW w:w="1712" w:type="pct"/>
                  <w:tcBorders>
                    <w:tl2br w:val="nil"/>
                    <w:tr2bl w:val="nil"/>
                  </w:tcBorders>
                  <w:shd w:val="clear" w:color="auto" w:fill="auto"/>
                  <w:noWrap w:val="0"/>
                  <w:tcMar>
                    <w:top w:w="0" w:type="dxa"/>
                    <w:left w:w="57" w:type="dxa"/>
                    <w:bottom w:w="0" w:type="dxa"/>
                    <w:right w:w="57" w:type="dxa"/>
                  </w:tcMar>
                  <w:vAlign w:val="center"/>
                </w:tcPr>
                <w:p w14:paraId="4BB7E9E8">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项目建成后</w:t>
                  </w:r>
                  <w:r>
                    <w:rPr>
                      <w:rFonts w:hint="default" w:ascii="Times New Roman" w:hAnsi="Times New Roman" w:eastAsia="宋体" w:cs="Times New Roman"/>
                      <w:bCs/>
                      <w:color w:val="auto"/>
                      <w:sz w:val="18"/>
                      <w:szCs w:val="18"/>
                      <w:lang w:val="en"/>
                    </w:rPr>
                    <w:t>依法展自行监测，保存原始监测记录，并对自行监测数据的真实性、准确性负责</w:t>
                  </w:r>
                  <w:r>
                    <w:rPr>
                      <w:rFonts w:hint="default" w:ascii="Times New Roman" w:hAnsi="Times New Roman" w:eastAsia="宋体" w:cs="Times New Roman"/>
                      <w:bCs/>
                      <w:color w:val="auto"/>
                      <w:sz w:val="18"/>
                      <w:szCs w:val="18"/>
                      <w:lang w:val="en" w:eastAsia="zh-CN"/>
                    </w:rPr>
                    <w:t>。</w:t>
                  </w:r>
                </w:p>
              </w:tc>
              <w:tc>
                <w:tcPr>
                  <w:tcW w:w="443" w:type="pct"/>
                  <w:tcBorders>
                    <w:tl2br w:val="nil"/>
                    <w:tr2bl w:val="nil"/>
                  </w:tcBorders>
                  <w:shd w:val="clear" w:color="auto" w:fill="auto"/>
                  <w:noWrap w:val="0"/>
                  <w:vAlign w:val="center"/>
                </w:tcPr>
                <w:p w14:paraId="5657EFAE">
                  <w:pPr>
                    <w:pStyle w:val="105"/>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符合</w:t>
                  </w:r>
                </w:p>
              </w:tc>
            </w:tr>
            <w:tr w14:paraId="420F936B">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69" w:type="pct"/>
                  <w:tcBorders>
                    <w:tl2br w:val="nil"/>
                    <w:tr2bl w:val="nil"/>
                  </w:tcBorders>
                  <w:shd w:val="clear" w:color="auto" w:fill="auto"/>
                  <w:noWrap w:val="0"/>
                  <w:tcMar>
                    <w:top w:w="0" w:type="dxa"/>
                    <w:left w:w="57" w:type="dxa"/>
                    <w:bottom w:w="0" w:type="dxa"/>
                    <w:right w:w="57" w:type="dxa"/>
                  </w:tcMar>
                  <w:vAlign w:val="center"/>
                </w:tcPr>
                <w:p w14:paraId="09A7860C">
                  <w:pPr>
                    <w:pStyle w:val="105"/>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7</w:t>
                  </w:r>
                </w:p>
              </w:tc>
              <w:tc>
                <w:tcPr>
                  <w:tcW w:w="2475" w:type="pct"/>
                  <w:tcBorders>
                    <w:tl2br w:val="nil"/>
                    <w:tr2bl w:val="nil"/>
                  </w:tcBorders>
                  <w:shd w:val="clear" w:color="auto" w:fill="auto"/>
                  <w:noWrap w:val="0"/>
                  <w:tcMar>
                    <w:top w:w="0" w:type="dxa"/>
                    <w:left w:w="57" w:type="dxa"/>
                    <w:bottom w:w="0" w:type="dxa"/>
                    <w:right w:w="57" w:type="dxa"/>
                  </w:tcMar>
                  <w:vAlign w:val="center"/>
                </w:tcPr>
                <w:p w14:paraId="578B3DD8">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
                    </w:rPr>
                    <w:t>第四十五条 产生危险废物的单位，应当按照国家有关规定和环境保护标准要求贮存、利用、处置危险废物，不得擅自倾倒、堆放。</w:t>
                  </w:r>
                </w:p>
              </w:tc>
              <w:tc>
                <w:tcPr>
                  <w:tcW w:w="1712" w:type="pct"/>
                  <w:tcBorders>
                    <w:tl2br w:val="nil"/>
                    <w:tr2bl w:val="nil"/>
                  </w:tcBorders>
                  <w:shd w:val="clear" w:color="auto" w:fill="auto"/>
                  <w:noWrap w:val="0"/>
                  <w:tcMar>
                    <w:top w:w="0" w:type="dxa"/>
                    <w:left w:w="57" w:type="dxa"/>
                    <w:bottom w:w="0" w:type="dxa"/>
                    <w:right w:w="57" w:type="dxa"/>
                  </w:tcMar>
                  <w:vAlign w:val="center"/>
                </w:tcPr>
                <w:p w14:paraId="43F6A017">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
                    </w:rPr>
                    <w:t>项目设置危险废物贮存库</w:t>
                  </w:r>
                  <w:r>
                    <w:rPr>
                      <w:rFonts w:hint="default" w:ascii="Times New Roman" w:hAnsi="Times New Roman" w:eastAsia="宋体" w:cs="Times New Roman"/>
                      <w:bCs/>
                      <w:color w:val="auto"/>
                      <w:sz w:val="18"/>
                      <w:szCs w:val="18"/>
                      <w:lang w:val="en-US" w:eastAsia="zh-CN"/>
                    </w:rPr>
                    <w:t>贮存废机油</w:t>
                  </w:r>
                  <w:r>
                    <w:rPr>
                      <w:rFonts w:hint="default" w:ascii="Times New Roman" w:hAnsi="Times New Roman" w:eastAsia="宋体" w:cs="Times New Roman"/>
                      <w:bCs/>
                      <w:color w:val="auto"/>
                      <w:sz w:val="18"/>
                      <w:szCs w:val="18"/>
                      <w:lang w:val="en"/>
                    </w:rPr>
                    <w:t>。</w:t>
                  </w:r>
                </w:p>
                <w:p w14:paraId="13BC44D2">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
                    </w:rPr>
                    <w:t>本环评提出，在运营过程中禁止将危险废物混入非危险废物中贮存，同时暂存时间禁止超过一年。</w:t>
                  </w:r>
                </w:p>
              </w:tc>
              <w:tc>
                <w:tcPr>
                  <w:tcW w:w="443" w:type="pct"/>
                  <w:tcBorders>
                    <w:tl2br w:val="nil"/>
                    <w:tr2bl w:val="nil"/>
                  </w:tcBorders>
                  <w:shd w:val="clear" w:color="auto" w:fill="auto"/>
                  <w:noWrap w:val="0"/>
                  <w:vAlign w:val="center"/>
                </w:tcPr>
                <w:p w14:paraId="534D07ED">
                  <w:pPr>
                    <w:pStyle w:val="105"/>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符合</w:t>
                  </w:r>
                </w:p>
              </w:tc>
            </w:tr>
            <w:tr w14:paraId="6C10258F">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0" w:hRule="atLeast"/>
                <w:jc w:val="center"/>
              </w:trPr>
              <w:tc>
                <w:tcPr>
                  <w:tcW w:w="369" w:type="pct"/>
                  <w:tcBorders>
                    <w:tl2br w:val="nil"/>
                    <w:tr2bl w:val="nil"/>
                  </w:tcBorders>
                  <w:shd w:val="clear" w:color="auto" w:fill="auto"/>
                  <w:noWrap w:val="0"/>
                  <w:tcMar>
                    <w:top w:w="0" w:type="dxa"/>
                    <w:left w:w="57" w:type="dxa"/>
                    <w:bottom w:w="0" w:type="dxa"/>
                    <w:right w:w="57" w:type="dxa"/>
                  </w:tcMar>
                  <w:vAlign w:val="center"/>
                </w:tcPr>
                <w:p w14:paraId="63E98EF5">
                  <w:pPr>
                    <w:pStyle w:val="105"/>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8</w:t>
                  </w:r>
                </w:p>
              </w:tc>
              <w:tc>
                <w:tcPr>
                  <w:tcW w:w="2475" w:type="pct"/>
                  <w:tcBorders>
                    <w:tl2br w:val="nil"/>
                    <w:tr2bl w:val="nil"/>
                  </w:tcBorders>
                  <w:shd w:val="clear" w:color="auto" w:fill="auto"/>
                  <w:noWrap w:val="0"/>
                  <w:tcMar>
                    <w:top w:w="0" w:type="dxa"/>
                    <w:left w:w="57" w:type="dxa"/>
                    <w:bottom w:w="0" w:type="dxa"/>
                    <w:right w:w="57" w:type="dxa"/>
                  </w:tcMar>
                  <w:vAlign w:val="center"/>
                </w:tcPr>
                <w:p w14:paraId="4234B35D">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
                    </w:rPr>
                    <w:t>第四十七条 排放噪声的单位和个人应当采取有效措施，使其排放的噪声符合国家规定的排放标准。</w:t>
                  </w:r>
                  <w:r>
                    <w:rPr>
                      <w:rFonts w:hint="default" w:ascii="Times New Roman" w:hAnsi="Times New Roman" w:eastAsia="宋体" w:cs="Times New Roman"/>
                      <w:bCs/>
                      <w:color w:val="auto"/>
                      <w:sz w:val="18"/>
                      <w:szCs w:val="18"/>
                      <w:lang w:val="en-US" w:eastAsia="zh-CN"/>
                    </w:rPr>
                    <w:t xml:space="preserve"> </w:t>
                  </w:r>
                </w:p>
              </w:tc>
              <w:tc>
                <w:tcPr>
                  <w:tcW w:w="1712" w:type="pct"/>
                  <w:tcBorders>
                    <w:tl2br w:val="nil"/>
                    <w:tr2bl w:val="nil"/>
                  </w:tcBorders>
                  <w:shd w:val="clear" w:color="auto" w:fill="auto"/>
                  <w:noWrap w:val="0"/>
                  <w:tcMar>
                    <w:top w:w="0" w:type="dxa"/>
                    <w:left w:w="57" w:type="dxa"/>
                    <w:bottom w:w="0" w:type="dxa"/>
                    <w:right w:w="57" w:type="dxa"/>
                  </w:tcMar>
                  <w:vAlign w:val="center"/>
                </w:tcPr>
                <w:p w14:paraId="71E74CC4">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项目采用低噪声设备，合理布置，安装减震垫噪声达标排放</w:t>
                  </w:r>
                </w:p>
              </w:tc>
              <w:tc>
                <w:tcPr>
                  <w:tcW w:w="443" w:type="pct"/>
                  <w:tcBorders>
                    <w:tl2br w:val="nil"/>
                    <w:tr2bl w:val="nil"/>
                  </w:tcBorders>
                  <w:shd w:val="clear" w:color="auto" w:fill="auto"/>
                  <w:noWrap w:val="0"/>
                  <w:vAlign w:val="center"/>
                </w:tcPr>
                <w:p w14:paraId="18D91834">
                  <w:pPr>
                    <w:pStyle w:val="105"/>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符合</w:t>
                  </w:r>
                </w:p>
              </w:tc>
            </w:tr>
            <w:tr w14:paraId="7036F048">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0" w:hRule="atLeast"/>
                <w:jc w:val="center"/>
              </w:trPr>
              <w:tc>
                <w:tcPr>
                  <w:tcW w:w="369" w:type="pct"/>
                  <w:tcBorders>
                    <w:tl2br w:val="nil"/>
                    <w:tr2bl w:val="nil"/>
                  </w:tcBorders>
                  <w:shd w:val="clear" w:color="auto" w:fill="auto"/>
                  <w:noWrap w:val="0"/>
                  <w:tcMar>
                    <w:top w:w="0" w:type="dxa"/>
                    <w:left w:w="57" w:type="dxa"/>
                    <w:bottom w:w="0" w:type="dxa"/>
                    <w:right w:w="57" w:type="dxa"/>
                  </w:tcMar>
                  <w:vAlign w:val="center"/>
                </w:tcPr>
                <w:p w14:paraId="1827924C">
                  <w:pPr>
                    <w:pStyle w:val="105"/>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9</w:t>
                  </w:r>
                </w:p>
              </w:tc>
              <w:tc>
                <w:tcPr>
                  <w:tcW w:w="2475" w:type="pct"/>
                  <w:tcBorders>
                    <w:tl2br w:val="nil"/>
                    <w:tr2bl w:val="nil"/>
                  </w:tcBorders>
                  <w:shd w:val="clear" w:color="auto" w:fill="auto"/>
                  <w:noWrap w:val="0"/>
                  <w:tcMar>
                    <w:top w:w="0" w:type="dxa"/>
                    <w:left w:w="57" w:type="dxa"/>
                    <w:bottom w:w="0" w:type="dxa"/>
                    <w:right w:w="57" w:type="dxa"/>
                  </w:tcMar>
                  <w:vAlign w:val="center"/>
                </w:tcPr>
                <w:p w14:paraId="3D1B7CF1">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
                    </w:rPr>
                  </w:pPr>
                  <w:r>
                    <w:rPr>
                      <w:rFonts w:hint="default" w:ascii="Times New Roman" w:hAnsi="Times New Roman" w:eastAsia="宋体" w:cs="Times New Roman"/>
                      <w:bCs/>
                      <w:color w:val="auto"/>
                      <w:sz w:val="18"/>
                      <w:szCs w:val="18"/>
                      <w:lang w:val="en"/>
                    </w:rPr>
                    <w:t>第四十九条 企业事业单位应当按照规定，在开展突发环境事件风险评估和应急资源调查的基础上制定突发环境事件应急预案，并按照分类分级管理的原则，报县级以上人民政府生态环境主管部门备案。</w:t>
                  </w:r>
                  <w:r>
                    <w:rPr>
                      <w:rFonts w:hint="default" w:ascii="Times New Roman" w:hAnsi="Times New Roman" w:eastAsia="宋体" w:cs="Times New Roman"/>
                      <w:bCs/>
                      <w:color w:val="auto"/>
                      <w:sz w:val="18"/>
                      <w:szCs w:val="18"/>
                      <w:lang w:val="en"/>
                    </w:rPr>
                    <w:br w:type="textWrapping"/>
                  </w:r>
                  <w:r>
                    <w:rPr>
                      <w:rFonts w:hint="default" w:ascii="Times New Roman" w:hAnsi="Times New Roman" w:eastAsia="宋体" w:cs="Times New Roman"/>
                      <w:bCs/>
                      <w:color w:val="auto"/>
                      <w:sz w:val="18"/>
                      <w:szCs w:val="18"/>
                      <w:lang w:val="en"/>
                    </w:rPr>
                    <w:t>  编制应急预案的有关部门和企业事业单位，应当定期开展应急演练，依法组织做好突发环境事件的风险控制、应急准备、应急处置和事后恢复等工作。</w:t>
                  </w:r>
                </w:p>
              </w:tc>
              <w:tc>
                <w:tcPr>
                  <w:tcW w:w="1712" w:type="pct"/>
                  <w:tcBorders>
                    <w:tl2br w:val="nil"/>
                    <w:tr2bl w:val="nil"/>
                  </w:tcBorders>
                  <w:shd w:val="clear" w:color="auto" w:fill="auto"/>
                  <w:noWrap w:val="0"/>
                  <w:tcMar>
                    <w:top w:w="0" w:type="dxa"/>
                    <w:left w:w="57" w:type="dxa"/>
                    <w:bottom w:w="0" w:type="dxa"/>
                    <w:right w:w="57" w:type="dxa"/>
                  </w:tcMar>
                  <w:vAlign w:val="center"/>
                </w:tcPr>
                <w:p w14:paraId="4515FE66">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企业将按要求修编《突发环境事件应急预案》（包含环境风险评估报告），并定期进行演练。</w:t>
                  </w:r>
                </w:p>
              </w:tc>
              <w:tc>
                <w:tcPr>
                  <w:tcW w:w="443" w:type="pct"/>
                  <w:tcBorders>
                    <w:tl2br w:val="nil"/>
                    <w:tr2bl w:val="nil"/>
                  </w:tcBorders>
                  <w:shd w:val="clear" w:color="auto" w:fill="auto"/>
                  <w:noWrap w:val="0"/>
                  <w:vAlign w:val="center"/>
                </w:tcPr>
                <w:p w14:paraId="440D565C">
                  <w:pPr>
                    <w:pStyle w:val="105"/>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符合</w:t>
                  </w:r>
                </w:p>
              </w:tc>
            </w:tr>
            <w:tr w14:paraId="06D0C4CE">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40" w:hRule="atLeast"/>
                <w:jc w:val="center"/>
              </w:trPr>
              <w:tc>
                <w:tcPr>
                  <w:tcW w:w="369" w:type="pct"/>
                  <w:tcBorders>
                    <w:tl2br w:val="nil"/>
                    <w:tr2bl w:val="nil"/>
                  </w:tcBorders>
                  <w:shd w:val="clear" w:color="auto" w:fill="auto"/>
                  <w:noWrap w:val="0"/>
                  <w:tcMar>
                    <w:top w:w="0" w:type="dxa"/>
                    <w:left w:w="57" w:type="dxa"/>
                    <w:bottom w:w="0" w:type="dxa"/>
                    <w:right w:w="57" w:type="dxa"/>
                  </w:tcMar>
                  <w:vAlign w:val="center"/>
                </w:tcPr>
                <w:p w14:paraId="26F74FB7">
                  <w:pPr>
                    <w:pStyle w:val="105"/>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10</w:t>
                  </w:r>
                </w:p>
              </w:tc>
              <w:tc>
                <w:tcPr>
                  <w:tcW w:w="2475" w:type="pct"/>
                  <w:tcBorders>
                    <w:tl2br w:val="nil"/>
                    <w:tr2bl w:val="nil"/>
                  </w:tcBorders>
                  <w:shd w:val="clear" w:color="auto" w:fill="auto"/>
                  <w:noWrap w:val="0"/>
                  <w:tcMar>
                    <w:top w:w="0" w:type="dxa"/>
                    <w:left w:w="57" w:type="dxa"/>
                    <w:bottom w:w="0" w:type="dxa"/>
                    <w:right w:w="57" w:type="dxa"/>
                  </w:tcMar>
                  <w:vAlign w:val="center"/>
                </w:tcPr>
                <w:p w14:paraId="2575FC1E">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
                    </w:rPr>
                  </w:pPr>
                  <w:r>
                    <w:rPr>
                      <w:rFonts w:hint="default" w:ascii="Times New Roman" w:hAnsi="Times New Roman" w:eastAsia="宋体" w:cs="Times New Roman"/>
                      <w:bCs/>
                      <w:color w:val="auto"/>
                      <w:sz w:val="18"/>
                      <w:szCs w:val="18"/>
                      <w:lang w:val="en"/>
                    </w:rPr>
                    <w:t>第五十六条 鼓励企业开展清洁生产的科学研究和技术开发，推广应用节能减排新技术、新工艺、新产品，推动绿色低碳循环发展。</w:t>
                  </w:r>
                </w:p>
              </w:tc>
              <w:tc>
                <w:tcPr>
                  <w:tcW w:w="1712" w:type="pct"/>
                  <w:tcBorders>
                    <w:tl2br w:val="nil"/>
                    <w:tr2bl w:val="nil"/>
                  </w:tcBorders>
                  <w:shd w:val="clear" w:color="auto" w:fill="auto"/>
                  <w:noWrap w:val="0"/>
                  <w:tcMar>
                    <w:top w:w="0" w:type="dxa"/>
                    <w:left w:w="57" w:type="dxa"/>
                    <w:bottom w:w="0" w:type="dxa"/>
                    <w:right w:w="57" w:type="dxa"/>
                  </w:tcMar>
                  <w:vAlign w:val="center"/>
                </w:tcPr>
                <w:p w14:paraId="3F7F8891">
                  <w:pPr>
                    <w:pStyle w:val="31"/>
                    <w:shd w:val="clear" w:color="auto" w:fill="FFFFFF"/>
                    <w:spacing w:before="0" w:beforeAutospacing="0" w:after="0" w:afterAutospacing="0"/>
                    <w:ind w:firstLine="360" w:firstLineChars="200"/>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
                    </w:rPr>
                    <w:t>本项目采取清洁生产审核，按照国家规定建设</w:t>
                  </w:r>
                  <w:r>
                    <w:rPr>
                      <w:rFonts w:hint="default" w:ascii="Times New Roman" w:hAnsi="Times New Roman" w:eastAsia="宋体" w:cs="Times New Roman"/>
                      <w:bCs/>
                      <w:color w:val="auto"/>
                      <w:sz w:val="18"/>
                      <w:szCs w:val="18"/>
                      <w:lang w:val="en-US" w:eastAsia="zh-CN"/>
                    </w:rPr>
                    <w:t>生产</w:t>
                  </w:r>
                  <w:r>
                    <w:rPr>
                      <w:rFonts w:hint="default" w:ascii="Times New Roman" w:hAnsi="Times New Roman" w:eastAsia="宋体" w:cs="Times New Roman"/>
                      <w:bCs/>
                      <w:color w:val="auto"/>
                      <w:sz w:val="18"/>
                      <w:szCs w:val="18"/>
                      <w:lang w:val="en"/>
                    </w:rPr>
                    <w:t>，符合国家环境保护标准。</w:t>
                  </w:r>
                </w:p>
              </w:tc>
              <w:tc>
                <w:tcPr>
                  <w:tcW w:w="443" w:type="pct"/>
                  <w:tcBorders>
                    <w:tl2br w:val="nil"/>
                    <w:tr2bl w:val="nil"/>
                  </w:tcBorders>
                  <w:shd w:val="clear" w:color="auto" w:fill="auto"/>
                  <w:noWrap w:val="0"/>
                  <w:vAlign w:val="center"/>
                </w:tcPr>
                <w:p w14:paraId="25681673">
                  <w:pPr>
                    <w:pStyle w:val="105"/>
                    <w:topLinePunct/>
                    <w:adjustRightInd w:val="0"/>
                    <w:snapToGri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符合</w:t>
                  </w:r>
                </w:p>
              </w:tc>
            </w:tr>
          </w:tbl>
          <w:p w14:paraId="0103F8FC">
            <w:pPr>
              <w:adjustRightInd w:val="0"/>
              <w:snapToGrid w:val="0"/>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lang w:val="en-US" w:eastAsia="zh-CN"/>
              </w:rPr>
              <w:t>据上表分析，本项目不违反《云南省生物多样性保护条例》的相关要求。</w:t>
            </w:r>
          </w:p>
          <w:p w14:paraId="46762C7B">
            <w:pPr>
              <w:pStyle w:val="5"/>
              <w:adjustRightInd w:val="0"/>
              <w:snapToGrid w:val="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16、项目选址合理性分析</w:t>
            </w:r>
          </w:p>
          <w:p w14:paraId="607330A1">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项目位于云南通海产业园区认定范围内，园区为《云南省长江经济带发展负面清单指南实施细则（试行，2022年版）》中合规园区，项目符合园区规划和功能定位。</w:t>
            </w:r>
          </w:p>
          <w:p w14:paraId="461C0699">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在现有的生产车间内进行建设，无新增用地，与公司现有生产线相容，选址不涉及生态保护红线，不涉及国家级和省级自然保护区、风景名胜区、饮用水源保护区、森林公园等环境敏感区和特殊生态功能区，不占用永久基本农田保护区。项目用地为三类工业用地，项目区交通便利、园区供水、供电等设施齐全，所在区域环境质量现状能满足本项目的建设，建设单位严格落实设计、可研和本报告所提出的污染防治对策措施后，项目的建设和运营不会改变评价区域的环境功能。</w:t>
            </w:r>
          </w:p>
          <w:p w14:paraId="65534348">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综上，本项目选址合理。</w:t>
            </w:r>
          </w:p>
          <w:p w14:paraId="343EBA49">
            <w:pPr>
              <w:pStyle w:val="5"/>
              <w:adjustRightInd w:val="0"/>
              <w:snapToGrid w:val="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17、平面布局合理性分析</w:t>
            </w:r>
          </w:p>
          <w:p w14:paraId="0D308084">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在现有的生产车间内进行建设，车间厂房位于厂区南面，生产厂房结合生产工艺呈“U”字型布置，从西向东依次布置有剪切机、感应加热炉、穿孔机、减定径机、链式冷床、矫直机及锯切机等生产设备。在满足生产工艺的前提下，车间功能布局按照工艺流程顺序布置、考虑了物料运输及出入的需求，布置紧凑，各功能区区划明确、布置较为合理。</w:t>
            </w:r>
          </w:p>
          <w:p w14:paraId="3C40E223">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本项目厂区总平面布置详见附图2。</w:t>
            </w:r>
          </w:p>
          <w:p w14:paraId="1A367DF4">
            <w:pPr>
              <w:pStyle w:val="34"/>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14:paraId="6633B987">
            <w:pPr>
              <w:rPr>
                <w:rFonts w:hint="default" w:ascii="Times New Roman" w:hAnsi="Times New Roman" w:cs="Times New Roman"/>
                <w:color w:val="auto"/>
                <w:sz w:val="24"/>
              </w:rPr>
            </w:pPr>
          </w:p>
          <w:p w14:paraId="7F00DA6A">
            <w:pPr>
              <w:rPr>
                <w:rFonts w:hint="default" w:ascii="Times New Roman" w:hAnsi="Times New Roman" w:cs="Times New Roman"/>
                <w:color w:val="auto"/>
                <w:sz w:val="24"/>
              </w:rPr>
            </w:pPr>
          </w:p>
          <w:p w14:paraId="1DFABD7D">
            <w:pPr>
              <w:rPr>
                <w:rFonts w:hint="default" w:ascii="Times New Roman" w:hAnsi="Times New Roman" w:cs="Times New Roman"/>
                <w:color w:val="auto"/>
                <w:sz w:val="24"/>
              </w:rPr>
            </w:pPr>
          </w:p>
          <w:p w14:paraId="6AB514CD">
            <w:pPr>
              <w:rPr>
                <w:rFonts w:hint="default" w:ascii="Times New Roman" w:hAnsi="Times New Roman" w:cs="Times New Roman"/>
                <w:color w:val="auto"/>
                <w:sz w:val="24"/>
              </w:rPr>
            </w:pPr>
          </w:p>
          <w:p w14:paraId="3D93C298">
            <w:pPr>
              <w:rPr>
                <w:rFonts w:hint="default" w:ascii="Times New Roman" w:hAnsi="Times New Roman" w:cs="Times New Roman"/>
                <w:color w:val="auto"/>
                <w:sz w:val="24"/>
              </w:rPr>
            </w:pPr>
          </w:p>
          <w:p w14:paraId="6BDE3C59">
            <w:pPr>
              <w:rPr>
                <w:rFonts w:hint="default" w:ascii="Times New Roman" w:hAnsi="Times New Roman" w:cs="Times New Roman"/>
                <w:color w:val="auto"/>
                <w:sz w:val="24"/>
              </w:rPr>
            </w:pPr>
          </w:p>
          <w:p w14:paraId="450074CA">
            <w:pPr>
              <w:rPr>
                <w:rFonts w:hint="default" w:ascii="Times New Roman" w:hAnsi="Times New Roman" w:cs="Times New Roman"/>
                <w:color w:val="auto"/>
                <w:sz w:val="24"/>
              </w:rPr>
            </w:pPr>
          </w:p>
          <w:p w14:paraId="5EC7FE9B">
            <w:pPr>
              <w:rPr>
                <w:rFonts w:hint="default" w:ascii="Times New Roman" w:hAnsi="Times New Roman" w:cs="Times New Roman"/>
                <w:color w:val="auto"/>
                <w:sz w:val="24"/>
              </w:rPr>
            </w:pPr>
          </w:p>
          <w:p w14:paraId="397F61F1">
            <w:pPr>
              <w:rPr>
                <w:rFonts w:hint="default" w:ascii="Times New Roman" w:hAnsi="Times New Roman" w:cs="Times New Roman"/>
                <w:color w:val="auto"/>
                <w:sz w:val="24"/>
              </w:rPr>
            </w:pPr>
          </w:p>
          <w:p w14:paraId="66DD2806">
            <w:pPr>
              <w:rPr>
                <w:rFonts w:hint="default" w:ascii="Times New Roman" w:hAnsi="Times New Roman" w:cs="Times New Roman"/>
                <w:color w:val="auto"/>
                <w:sz w:val="24"/>
              </w:rPr>
            </w:pPr>
          </w:p>
          <w:p w14:paraId="4D556757">
            <w:pPr>
              <w:rPr>
                <w:rFonts w:hint="default" w:ascii="Times New Roman" w:hAnsi="Times New Roman" w:cs="Times New Roman"/>
                <w:color w:val="auto"/>
                <w:sz w:val="24"/>
              </w:rPr>
            </w:pPr>
          </w:p>
          <w:p w14:paraId="606A436E">
            <w:pPr>
              <w:pStyle w:val="18"/>
              <w:rPr>
                <w:rFonts w:hint="default" w:ascii="Times New Roman" w:hAnsi="Times New Roman" w:cs="Times New Roman"/>
                <w:color w:val="auto"/>
              </w:rPr>
            </w:pPr>
          </w:p>
        </w:tc>
      </w:tr>
    </w:tbl>
    <w:p w14:paraId="346952B5">
      <w:pPr>
        <w:spacing w:line="360" w:lineRule="auto"/>
        <w:outlineLvl w:val="0"/>
        <w:rPr>
          <w:rFonts w:hint="default" w:ascii="Times New Roman" w:hAnsi="Times New Roman" w:eastAsia="黑体" w:cs="Times New Roman"/>
          <w:color w:val="auto"/>
          <w:sz w:val="30"/>
        </w:rPr>
        <w:sectPr>
          <w:headerReference r:id="rId5" w:type="default"/>
          <w:footerReference r:id="rId6" w:type="default"/>
          <w:pgSz w:w="11906" w:h="16838"/>
          <w:pgMar w:top="1440" w:right="1803" w:bottom="1440" w:left="1803" w:header="850" w:footer="1077" w:gutter="0"/>
          <w:pgBorders>
            <w:top w:val="none" w:sz="0" w:space="0"/>
            <w:left w:val="none" w:sz="0" w:space="0"/>
            <w:bottom w:val="none" w:sz="0" w:space="0"/>
            <w:right w:val="none" w:sz="0" w:space="0"/>
          </w:pgBorders>
          <w:pgNumType w:start="1"/>
          <w:cols w:space="720" w:num="1"/>
          <w:docGrid w:linePitch="312" w:charSpace="0"/>
        </w:sectPr>
      </w:pPr>
    </w:p>
    <w:p w14:paraId="60ADC605">
      <w:pPr>
        <w:pStyle w:val="31"/>
        <w:spacing w:before="0" w:beforeAutospacing="0" w:after="0" w:afterAutospacing="0" w:line="360" w:lineRule="auto"/>
        <w:outlineLvl w:val="0"/>
        <w:rPr>
          <w:rFonts w:hint="default" w:ascii="Times New Roman" w:hAnsi="Times New Roman" w:eastAsia="黑体" w:cs="Times New Roman"/>
          <w:color w:val="auto"/>
          <w:sz w:val="28"/>
          <w:szCs w:val="28"/>
        </w:rPr>
      </w:pPr>
      <w:bookmarkStart w:id="30" w:name="_Toc68870550"/>
      <w:bookmarkStart w:id="31" w:name="_Toc70692545"/>
      <w:bookmarkStart w:id="32" w:name="_Toc27802"/>
      <w:r>
        <w:rPr>
          <w:rFonts w:hint="default" w:ascii="Times New Roman" w:hAnsi="Times New Roman" w:eastAsia="黑体" w:cs="Times New Roman"/>
          <w:color w:val="auto"/>
          <w:sz w:val="28"/>
          <w:szCs w:val="28"/>
        </w:rPr>
        <w:t>二、建设项目工程分析</w:t>
      </w:r>
      <w:bookmarkEnd w:id="30"/>
      <w:bookmarkEnd w:id="31"/>
      <w:bookmarkEnd w:id="32"/>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8"/>
        <w:gridCol w:w="8501"/>
      </w:tblGrid>
      <w:tr w14:paraId="2E5490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78" w:type="dxa"/>
            <w:vAlign w:val="center"/>
          </w:tcPr>
          <w:p w14:paraId="05928C9B">
            <w:pPr>
              <w:pStyle w:val="31"/>
              <w:adjustRightInd w:val="0"/>
              <w:snapToGrid w:val="0"/>
              <w:spacing w:before="0" w:beforeAutospacing="0" w:after="0" w:afterAutospacing="0" w:line="36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kern w:val="2"/>
                <w:szCs w:val="24"/>
              </w:rPr>
              <w:t>建设内容</w:t>
            </w:r>
          </w:p>
        </w:tc>
        <w:tc>
          <w:tcPr>
            <w:tcW w:w="8501" w:type="dxa"/>
          </w:tcPr>
          <w:p w14:paraId="6228C12A">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1、项目任务由来</w:t>
            </w:r>
          </w:p>
          <w:p w14:paraId="2D49260F">
            <w:pPr>
              <w:pStyle w:val="14"/>
              <w:spacing w:after="0" w:line="360" w:lineRule="auto"/>
              <w:ind w:left="0" w:leftChars="0" w:firstLine="480"/>
              <w:rPr>
                <w:rFonts w:hint="default" w:ascii="Times New Roman" w:hAnsi="Times New Roman" w:cs="Times New Roman"/>
                <w:color w:val="auto"/>
                <w:szCs w:val="24"/>
              </w:rPr>
            </w:pPr>
            <w:r>
              <w:rPr>
                <w:rFonts w:hint="default" w:ascii="Times New Roman" w:hAnsi="Times New Roman" w:cs="Times New Roman"/>
                <w:color w:val="auto"/>
                <w:szCs w:val="24"/>
              </w:rPr>
              <w:t>现通海南方钢铁有限公司有一条年产30万吨型钢连轧生产线，该生产线建成于2018年，该项目于2018年1月编制了《年产30万吨型钢连轧生产线技改项目环境影响报告表》，并于2018年12月20日取得原通海县环境保护局给予的环评批复（通环审〔2018〕20号），2019年12月企业自行组织竣工环保验收。原环评期间提出生产角钢、槽钢和工字钢，实际建设过程中虽然生产规模仍为30万吨，但只建设了10号至22号的工字钢生产线，产品种类较少，满足不了市场需求，严重影响了公司发展。</w:t>
            </w:r>
          </w:p>
          <w:p w14:paraId="099A7D77">
            <w:pPr>
              <w:pStyle w:val="14"/>
              <w:spacing w:after="0" w:line="360" w:lineRule="auto"/>
              <w:ind w:left="0" w:leftChars="0" w:firstLine="480"/>
              <w:rPr>
                <w:rFonts w:hint="default" w:ascii="Times New Roman" w:hAnsi="Times New Roman" w:cs="Times New Roman"/>
                <w:color w:val="auto"/>
                <w:szCs w:val="24"/>
              </w:rPr>
            </w:pPr>
            <w:r>
              <w:rPr>
                <w:rFonts w:hint="default" w:ascii="Times New Roman" w:hAnsi="Times New Roman" w:cs="Times New Roman"/>
                <w:color w:val="auto"/>
                <w:szCs w:val="24"/>
              </w:rPr>
              <w:t>公司为了扩展产品方案和提高生产能力，在不增加型钢产能的基础上正在技改升级配套年产30万吨型钢生产线项目，目前该项目正在建设过程中。2022年6月，建设单位委托石家庄戈蓝环保科技有限公司编制完成了《通海南方钢铁有限公司技改30万吨型钢生产线项目环境影响报告表》，并于2022年8月23日取得了玉溪市生态环境局通海分局《关于通海南方钢铁有限公司技改30万吨型钢生产线项目环境影响报告表的批复》（通环审〔2022〕12号）。</w:t>
            </w:r>
          </w:p>
          <w:p w14:paraId="264176D8">
            <w:pPr>
              <w:pStyle w:val="14"/>
              <w:spacing w:after="0" w:line="360" w:lineRule="auto"/>
              <w:ind w:left="0" w:leftChars="0" w:firstLine="480"/>
              <w:rPr>
                <w:rFonts w:hint="default" w:ascii="Times New Roman" w:hAnsi="Times New Roman" w:cs="Times New Roman"/>
                <w:color w:val="auto"/>
                <w:szCs w:val="24"/>
              </w:rPr>
            </w:pPr>
            <w:r>
              <w:rPr>
                <w:rFonts w:hint="default" w:ascii="Times New Roman" w:hAnsi="Times New Roman" w:cs="Times New Roman"/>
                <w:color w:val="auto"/>
                <w:szCs w:val="24"/>
              </w:rPr>
              <w:t>介于公司目前的产品结构情况，为满足市场需求，还需配套无缝钢管生产线项目，经公司调研考察，决定拟利用公司现有标准车间建设年产3万吨无缝钢管生产线。</w:t>
            </w:r>
          </w:p>
          <w:p w14:paraId="2F1BCC20">
            <w:pPr>
              <w:pStyle w:val="14"/>
              <w:spacing w:after="0" w:line="360" w:lineRule="auto"/>
              <w:ind w:left="0" w:leftChars="0" w:firstLine="480"/>
              <w:rPr>
                <w:rFonts w:hint="default" w:ascii="Times New Roman" w:hAnsi="Times New Roman" w:cs="Times New Roman"/>
                <w:color w:val="auto"/>
                <w:szCs w:val="24"/>
              </w:rPr>
            </w:pPr>
            <w:r>
              <w:rPr>
                <w:rFonts w:hint="default" w:ascii="Times New Roman" w:hAnsi="Times New Roman" w:cs="Times New Roman"/>
                <w:color w:val="auto"/>
                <w:szCs w:val="24"/>
              </w:rPr>
              <w:t>项目于2022年06月02日取得了通海县发展和改革局下发的《云南省固定资产投资项目备案证》，项目代码：2206-530423-04-01-231764。</w:t>
            </w:r>
          </w:p>
          <w:p w14:paraId="5AFF31B7">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2、项目建设内容</w:t>
            </w:r>
          </w:p>
          <w:p w14:paraId="79F5ED4E">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根据2022年06月02日通海县发展和改革局下发的《云南省固定资产投资项目备案证》，项目建设内容为：利用公司现有标准车间3500平方米、35kV变电站、起重机、办公设施，购置安装200吨液压剪3台，2000kW感应加热炉1套，CKJ89型穿孔机2台，天然气步进式补温炉1套，16架275型3辊精密减定径机，链式冷床1套，80型9辊无缝管专用校直机1台，5076型切头去尾带锯2台，收集打包及辊道1套，ⅠS25-50水泵3套，3立方永磁变频空压机1套，10吨单梁行车3台，光谱分析仪1套，无损探伤仪1套及相关的附属设备，形成年产3万吨无缝钢管生产规模。但根据建设单位介绍，本项目实际无需设置无损探伤仪，</w:t>
            </w:r>
            <w:r>
              <w:rPr>
                <w:rFonts w:hint="default" w:ascii="Times New Roman" w:hAnsi="Times New Roman" w:cs="Times New Roman"/>
                <w:color w:val="auto"/>
                <w:kern w:val="0"/>
                <w:sz w:val="24"/>
                <w:lang w:val="en-US" w:eastAsia="zh-CN" w:bidi="ar"/>
              </w:rPr>
              <w:t>且</w:t>
            </w:r>
            <w:r>
              <w:rPr>
                <w:rFonts w:hint="default" w:ascii="Times New Roman" w:hAnsi="Times New Roman" w:cs="Times New Roman"/>
                <w:color w:val="auto"/>
                <w:kern w:val="0"/>
                <w:sz w:val="24"/>
                <w:lang w:bidi="ar"/>
              </w:rPr>
              <w:t>后续运行过程中将采用电感加热炉进行加热及补温，不再使用天然气，因此天然气步进式补温炉也不再使用。项目于2024年9月开工建设，2025年2月建成，但未投入运行。实际建成的内容为利用公司现有标准车间3500平方米、35kV变电站、起重机、办公设施，购置安装200吨液压剪3台，2000kW感应加热炉1套，CKJ89型穿孔机2台，16架275型3辊精密减定径机，链式冷床1套，80型9辊无缝管专用校直机1台，5076型切头去尾带锯2台，收集打包及辊道1套，ⅠS25-50水泵3套，3立方永磁变频空压机1套，10吨单梁行车3台，光谱分析仪1套及相关的附属设备，形成年产3万吨无缝钢管生产规模。</w:t>
            </w:r>
          </w:p>
          <w:p w14:paraId="59CCC242">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2022年6月，建设单位委托玉溪博识企业管理有限公司编制完成了《通海南方钢铁有限公司新建年产3万吨无缝钢管生产线项目节能报告》，并于2022年8月15日取得了通海县发展和改革局下发的《关于通海南方钢铁有限公司新建年产3万吨无缝钢管生产线项目节能评审意见》（通发改〔2022〕61号）。根据《意见》：三、该项目不属于《产业结构调整指导目录（2019年本）》淘汰类和限制类装置。项目生产工艺采用熟拔（热拔），区别于传统热轧工艺，建设方案符合工业节能标准规范的要求。2023年12月27日《产业结构调整指导目录（2024年本）》发布实施，根据通海县发展和改革局出具的《关于通海南方钢铁有限公司新建年产3万吨无缝钢管生产线项目产业结构属性认定的回复函》（通发改函[2025]32号）：项目符合国家产业政策，不属于《产业结构调整指导目录（2024年本）》中的限制类及淘汰类。</w:t>
            </w:r>
          </w:p>
          <w:p w14:paraId="43E49C0E">
            <w:pPr>
              <w:widowControl/>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kern w:val="0"/>
                <w:sz w:val="24"/>
                <w:lang w:bidi="ar"/>
              </w:rPr>
              <w:t>根据《建设项目环境影响评价分类管理名录（2021年版）》（生态环境部部令第16号）规定，本项目属于名录中“二十八、黑色金属冶炼和压延加工业31—钢压延加工313—其他”，需编制环境影响报告表。受</w:t>
            </w:r>
            <w:r>
              <w:rPr>
                <w:rFonts w:hint="default" w:ascii="Times New Roman" w:hAnsi="Times New Roman" w:cs="Times New Roman"/>
                <w:color w:val="auto"/>
                <w:sz w:val="24"/>
              </w:rPr>
              <w:t>通</w:t>
            </w:r>
            <w:bookmarkStart w:id="33" w:name="_Hlk220319275"/>
            <w:r>
              <w:rPr>
                <w:rFonts w:hint="default" w:ascii="Times New Roman" w:hAnsi="Times New Roman" w:cs="Times New Roman"/>
                <w:color w:val="auto"/>
                <w:sz w:val="24"/>
              </w:rPr>
              <w:t>海南方钢铁有限公司</w:t>
            </w:r>
            <w:bookmarkEnd w:id="33"/>
            <w:r>
              <w:rPr>
                <w:rFonts w:hint="default" w:ascii="Times New Roman" w:hAnsi="Times New Roman" w:cs="Times New Roman"/>
                <w:color w:val="auto"/>
                <w:kern w:val="0"/>
                <w:sz w:val="24"/>
                <w:lang w:bidi="ar"/>
              </w:rPr>
              <w:t>委托，我公司承担该项目环境影响报告表的编制工作。接受委托后，我公司组成项目组，对项目场地及周边环境进行了现状调查、实地踏勘和调研工作，对项目进行资料收集，依据《建设项目环境影响报告表编制技术指南（污染影响类）（试行）》的有关规定和要求，编制了《</w:t>
            </w:r>
            <w:r>
              <w:rPr>
                <w:rFonts w:hint="default" w:ascii="Times New Roman" w:hAnsi="Times New Roman" w:cs="Times New Roman"/>
                <w:color w:val="auto"/>
                <w:sz w:val="24"/>
              </w:rPr>
              <w:t>新建年产3万吨无缝钢管生产线项目</w:t>
            </w:r>
            <w:r>
              <w:rPr>
                <w:rFonts w:hint="default" w:ascii="Times New Roman" w:hAnsi="Times New Roman" w:cs="Times New Roman"/>
                <w:color w:val="auto"/>
                <w:kern w:val="0"/>
                <w:sz w:val="24"/>
                <w:lang w:bidi="ar"/>
              </w:rPr>
              <w:t>环境影响报告表》，供建设单位上报审批，经审查批准后的环评报告表，作为环境管理和项目环保工程设计的技术依据。</w:t>
            </w:r>
          </w:p>
          <w:p w14:paraId="2DD2CA49">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本项目由主体工程、辅助工程、公用工程和环保工程组成，工程具体组成见下表：</w:t>
            </w:r>
          </w:p>
          <w:p w14:paraId="1AADAFB5">
            <w:pPr>
              <w:pStyle w:val="10"/>
              <w:spacing w:before="0" w:line="360" w:lineRule="auto"/>
              <w:ind w:firstLine="420" w:firstLineChars="20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表2-1   建设项目组成一览表</w:t>
            </w:r>
          </w:p>
          <w:tbl>
            <w:tblPr>
              <w:tblStyle w:val="35"/>
              <w:tblW w:w="8346"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18"/>
              <w:gridCol w:w="614"/>
              <w:gridCol w:w="15"/>
              <w:gridCol w:w="1215"/>
              <w:gridCol w:w="4271"/>
              <w:gridCol w:w="1113"/>
            </w:tblGrid>
            <w:tr w14:paraId="73631AE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tcBorders>
                    <w:tl2br w:val="nil"/>
                    <w:tr2bl w:val="nil"/>
                  </w:tcBorders>
                  <w:vAlign w:val="center"/>
                </w:tcPr>
                <w:p w14:paraId="143A7AFD">
                  <w:pPr>
                    <w:jc w:val="center"/>
                    <w:rPr>
                      <w:rFonts w:hint="default" w:ascii="Times New Roman" w:hAnsi="Times New Roman" w:cs="Times New Roman"/>
                      <w:color w:val="auto"/>
                      <w:sz w:val="18"/>
                      <w:szCs w:val="18"/>
                    </w:rPr>
                  </w:pPr>
                  <w:bookmarkStart w:id="34" w:name="_Hlk220319775"/>
                  <w:r>
                    <w:rPr>
                      <w:rFonts w:hint="default" w:ascii="Times New Roman" w:hAnsi="Times New Roman" w:cs="Times New Roman"/>
                      <w:color w:val="auto"/>
                      <w:sz w:val="18"/>
                      <w:szCs w:val="18"/>
                    </w:rPr>
                    <w:t>工程类别</w:t>
                  </w:r>
                </w:p>
              </w:tc>
              <w:tc>
                <w:tcPr>
                  <w:tcW w:w="6115" w:type="dxa"/>
                  <w:gridSpan w:val="4"/>
                  <w:tcBorders>
                    <w:tl2br w:val="nil"/>
                    <w:tr2bl w:val="nil"/>
                  </w:tcBorders>
                  <w:vAlign w:val="center"/>
                </w:tcPr>
                <w:p w14:paraId="228CF34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工程内容</w:t>
                  </w:r>
                </w:p>
              </w:tc>
              <w:tc>
                <w:tcPr>
                  <w:tcW w:w="1113" w:type="dxa"/>
                  <w:tcBorders>
                    <w:tl2br w:val="nil"/>
                    <w:tr2bl w:val="nil"/>
                  </w:tcBorders>
                  <w:vAlign w:val="center"/>
                </w:tcPr>
                <w:p w14:paraId="145DF3E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备注</w:t>
                  </w:r>
                </w:p>
              </w:tc>
            </w:tr>
            <w:tr w14:paraId="790E7D8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restart"/>
                  <w:tcBorders>
                    <w:tl2br w:val="nil"/>
                    <w:tr2bl w:val="nil"/>
                  </w:tcBorders>
                  <w:vAlign w:val="center"/>
                </w:tcPr>
                <w:p w14:paraId="3C0C8B1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主体工程</w:t>
                  </w:r>
                </w:p>
              </w:tc>
              <w:tc>
                <w:tcPr>
                  <w:tcW w:w="1844" w:type="dxa"/>
                  <w:gridSpan w:val="3"/>
                  <w:tcBorders>
                    <w:tl2br w:val="nil"/>
                    <w:tr2bl w:val="nil"/>
                  </w:tcBorders>
                  <w:vAlign w:val="center"/>
                </w:tcPr>
                <w:p w14:paraId="484052B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无缝钢管车间</w:t>
                  </w:r>
                </w:p>
              </w:tc>
              <w:tc>
                <w:tcPr>
                  <w:tcW w:w="4271" w:type="dxa"/>
                  <w:tcBorders>
                    <w:tl2br w:val="nil"/>
                    <w:tr2bl w:val="nil"/>
                  </w:tcBorders>
                  <w:vAlign w:val="center"/>
                </w:tcPr>
                <w:p w14:paraId="66B1DECA">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位于办公室南侧，占地面积为3500m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购置安装200吨液压剪3台，2000kW感应加热炉1套，CKJ89型穿孔机2台，16架275型3辊精密减定径机，链式冷床1套，80型9辊无缝管专用校直机1台，5076型切头去尾带锯2台，收集打包及辊道1套，ⅠS25-50水泵3套，3立方永磁变频空压机1套，10吨单梁行车3台，光谱分析仪1套及相关的附属设备，形成年产3万吨无缝钢管生产规模。</w:t>
                  </w:r>
                </w:p>
              </w:tc>
              <w:tc>
                <w:tcPr>
                  <w:tcW w:w="1113" w:type="dxa"/>
                  <w:tcBorders>
                    <w:tl2br w:val="nil"/>
                    <w:tr2bl w:val="nil"/>
                  </w:tcBorders>
                  <w:vAlign w:val="center"/>
                </w:tcPr>
                <w:p w14:paraId="50BCE0F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厂房依托，设备新增</w:t>
                  </w:r>
                </w:p>
              </w:tc>
            </w:tr>
            <w:tr w14:paraId="3867A42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3BF2872C">
                  <w:pPr>
                    <w:widowControl/>
                    <w:jc w:val="left"/>
                    <w:rPr>
                      <w:rFonts w:hint="default" w:ascii="Times New Roman" w:hAnsi="Times New Roman" w:cs="Times New Roman"/>
                      <w:color w:val="auto"/>
                      <w:sz w:val="18"/>
                      <w:szCs w:val="18"/>
                    </w:rPr>
                  </w:pPr>
                </w:p>
              </w:tc>
              <w:tc>
                <w:tcPr>
                  <w:tcW w:w="1844" w:type="dxa"/>
                  <w:gridSpan w:val="3"/>
                  <w:tcBorders>
                    <w:tl2br w:val="nil"/>
                    <w:tr2bl w:val="nil"/>
                  </w:tcBorders>
                  <w:vAlign w:val="center"/>
                </w:tcPr>
                <w:p w14:paraId="623888C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成品库</w:t>
                  </w:r>
                </w:p>
              </w:tc>
              <w:tc>
                <w:tcPr>
                  <w:tcW w:w="4271" w:type="dxa"/>
                  <w:tcBorders>
                    <w:tl2br w:val="nil"/>
                    <w:tr2bl w:val="nil"/>
                  </w:tcBorders>
                  <w:vAlign w:val="center"/>
                </w:tcPr>
                <w:p w14:paraId="2DE567A2">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成品仓库区域分2个区域，在生产厂房内东侧，分区暂存项目产品。占地面积7500m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w:t>
                  </w:r>
                </w:p>
              </w:tc>
              <w:tc>
                <w:tcPr>
                  <w:tcW w:w="1113" w:type="dxa"/>
                  <w:tcBorders>
                    <w:tl2br w:val="nil"/>
                    <w:tr2bl w:val="nil"/>
                  </w:tcBorders>
                  <w:vAlign w:val="center"/>
                </w:tcPr>
                <w:p w14:paraId="54C5840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依托现有</w:t>
                  </w:r>
                </w:p>
              </w:tc>
            </w:tr>
            <w:tr w14:paraId="65DDA06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restart"/>
                  <w:tcBorders>
                    <w:tl2br w:val="nil"/>
                    <w:tr2bl w:val="nil"/>
                  </w:tcBorders>
                  <w:vAlign w:val="center"/>
                </w:tcPr>
                <w:p w14:paraId="7B11B6F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辅助工程</w:t>
                  </w:r>
                </w:p>
              </w:tc>
              <w:tc>
                <w:tcPr>
                  <w:tcW w:w="1844" w:type="dxa"/>
                  <w:gridSpan w:val="3"/>
                  <w:tcBorders>
                    <w:tl2br w:val="nil"/>
                    <w:tr2bl w:val="nil"/>
                  </w:tcBorders>
                  <w:vAlign w:val="center"/>
                </w:tcPr>
                <w:p w14:paraId="71A6495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机电控制室</w:t>
                  </w:r>
                </w:p>
              </w:tc>
              <w:tc>
                <w:tcPr>
                  <w:tcW w:w="4271" w:type="dxa"/>
                  <w:tcBorders>
                    <w:tl2br w:val="nil"/>
                    <w:tr2bl w:val="nil"/>
                  </w:tcBorders>
                  <w:vAlign w:val="center"/>
                </w:tcPr>
                <w:p w14:paraId="1359C1B8">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建设一座机电控制室，占地45m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w:t>
                  </w:r>
                </w:p>
              </w:tc>
              <w:tc>
                <w:tcPr>
                  <w:tcW w:w="1113" w:type="dxa"/>
                  <w:tcBorders>
                    <w:tl2br w:val="nil"/>
                    <w:tr2bl w:val="nil"/>
                  </w:tcBorders>
                  <w:vAlign w:val="center"/>
                </w:tcPr>
                <w:p w14:paraId="75695B3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依托现有</w:t>
                  </w:r>
                </w:p>
              </w:tc>
            </w:tr>
            <w:tr w14:paraId="595D719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02606638">
                  <w:pPr>
                    <w:widowControl/>
                    <w:jc w:val="left"/>
                    <w:rPr>
                      <w:rFonts w:hint="default" w:ascii="Times New Roman" w:hAnsi="Times New Roman" w:cs="Times New Roman"/>
                      <w:color w:val="auto"/>
                      <w:sz w:val="18"/>
                      <w:szCs w:val="18"/>
                    </w:rPr>
                  </w:pPr>
                </w:p>
              </w:tc>
              <w:tc>
                <w:tcPr>
                  <w:tcW w:w="1844" w:type="dxa"/>
                  <w:gridSpan w:val="3"/>
                  <w:tcBorders>
                    <w:tl2br w:val="nil"/>
                    <w:tr2bl w:val="nil"/>
                  </w:tcBorders>
                  <w:vAlign w:val="center"/>
                </w:tcPr>
                <w:p w14:paraId="473E260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机修车间和配件区</w:t>
                  </w:r>
                </w:p>
              </w:tc>
              <w:tc>
                <w:tcPr>
                  <w:tcW w:w="4271" w:type="dxa"/>
                  <w:tcBorders>
                    <w:tl2br w:val="nil"/>
                    <w:tr2bl w:val="nil"/>
                  </w:tcBorders>
                  <w:vAlign w:val="center"/>
                </w:tcPr>
                <w:p w14:paraId="36465A94">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建设一个机修车间和配件车间，主要为生产线提供机修和配件，占地面积250m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w:t>
                  </w:r>
                </w:p>
              </w:tc>
              <w:tc>
                <w:tcPr>
                  <w:tcW w:w="1113" w:type="dxa"/>
                  <w:tcBorders>
                    <w:tl2br w:val="nil"/>
                    <w:tr2bl w:val="nil"/>
                  </w:tcBorders>
                  <w:vAlign w:val="center"/>
                </w:tcPr>
                <w:p w14:paraId="440D9D6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依托现有</w:t>
                  </w:r>
                </w:p>
              </w:tc>
            </w:tr>
            <w:tr w14:paraId="2304DE5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70DC2FAE">
                  <w:pPr>
                    <w:widowControl/>
                    <w:jc w:val="left"/>
                    <w:rPr>
                      <w:rFonts w:hint="default" w:ascii="Times New Roman" w:hAnsi="Times New Roman" w:cs="Times New Roman"/>
                      <w:color w:val="auto"/>
                      <w:sz w:val="18"/>
                      <w:szCs w:val="18"/>
                    </w:rPr>
                  </w:pPr>
                </w:p>
              </w:tc>
              <w:tc>
                <w:tcPr>
                  <w:tcW w:w="1844" w:type="dxa"/>
                  <w:gridSpan w:val="3"/>
                  <w:tcBorders>
                    <w:tl2br w:val="nil"/>
                    <w:tr2bl w:val="nil"/>
                  </w:tcBorders>
                  <w:vAlign w:val="center"/>
                </w:tcPr>
                <w:p w14:paraId="4A1E2763">
                  <w:pPr>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浊循环水系统</w:t>
                  </w:r>
                </w:p>
              </w:tc>
              <w:tc>
                <w:tcPr>
                  <w:tcW w:w="4271" w:type="dxa"/>
                  <w:tcBorders>
                    <w:tl2br w:val="nil"/>
                    <w:tr2bl w:val="nil"/>
                  </w:tcBorders>
                  <w:vAlign w:val="center"/>
                </w:tcPr>
                <w:p w14:paraId="01D9E081">
                  <w:pPr>
                    <w:ind w:firstLine="360" w:firstLineChars="200"/>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设置一套浊循环系统，用于管坯电感加热炉、穿孔机及产品的直接冷却，设置一个600m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的浊循环水池。</w:t>
                  </w:r>
                </w:p>
              </w:tc>
              <w:tc>
                <w:tcPr>
                  <w:tcW w:w="1113" w:type="dxa"/>
                  <w:tcBorders>
                    <w:tl2br w:val="nil"/>
                    <w:tr2bl w:val="nil"/>
                  </w:tcBorders>
                  <w:vAlign w:val="center"/>
                </w:tcPr>
                <w:p w14:paraId="1E8658AE">
                  <w:pPr>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新建</w:t>
                  </w:r>
                </w:p>
              </w:tc>
            </w:tr>
            <w:tr w14:paraId="5BDE4EB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0CD1580A">
                  <w:pPr>
                    <w:widowControl/>
                    <w:jc w:val="left"/>
                    <w:rPr>
                      <w:rFonts w:hint="default" w:ascii="Times New Roman" w:hAnsi="Times New Roman" w:cs="Times New Roman"/>
                      <w:color w:val="auto"/>
                      <w:sz w:val="18"/>
                      <w:szCs w:val="18"/>
                    </w:rPr>
                  </w:pPr>
                </w:p>
              </w:tc>
              <w:tc>
                <w:tcPr>
                  <w:tcW w:w="1844" w:type="dxa"/>
                  <w:gridSpan w:val="3"/>
                  <w:tcBorders>
                    <w:tl2br w:val="nil"/>
                    <w:tr2bl w:val="nil"/>
                  </w:tcBorders>
                  <w:vAlign w:val="center"/>
                </w:tcPr>
                <w:p w14:paraId="562B3B3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供热</w:t>
                  </w:r>
                </w:p>
              </w:tc>
              <w:tc>
                <w:tcPr>
                  <w:tcW w:w="4271" w:type="dxa"/>
                  <w:tcBorders>
                    <w:tl2br w:val="nil"/>
                    <w:tr2bl w:val="nil"/>
                  </w:tcBorders>
                  <w:vAlign w:val="center"/>
                </w:tcPr>
                <w:p w14:paraId="538BA70A">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项目供热采用电。</w:t>
                  </w:r>
                </w:p>
              </w:tc>
              <w:tc>
                <w:tcPr>
                  <w:tcW w:w="1113" w:type="dxa"/>
                  <w:tcBorders>
                    <w:tl2br w:val="nil"/>
                    <w:tr2bl w:val="nil"/>
                  </w:tcBorders>
                  <w:vAlign w:val="center"/>
                </w:tcPr>
                <w:p w14:paraId="2F94005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14:paraId="5097E97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restart"/>
                  <w:tcBorders>
                    <w:tl2br w:val="nil"/>
                    <w:tr2bl w:val="nil"/>
                  </w:tcBorders>
                  <w:vAlign w:val="center"/>
                </w:tcPr>
                <w:p w14:paraId="7A7FA4E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公用工程</w:t>
                  </w:r>
                </w:p>
              </w:tc>
              <w:tc>
                <w:tcPr>
                  <w:tcW w:w="1844" w:type="dxa"/>
                  <w:gridSpan w:val="3"/>
                  <w:tcBorders>
                    <w:tl2br w:val="nil"/>
                    <w:tr2bl w:val="nil"/>
                  </w:tcBorders>
                  <w:vAlign w:val="center"/>
                </w:tcPr>
                <w:p w14:paraId="0DE59ED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办公区</w:t>
                  </w:r>
                </w:p>
              </w:tc>
              <w:tc>
                <w:tcPr>
                  <w:tcW w:w="4271" w:type="dxa"/>
                  <w:tcBorders>
                    <w:tl2br w:val="nil"/>
                    <w:tr2bl w:val="nil"/>
                  </w:tcBorders>
                  <w:vAlign w:val="center"/>
                </w:tcPr>
                <w:p w14:paraId="3D0A5F43">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厂区东南侧建设办公区，主要为厂内办公人员，项目区不设食堂及住宿，占地面积约200m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w:t>
                  </w:r>
                </w:p>
              </w:tc>
              <w:tc>
                <w:tcPr>
                  <w:tcW w:w="1113" w:type="dxa"/>
                  <w:tcBorders>
                    <w:tl2br w:val="nil"/>
                    <w:tr2bl w:val="nil"/>
                  </w:tcBorders>
                  <w:vAlign w:val="center"/>
                </w:tcPr>
                <w:p w14:paraId="51F5750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利用现有</w:t>
                  </w:r>
                </w:p>
              </w:tc>
            </w:tr>
            <w:tr w14:paraId="33CAC23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6EE40BC3">
                  <w:pPr>
                    <w:jc w:val="center"/>
                    <w:rPr>
                      <w:rFonts w:hint="default" w:ascii="Times New Roman" w:hAnsi="Times New Roman" w:cs="Times New Roman"/>
                      <w:color w:val="auto"/>
                      <w:sz w:val="18"/>
                      <w:szCs w:val="18"/>
                    </w:rPr>
                  </w:pPr>
                </w:p>
              </w:tc>
              <w:tc>
                <w:tcPr>
                  <w:tcW w:w="1844" w:type="dxa"/>
                  <w:gridSpan w:val="3"/>
                  <w:tcBorders>
                    <w:tl2br w:val="nil"/>
                    <w:tr2bl w:val="nil"/>
                  </w:tcBorders>
                  <w:vAlign w:val="center"/>
                </w:tcPr>
                <w:p w14:paraId="3DA42503">
                  <w:pPr>
                    <w:spacing w:line="0" w:lineRule="atLeast"/>
                    <w:jc w:val="center"/>
                    <w:rPr>
                      <w:rFonts w:hint="default" w:ascii="Times New Roman" w:hAnsi="Times New Roman" w:eastAsia="仿宋_GB2312" w:cs="Times New Roman"/>
                      <w:color w:val="auto"/>
                      <w:sz w:val="18"/>
                      <w:szCs w:val="18"/>
                    </w:rPr>
                  </w:pPr>
                  <w:r>
                    <w:rPr>
                      <w:rFonts w:hint="default" w:ascii="Times New Roman" w:hAnsi="Times New Roman" w:cs="Times New Roman"/>
                      <w:color w:val="auto"/>
                      <w:sz w:val="18"/>
                      <w:szCs w:val="18"/>
                    </w:rPr>
                    <w:t>磅房</w:t>
                  </w:r>
                </w:p>
              </w:tc>
              <w:tc>
                <w:tcPr>
                  <w:tcW w:w="4271" w:type="dxa"/>
                  <w:tcBorders>
                    <w:tl2br w:val="nil"/>
                    <w:tr2bl w:val="nil"/>
                  </w:tcBorders>
                  <w:vAlign w:val="center"/>
                </w:tcPr>
                <w:p w14:paraId="5D2CB097">
                  <w:pPr>
                    <w:ind w:firstLine="360" w:firstLineChars="200"/>
                    <w:rPr>
                      <w:rFonts w:hint="default" w:ascii="Times New Roman" w:hAnsi="Times New Roman" w:eastAsia="仿宋_GB2312" w:cs="Times New Roman"/>
                      <w:color w:val="auto"/>
                      <w:sz w:val="18"/>
                      <w:szCs w:val="18"/>
                    </w:rPr>
                  </w:pPr>
                  <w:r>
                    <w:rPr>
                      <w:rFonts w:hint="default" w:ascii="Times New Roman" w:hAnsi="Times New Roman" w:cs="Times New Roman"/>
                      <w:color w:val="auto"/>
                      <w:sz w:val="18"/>
                      <w:szCs w:val="18"/>
                    </w:rPr>
                    <w:t>厂区建设有一个磅房，占地面积</w:t>
                  </w:r>
                  <w:r>
                    <w:rPr>
                      <w:rFonts w:hint="default" w:ascii="Times New Roman" w:hAnsi="Times New Roman" w:eastAsia="仿宋_GB2312" w:cs="Times New Roman"/>
                      <w:color w:val="auto"/>
                      <w:sz w:val="18"/>
                      <w:szCs w:val="18"/>
                    </w:rPr>
                    <w:t>10m</w:t>
                  </w:r>
                  <w:r>
                    <w:rPr>
                      <w:rFonts w:hint="default" w:ascii="Times New Roman" w:hAnsi="Times New Roman" w:eastAsia="仿宋_GB2312" w:cs="Times New Roman"/>
                      <w:color w:val="auto"/>
                      <w:sz w:val="18"/>
                      <w:szCs w:val="18"/>
                      <w:vertAlign w:val="superscript"/>
                    </w:rPr>
                    <w:t>2</w:t>
                  </w:r>
                  <w:r>
                    <w:rPr>
                      <w:rFonts w:hint="default" w:ascii="Times New Roman" w:hAnsi="Times New Roman" w:cs="Times New Roman"/>
                      <w:color w:val="auto"/>
                      <w:sz w:val="18"/>
                      <w:szCs w:val="18"/>
                    </w:rPr>
                    <w:t>。</w:t>
                  </w:r>
                </w:p>
              </w:tc>
              <w:tc>
                <w:tcPr>
                  <w:tcW w:w="1113" w:type="dxa"/>
                  <w:tcBorders>
                    <w:tl2br w:val="nil"/>
                    <w:tr2bl w:val="nil"/>
                  </w:tcBorders>
                  <w:vAlign w:val="center"/>
                </w:tcPr>
                <w:p w14:paraId="167F7C2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利用现有</w:t>
                  </w:r>
                </w:p>
              </w:tc>
            </w:tr>
            <w:tr w14:paraId="3151F79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04891D29">
                  <w:pPr>
                    <w:jc w:val="center"/>
                    <w:rPr>
                      <w:rFonts w:hint="default" w:ascii="Times New Roman" w:hAnsi="Times New Roman" w:cs="Times New Roman"/>
                      <w:color w:val="auto"/>
                      <w:sz w:val="18"/>
                      <w:szCs w:val="18"/>
                    </w:rPr>
                  </w:pPr>
                </w:p>
              </w:tc>
              <w:tc>
                <w:tcPr>
                  <w:tcW w:w="1844" w:type="dxa"/>
                  <w:gridSpan w:val="3"/>
                  <w:tcBorders>
                    <w:tl2br w:val="nil"/>
                    <w:tr2bl w:val="nil"/>
                  </w:tcBorders>
                  <w:vAlign w:val="center"/>
                </w:tcPr>
                <w:p w14:paraId="1B30605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道路</w:t>
                  </w:r>
                </w:p>
              </w:tc>
              <w:tc>
                <w:tcPr>
                  <w:tcW w:w="4271" w:type="dxa"/>
                  <w:tcBorders>
                    <w:tl2br w:val="nil"/>
                    <w:tr2bl w:val="nil"/>
                  </w:tcBorders>
                  <w:vAlign w:val="center"/>
                </w:tcPr>
                <w:p w14:paraId="29EC0CFF">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厂坝和道路面积约790m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，均已硬化。</w:t>
                  </w:r>
                </w:p>
              </w:tc>
              <w:tc>
                <w:tcPr>
                  <w:tcW w:w="1113" w:type="dxa"/>
                  <w:tcBorders>
                    <w:tl2br w:val="nil"/>
                    <w:tr2bl w:val="nil"/>
                  </w:tcBorders>
                  <w:vAlign w:val="center"/>
                </w:tcPr>
                <w:p w14:paraId="5FBB58F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利用现有</w:t>
                  </w:r>
                </w:p>
              </w:tc>
            </w:tr>
            <w:tr w14:paraId="5F92980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30953F17">
                  <w:pPr>
                    <w:jc w:val="center"/>
                    <w:rPr>
                      <w:rFonts w:hint="default" w:ascii="Times New Roman" w:hAnsi="Times New Roman" w:cs="Times New Roman"/>
                      <w:color w:val="auto"/>
                      <w:sz w:val="18"/>
                      <w:szCs w:val="18"/>
                    </w:rPr>
                  </w:pPr>
                </w:p>
              </w:tc>
              <w:tc>
                <w:tcPr>
                  <w:tcW w:w="1844" w:type="dxa"/>
                  <w:gridSpan w:val="3"/>
                  <w:tcBorders>
                    <w:tl2br w:val="nil"/>
                    <w:tr2bl w:val="nil"/>
                  </w:tcBorders>
                  <w:vAlign w:val="center"/>
                </w:tcPr>
                <w:p w14:paraId="68A2354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大门值班室</w:t>
                  </w:r>
                </w:p>
              </w:tc>
              <w:tc>
                <w:tcPr>
                  <w:tcW w:w="4271" w:type="dxa"/>
                  <w:tcBorders>
                    <w:tl2br w:val="nil"/>
                    <w:tr2bl w:val="nil"/>
                  </w:tcBorders>
                  <w:vAlign w:val="center"/>
                </w:tcPr>
                <w:p w14:paraId="31E2385D">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总占地面积20m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w:t>
                  </w:r>
                </w:p>
              </w:tc>
              <w:tc>
                <w:tcPr>
                  <w:tcW w:w="1113" w:type="dxa"/>
                  <w:tcBorders>
                    <w:tl2br w:val="nil"/>
                    <w:tr2bl w:val="nil"/>
                  </w:tcBorders>
                  <w:vAlign w:val="center"/>
                </w:tcPr>
                <w:p w14:paraId="4E99064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利用现有</w:t>
                  </w:r>
                </w:p>
              </w:tc>
            </w:tr>
            <w:tr w14:paraId="3FA3589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15DE1969">
                  <w:pPr>
                    <w:jc w:val="center"/>
                    <w:rPr>
                      <w:rFonts w:hint="default" w:ascii="Times New Roman" w:hAnsi="Times New Roman" w:cs="Times New Roman"/>
                      <w:color w:val="auto"/>
                      <w:sz w:val="18"/>
                      <w:szCs w:val="18"/>
                    </w:rPr>
                  </w:pPr>
                </w:p>
              </w:tc>
              <w:tc>
                <w:tcPr>
                  <w:tcW w:w="1844" w:type="dxa"/>
                  <w:gridSpan w:val="3"/>
                  <w:tcBorders>
                    <w:tl2br w:val="nil"/>
                    <w:tr2bl w:val="nil"/>
                  </w:tcBorders>
                  <w:vAlign w:val="center"/>
                </w:tcPr>
                <w:p w14:paraId="048189B8">
                  <w:pPr>
                    <w:autoSpaceDE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给水</w:t>
                  </w:r>
                </w:p>
              </w:tc>
              <w:tc>
                <w:tcPr>
                  <w:tcW w:w="4271" w:type="dxa"/>
                  <w:tcBorders>
                    <w:tl2br w:val="nil"/>
                    <w:tr2bl w:val="nil"/>
                  </w:tcBorders>
                  <w:vAlign w:val="center"/>
                </w:tcPr>
                <w:p w14:paraId="788D10A3">
                  <w:pPr>
                    <w:ind w:firstLine="360" w:firstLineChars="200"/>
                    <w:rPr>
                      <w:rFonts w:hint="default" w:ascii="Times New Roman" w:hAnsi="Times New Roman" w:cs="Times New Roman"/>
                      <w:color w:val="auto"/>
                      <w:sz w:val="18"/>
                      <w:szCs w:val="18"/>
                    </w:rPr>
                  </w:pPr>
                  <w:bookmarkStart w:id="35" w:name="_Hlk220321189"/>
                  <w:r>
                    <w:rPr>
                      <w:rFonts w:hint="default" w:ascii="Times New Roman" w:hAnsi="Times New Roman" w:cs="Times New Roman"/>
                      <w:color w:val="auto"/>
                      <w:sz w:val="18"/>
                      <w:szCs w:val="18"/>
                    </w:rPr>
                    <w:t>厂区生活和生产用水均统一由通海五金机电特色园区给水管网供给。</w:t>
                  </w:r>
                  <w:bookmarkEnd w:id="35"/>
                </w:p>
              </w:tc>
              <w:tc>
                <w:tcPr>
                  <w:tcW w:w="1113" w:type="dxa"/>
                  <w:tcBorders>
                    <w:tl2br w:val="nil"/>
                    <w:tr2bl w:val="nil"/>
                  </w:tcBorders>
                  <w:vAlign w:val="center"/>
                </w:tcPr>
                <w:p w14:paraId="56C43147">
                  <w:pPr>
                    <w:pStyle w:val="4"/>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利用现有</w:t>
                  </w:r>
                </w:p>
              </w:tc>
            </w:tr>
            <w:tr w14:paraId="5CC0CB8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03336DEF">
                  <w:pPr>
                    <w:jc w:val="center"/>
                    <w:rPr>
                      <w:rFonts w:hint="default" w:ascii="Times New Roman" w:hAnsi="Times New Roman" w:cs="Times New Roman"/>
                      <w:color w:val="auto"/>
                      <w:sz w:val="18"/>
                      <w:szCs w:val="18"/>
                    </w:rPr>
                  </w:pPr>
                </w:p>
              </w:tc>
              <w:tc>
                <w:tcPr>
                  <w:tcW w:w="1844" w:type="dxa"/>
                  <w:gridSpan w:val="3"/>
                  <w:tcBorders>
                    <w:tl2br w:val="nil"/>
                    <w:tr2bl w:val="nil"/>
                  </w:tcBorders>
                  <w:vAlign w:val="center"/>
                </w:tcPr>
                <w:p w14:paraId="127F9803">
                  <w:pPr>
                    <w:autoSpaceDE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排水</w:t>
                  </w:r>
                </w:p>
              </w:tc>
              <w:tc>
                <w:tcPr>
                  <w:tcW w:w="4271" w:type="dxa"/>
                  <w:tcBorders>
                    <w:tl2br w:val="nil"/>
                    <w:tr2bl w:val="nil"/>
                  </w:tcBorders>
                  <w:vAlign w:val="center"/>
                </w:tcPr>
                <w:p w14:paraId="6D635699">
                  <w:pPr>
                    <w:autoSpaceDE w:val="0"/>
                    <w:ind w:firstLine="360" w:firstLineChars="200"/>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项目采用“雨污分流”排水制。</w:t>
                  </w:r>
                </w:p>
                <w:p w14:paraId="574CB2AC">
                  <w:pPr>
                    <w:autoSpaceDE w:val="0"/>
                    <w:ind w:firstLine="360" w:firstLineChars="200"/>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浊循环废水经1个容积为600m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lang w:val="en-US" w:eastAsia="zh-CN"/>
                    </w:rPr>
                    <w:t>的浊循环水池处理后循环使用，不外排。</w:t>
                  </w:r>
                </w:p>
                <w:p w14:paraId="4FEA9204">
                  <w:pPr>
                    <w:autoSpaceDE w:val="0"/>
                    <w:ind w:firstLine="360" w:firstLineChars="200"/>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生活污水经化粪池预处理后达《污水综合排放标准》（GB8978-1996）（表4）三级标准及《污水排入城镇下水道水质标准》（GB/T31962-2015）表1B等级标准后排入园区污水管网，最终进入园区污水处理厂处理。</w:t>
                  </w:r>
                </w:p>
                <w:p w14:paraId="344F8AB8">
                  <w:pPr>
                    <w:autoSpaceDE w:val="0"/>
                    <w:ind w:firstLine="360" w:firstLineChars="200"/>
                    <w:rPr>
                      <w:rFonts w:hint="default" w:ascii="Times New Roman" w:hAnsi="Times New Roman" w:cs="Times New Roman"/>
                      <w:color w:val="auto"/>
                      <w:lang w:val="en-US" w:eastAsia="zh-CN"/>
                    </w:rPr>
                  </w:pPr>
                  <w:r>
                    <w:rPr>
                      <w:rFonts w:hint="default" w:ascii="Times New Roman" w:hAnsi="Times New Roman" w:cs="Times New Roman"/>
                      <w:color w:val="auto"/>
                      <w:sz w:val="18"/>
                      <w:szCs w:val="18"/>
                      <w:lang w:val="en-US" w:eastAsia="zh-CN"/>
                    </w:rPr>
                    <w:t>初期雨水经现有的初期雨水收集池（80m</w:t>
                  </w:r>
                  <w:r>
                    <w:rPr>
                      <w:rFonts w:hint="default"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lang w:val="en-US" w:eastAsia="zh-CN"/>
                    </w:rPr>
                    <w:t>）收集沉淀后用于生产补充用水。</w:t>
                  </w:r>
                </w:p>
              </w:tc>
              <w:tc>
                <w:tcPr>
                  <w:tcW w:w="1113" w:type="dxa"/>
                  <w:tcBorders>
                    <w:tl2br w:val="nil"/>
                    <w:tr2bl w:val="nil"/>
                  </w:tcBorders>
                  <w:vAlign w:val="center"/>
                </w:tcPr>
                <w:p w14:paraId="21933E0F">
                  <w:pPr>
                    <w:pStyle w:val="4"/>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现有+新增</w:t>
                  </w:r>
                </w:p>
              </w:tc>
            </w:tr>
            <w:tr w14:paraId="17060B7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5A956F50">
                  <w:pPr>
                    <w:jc w:val="center"/>
                    <w:rPr>
                      <w:rFonts w:hint="default" w:ascii="Times New Roman" w:hAnsi="Times New Roman" w:cs="Times New Roman"/>
                      <w:color w:val="auto"/>
                      <w:sz w:val="18"/>
                      <w:szCs w:val="18"/>
                    </w:rPr>
                  </w:pPr>
                </w:p>
              </w:tc>
              <w:tc>
                <w:tcPr>
                  <w:tcW w:w="1844" w:type="dxa"/>
                  <w:gridSpan w:val="3"/>
                  <w:tcBorders>
                    <w:tl2br w:val="nil"/>
                    <w:tr2bl w:val="nil"/>
                  </w:tcBorders>
                  <w:vAlign w:val="center"/>
                </w:tcPr>
                <w:p w14:paraId="532AAFBB">
                  <w:pPr>
                    <w:autoSpaceDE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供电</w:t>
                  </w:r>
                </w:p>
              </w:tc>
              <w:tc>
                <w:tcPr>
                  <w:tcW w:w="4271" w:type="dxa"/>
                  <w:tcBorders>
                    <w:tl2br w:val="nil"/>
                    <w:tr2bl w:val="nil"/>
                  </w:tcBorders>
                  <w:vAlign w:val="center"/>
                </w:tcPr>
                <w:p w14:paraId="27A4868E">
                  <w:pPr>
                    <w:ind w:firstLine="360" w:firstLineChars="200"/>
                    <w:rPr>
                      <w:rFonts w:hint="default" w:ascii="Times New Roman" w:hAnsi="Times New Roman" w:cs="Times New Roman"/>
                      <w:color w:val="auto"/>
                      <w:sz w:val="18"/>
                      <w:szCs w:val="18"/>
                    </w:rPr>
                  </w:pPr>
                  <w:bookmarkStart w:id="36" w:name="_Hlk220321331"/>
                  <w:r>
                    <w:rPr>
                      <w:rFonts w:hint="default" w:ascii="Times New Roman" w:hAnsi="Times New Roman" w:cs="Times New Roman"/>
                      <w:color w:val="auto"/>
                      <w:sz w:val="18"/>
                      <w:szCs w:val="18"/>
                    </w:rPr>
                    <w:t>本项目供电来自通海县里山工业园区市政电网，园区已经有完善的供电网络，供电电压为10kV。</w:t>
                  </w:r>
                  <w:bookmarkEnd w:id="36"/>
                </w:p>
              </w:tc>
              <w:tc>
                <w:tcPr>
                  <w:tcW w:w="1113" w:type="dxa"/>
                  <w:tcBorders>
                    <w:tl2br w:val="nil"/>
                    <w:tr2bl w:val="nil"/>
                  </w:tcBorders>
                  <w:vAlign w:val="center"/>
                </w:tcPr>
                <w:p w14:paraId="6DCAC57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利用现有</w:t>
                  </w:r>
                </w:p>
              </w:tc>
            </w:tr>
            <w:tr w14:paraId="4E835D1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restart"/>
                  <w:tcBorders>
                    <w:tl2br w:val="nil"/>
                    <w:tr2bl w:val="nil"/>
                  </w:tcBorders>
                  <w:vAlign w:val="center"/>
                </w:tcPr>
                <w:p w14:paraId="5405710B">
                  <w:pPr>
                    <w:pStyle w:val="4"/>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环保工程</w:t>
                  </w:r>
                </w:p>
              </w:tc>
              <w:tc>
                <w:tcPr>
                  <w:tcW w:w="614" w:type="dxa"/>
                  <w:tcBorders>
                    <w:tl2br w:val="nil"/>
                    <w:tr2bl w:val="nil"/>
                  </w:tcBorders>
                  <w:vAlign w:val="center"/>
                </w:tcPr>
                <w:p w14:paraId="643161A6">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1230" w:type="dxa"/>
                  <w:gridSpan w:val="2"/>
                  <w:tcBorders>
                    <w:tl2br w:val="nil"/>
                    <w:tr2bl w:val="nil"/>
                  </w:tcBorders>
                  <w:vAlign w:val="center"/>
                </w:tcPr>
                <w:p w14:paraId="4D075269">
                  <w:pPr>
                    <w:pStyle w:val="33"/>
                    <w:adjustRightInd w:val="0"/>
                    <w:spacing w:after="0" w:line="280" w:lineRule="exact"/>
                    <w:ind w:firstLine="0" w:firstLineChars="0"/>
                    <w:jc w:val="center"/>
                    <w:rPr>
                      <w:rFonts w:hint="default" w:ascii="Times New Roman" w:hAnsi="Times New Roman" w:cs="Times New Roman"/>
                      <w:color w:val="auto"/>
                      <w:szCs w:val="18"/>
                    </w:rPr>
                  </w:pPr>
                  <w:r>
                    <w:rPr>
                      <w:rFonts w:hint="default" w:ascii="Times New Roman" w:hAnsi="Times New Roman" w:cs="Times New Roman"/>
                      <w:color w:val="auto"/>
                      <w:szCs w:val="18"/>
                    </w:rPr>
                    <w:t>穿孔、切头、去尾及分段过程中产生的少量粉尘</w:t>
                  </w:r>
                </w:p>
              </w:tc>
              <w:tc>
                <w:tcPr>
                  <w:tcW w:w="4271" w:type="dxa"/>
                  <w:tcBorders>
                    <w:tl2br w:val="nil"/>
                    <w:tr2bl w:val="nil"/>
                  </w:tcBorders>
                  <w:vAlign w:val="center"/>
                </w:tcPr>
                <w:p w14:paraId="5343BE7B">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各生产设备均设置于封闭式厂房内。</w:t>
                  </w:r>
                </w:p>
              </w:tc>
              <w:tc>
                <w:tcPr>
                  <w:tcW w:w="1113" w:type="dxa"/>
                  <w:tcBorders>
                    <w:tl2br w:val="nil"/>
                    <w:tr2bl w:val="nil"/>
                  </w:tcBorders>
                  <w:vAlign w:val="center"/>
                </w:tcPr>
                <w:p w14:paraId="00D692F3">
                  <w:pPr>
                    <w:pStyle w:val="4"/>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依托现有厂房</w:t>
                  </w:r>
                </w:p>
              </w:tc>
            </w:tr>
            <w:tr w14:paraId="6657407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5DF2DF12">
                  <w:pPr>
                    <w:pStyle w:val="4"/>
                    <w:ind w:firstLine="0"/>
                    <w:jc w:val="center"/>
                    <w:rPr>
                      <w:rFonts w:hint="default" w:ascii="Times New Roman" w:hAnsi="Times New Roman" w:cs="Times New Roman"/>
                      <w:color w:val="auto"/>
                      <w:sz w:val="18"/>
                      <w:szCs w:val="18"/>
                    </w:rPr>
                  </w:pPr>
                </w:p>
              </w:tc>
              <w:tc>
                <w:tcPr>
                  <w:tcW w:w="614" w:type="dxa"/>
                  <w:vMerge w:val="restart"/>
                  <w:tcBorders>
                    <w:tl2br w:val="nil"/>
                    <w:tr2bl w:val="nil"/>
                  </w:tcBorders>
                  <w:vAlign w:val="center"/>
                </w:tcPr>
                <w:p w14:paraId="4964A5A2">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1230" w:type="dxa"/>
                  <w:gridSpan w:val="2"/>
                  <w:tcBorders>
                    <w:tl2br w:val="nil"/>
                    <w:tr2bl w:val="nil"/>
                  </w:tcBorders>
                  <w:vAlign w:val="center"/>
                </w:tcPr>
                <w:p w14:paraId="35330780">
                  <w:pPr>
                    <w:pStyle w:val="33"/>
                    <w:adjustRightInd w:val="0"/>
                    <w:spacing w:after="0" w:line="280" w:lineRule="exact"/>
                    <w:ind w:firstLine="0" w:firstLineChars="0"/>
                    <w:jc w:val="center"/>
                    <w:rPr>
                      <w:rFonts w:hint="default" w:ascii="Times New Roman" w:hAnsi="Times New Roman" w:cs="Times New Roman"/>
                      <w:color w:val="auto"/>
                      <w:szCs w:val="18"/>
                    </w:rPr>
                  </w:pPr>
                  <w:r>
                    <w:rPr>
                      <w:rFonts w:hint="default" w:ascii="Times New Roman" w:hAnsi="Times New Roman" w:cs="Times New Roman"/>
                      <w:color w:val="auto"/>
                      <w:szCs w:val="18"/>
                    </w:rPr>
                    <w:t>生产废水</w:t>
                  </w:r>
                </w:p>
              </w:tc>
              <w:tc>
                <w:tcPr>
                  <w:tcW w:w="4271" w:type="dxa"/>
                  <w:tcBorders>
                    <w:tl2br w:val="nil"/>
                    <w:tr2bl w:val="nil"/>
                  </w:tcBorders>
                  <w:vAlign w:val="center"/>
                </w:tcPr>
                <w:p w14:paraId="01B39691">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厂区内浊循环废水经1个容积为600m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的浊循环水池处理后循环使用，不外排。</w:t>
                  </w:r>
                </w:p>
              </w:tc>
              <w:tc>
                <w:tcPr>
                  <w:tcW w:w="1113" w:type="dxa"/>
                  <w:tcBorders>
                    <w:tl2br w:val="nil"/>
                    <w:tr2bl w:val="nil"/>
                  </w:tcBorders>
                  <w:vAlign w:val="center"/>
                </w:tcPr>
                <w:p w14:paraId="61A3DCB7">
                  <w:pPr>
                    <w:pStyle w:val="4"/>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14:paraId="30CA8B9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3C51A406">
                  <w:pPr>
                    <w:pStyle w:val="4"/>
                    <w:ind w:firstLine="0"/>
                    <w:jc w:val="center"/>
                    <w:rPr>
                      <w:rFonts w:hint="default" w:ascii="Times New Roman" w:hAnsi="Times New Roman" w:cs="Times New Roman"/>
                      <w:color w:val="auto"/>
                      <w:sz w:val="18"/>
                      <w:szCs w:val="18"/>
                    </w:rPr>
                  </w:pPr>
                </w:p>
              </w:tc>
              <w:tc>
                <w:tcPr>
                  <w:tcW w:w="614" w:type="dxa"/>
                  <w:vMerge w:val="continue"/>
                  <w:tcBorders>
                    <w:tl2br w:val="nil"/>
                    <w:tr2bl w:val="nil"/>
                  </w:tcBorders>
                  <w:vAlign w:val="center"/>
                </w:tcPr>
                <w:p w14:paraId="230E3EE4">
                  <w:pPr>
                    <w:pStyle w:val="4"/>
                    <w:autoSpaceDE w:val="0"/>
                    <w:ind w:firstLine="0"/>
                    <w:jc w:val="center"/>
                    <w:rPr>
                      <w:rFonts w:hint="default" w:ascii="Times New Roman" w:hAnsi="Times New Roman" w:cs="Times New Roman"/>
                      <w:color w:val="auto"/>
                      <w:sz w:val="18"/>
                      <w:szCs w:val="18"/>
                    </w:rPr>
                  </w:pPr>
                </w:p>
              </w:tc>
              <w:tc>
                <w:tcPr>
                  <w:tcW w:w="1230" w:type="dxa"/>
                  <w:gridSpan w:val="2"/>
                  <w:tcBorders>
                    <w:tl2br w:val="nil"/>
                    <w:tr2bl w:val="nil"/>
                  </w:tcBorders>
                  <w:vAlign w:val="center"/>
                </w:tcPr>
                <w:p w14:paraId="748F79F5">
                  <w:pPr>
                    <w:pStyle w:val="33"/>
                    <w:adjustRightInd w:val="0"/>
                    <w:spacing w:after="0" w:line="280" w:lineRule="exact"/>
                    <w:ind w:firstLine="0" w:firstLineChars="0"/>
                    <w:jc w:val="center"/>
                    <w:rPr>
                      <w:rFonts w:hint="default" w:ascii="Times New Roman" w:hAnsi="Times New Roman" w:cs="Times New Roman"/>
                      <w:color w:val="auto"/>
                      <w:szCs w:val="18"/>
                    </w:rPr>
                  </w:pPr>
                  <w:r>
                    <w:rPr>
                      <w:rFonts w:hint="default" w:ascii="Times New Roman" w:hAnsi="Times New Roman" w:cs="Times New Roman"/>
                      <w:color w:val="auto"/>
                      <w:szCs w:val="18"/>
                    </w:rPr>
                    <w:t>生活污水</w:t>
                  </w:r>
                </w:p>
              </w:tc>
              <w:tc>
                <w:tcPr>
                  <w:tcW w:w="4271" w:type="dxa"/>
                  <w:tcBorders>
                    <w:tl2br w:val="nil"/>
                    <w:tr2bl w:val="nil"/>
                  </w:tcBorders>
                  <w:vAlign w:val="center"/>
                </w:tcPr>
                <w:p w14:paraId="3F4690A2">
                  <w:pPr>
                    <w:ind w:firstLine="360" w:firstLineChars="200"/>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利用现有的1个10m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的化粪池，并新增1个6m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的化粪池。</w:t>
                  </w:r>
                  <w:r>
                    <w:rPr>
                      <w:rFonts w:hint="default" w:ascii="Times New Roman" w:hAnsi="Times New Roman" w:cs="Times New Roman"/>
                      <w:color w:val="auto"/>
                      <w:sz w:val="18"/>
                      <w:szCs w:val="18"/>
                      <w:lang w:val="en-US" w:eastAsia="zh-CN"/>
                    </w:rPr>
                    <w:t>生活污水经化粪池处理达《污水综合排放标准》（GB8978-1996）（表4）三级标准及《污水排入城镇下水道水质标准》（GB/T31962-2015）表1B等级标准后排入园区污水管网，最终进入园区污水处理厂处理。</w:t>
                  </w:r>
                </w:p>
              </w:tc>
              <w:tc>
                <w:tcPr>
                  <w:tcW w:w="1113" w:type="dxa"/>
                  <w:tcBorders>
                    <w:tl2br w:val="nil"/>
                    <w:tr2bl w:val="nil"/>
                  </w:tcBorders>
                  <w:vAlign w:val="center"/>
                </w:tcPr>
                <w:p w14:paraId="11276E99">
                  <w:pPr>
                    <w:pStyle w:val="4"/>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现有+新增</w:t>
                  </w:r>
                </w:p>
              </w:tc>
            </w:tr>
            <w:tr w14:paraId="69BC211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655A1FE8">
                  <w:pPr>
                    <w:widowControl/>
                    <w:jc w:val="left"/>
                    <w:rPr>
                      <w:rFonts w:hint="default" w:ascii="Times New Roman" w:hAnsi="Times New Roman" w:cs="Times New Roman"/>
                      <w:color w:val="auto"/>
                      <w:sz w:val="18"/>
                      <w:szCs w:val="18"/>
                    </w:rPr>
                  </w:pPr>
                </w:p>
              </w:tc>
              <w:tc>
                <w:tcPr>
                  <w:tcW w:w="614" w:type="dxa"/>
                  <w:vMerge w:val="continue"/>
                  <w:tcBorders>
                    <w:tl2br w:val="nil"/>
                    <w:tr2bl w:val="nil"/>
                  </w:tcBorders>
                  <w:vAlign w:val="center"/>
                </w:tcPr>
                <w:p w14:paraId="4D86F161">
                  <w:pPr>
                    <w:pStyle w:val="4"/>
                    <w:autoSpaceDE w:val="0"/>
                    <w:ind w:firstLine="0"/>
                    <w:jc w:val="center"/>
                    <w:rPr>
                      <w:rFonts w:hint="default" w:ascii="Times New Roman" w:hAnsi="Times New Roman" w:cs="Times New Roman"/>
                      <w:color w:val="auto"/>
                      <w:sz w:val="18"/>
                      <w:szCs w:val="18"/>
                    </w:rPr>
                  </w:pPr>
                </w:p>
              </w:tc>
              <w:tc>
                <w:tcPr>
                  <w:tcW w:w="1230" w:type="dxa"/>
                  <w:gridSpan w:val="2"/>
                  <w:tcBorders>
                    <w:tl2br w:val="nil"/>
                    <w:tr2bl w:val="nil"/>
                  </w:tcBorders>
                  <w:vAlign w:val="center"/>
                </w:tcPr>
                <w:p w14:paraId="4CE6F7DF">
                  <w:pPr>
                    <w:pStyle w:val="33"/>
                    <w:adjustRightInd w:val="0"/>
                    <w:spacing w:after="0" w:line="280" w:lineRule="exact"/>
                    <w:ind w:firstLine="0" w:firstLineChars="0"/>
                    <w:jc w:val="center"/>
                    <w:rPr>
                      <w:rFonts w:hint="default" w:ascii="Times New Roman" w:hAnsi="Times New Roman" w:cs="Times New Roman"/>
                      <w:color w:val="auto"/>
                      <w:szCs w:val="18"/>
                    </w:rPr>
                  </w:pPr>
                  <w:r>
                    <w:rPr>
                      <w:rFonts w:hint="default" w:ascii="Times New Roman" w:hAnsi="Times New Roman" w:cs="Times New Roman"/>
                      <w:color w:val="auto"/>
                      <w:szCs w:val="18"/>
                    </w:rPr>
                    <w:t>初期雨水</w:t>
                  </w:r>
                </w:p>
              </w:tc>
              <w:tc>
                <w:tcPr>
                  <w:tcW w:w="4271" w:type="dxa"/>
                  <w:tcBorders>
                    <w:tl2br w:val="nil"/>
                    <w:tr2bl w:val="nil"/>
                  </w:tcBorders>
                  <w:vAlign w:val="center"/>
                </w:tcPr>
                <w:p w14:paraId="53BFF37D">
                  <w:pPr>
                    <w:ind w:firstLine="420" w:firstLineChars="200"/>
                    <w:rPr>
                      <w:rFonts w:hint="default" w:ascii="Times New Roman" w:hAnsi="Times New Roman" w:cs="Times New Roman"/>
                      <w:color w:val="auto"/>
                      <w:szCs w:val="18"/>
                    </w:rPr>
                  </w:pPr>
                  <w:r>
                    <w:rPr>
                      <w:rFonts w:hint="default" w:ascii="Times New Roman" w:hAnsi="Times New Roman" w:cs="Times New Roman"/>
                      <w:color w:val="auto"/>
                      <w:szCs w:val="18"/>
                    </w:rPr>
                    <w:t>厂区建有雨污分流系统，将收集的初期雨水进入现有的初期雨水收集池（80</w:t>
                  </w:r>
                  <w:r>
                    <w:rPr>
                      <w:rFonts w:hint="default" w:ascii="Times New Roman" w:hAnsi="Times New Roman" w:cs="Times New Roman"/>
                      <w:snapToGrid w:val="0"/>
                      <w:color w:val="auto"/>
                      <w:szCs w:val="18"/>
                    </w:rPr>
                    <w:t>m</w:t>
                  </w:r>
                  <w:r>
                    <w:rPr>
                      <w:rFonts w:hint="default" w:ascii="Times New Roman" w:hAnsi="Times New Roman" w:cs="Times New Roman"/>
                      <w:snapToGrid w:val="0"/>
                      <w:color w:val="auto"/>
                      <w:szCs w:val="18"/>
                      <w:vertAlign w:val="superscript"/>
                    </w:rPr>
                    <w:t>3</w:t>
                  </w:r>
                  <w:r>
                    <w:rPr>
                      <w:rFonts w:hint="default" w:ascii="Times New Roman" w:hAnsi="Times New Roman" w:cs="Times New Roman"/>
                      <w:color w:val="auto"/>
                      <w:szCs w:val="18"/>
                    </w:rPr>
                    <w:t>），用于生产补充用水。</w:t>
                  </w:r>
                </w:p>
              </w:tc>
              <w:tc>
                <w:tcPr>
                  <w:tcW w:w="1113" w:type="dxa"/>
                  <w:tcBorders>
                    <w:tl2br w:val="nil"/>
                    <w:tr2bl w:val="nil"/>
                  </w:tcBorders>
                  <w:vAlign w:val="center"/>
                </w:tcPr>
                <w:p w14:paraId="05ECD536">
                  <w:pPr>
                    <w:pStyle w:val="4"/>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依托现有</w:t>
                  </w:r>
                </w:p>
              </w:tc>
            </w:tr>
            <w:tr w14:paraId="4532E00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714DD966">
                  <w:pPr>
                    <w:widowControl/>
                    <w:jc w:val="left"/>
                    <w:rPr>
                      <w:rFonts w:hint="default" w:ascii="Times New Roman" w:hAnsi="Times New Roman" w:cs="Times New Roman"/>
                      <w:color w:val="auto"/>
                      <w:sz w:val="18"/>
                      <w:szCs w:val="18"/>
                    </w:rPr>
                  </w:pPr>
                </w:p>
              </w:tc>
              <w:tc>
                <w:tcPr>
                  <w:tcW w:w="614" w:type="dxa"/>
                  <w:vMerge w:val="restart"/>
                  <w:tcBorders>
                    <w:tl2br w:val="nil"/>
                    <w:tr2bl w:val="nil"/>
                  </w:tcBorders>
                  <w:vAlign w:val="center"/>
                </w:tcPr>
                <w:p w14:paraId="529A15CA">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w:t>
                  </w:r>
                </w:p>
              </w:tc>
              <w:tc>
                <w:tcPr>
                  <w:tcW w:w="1230" w:type="dxa"/>
                  <w:gridSpan w:val="2"/>
                  <w:tcBorders>
                    <w:tl2br w:val="nil"/>
                    <w:tr2bl w:val="nil"/>
                  </w:tcBorders>
                  <w:vAlign w:val="center"/>
                </w:tcPr>
                <w:p w14:paraId="7C42CA69">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生活垃圾</w:t>
                  </w:r>
                </w:p>
              </w:tc>
              <w:tc>
                <w:tcPr>
                  <w:tcW w:w="4271" w:type="dxa"/>
                  <w:tcBorders>
                    <w:tl2br w:val="nil"/>
                    <w:tr2bl w:val="nil"/>
                  </w:tcBorders>
                  <w:vAlign w:val="center"/>
                </w:tcPr>
                <w:p w14:paraId="295C0ACB">
                  <w:pPr>
                    <w:ind w:firstLine="360" w:firstLineChars="200"/>
                    <w:rPr>
                      <w:rFonts w:hint="default" w:ascii="Times New Roman" w:hAnsi="Times New Roman" w:eastAsia="宋体" w:cs="Times New Roman"/>
                      <w:color w:val="auto"/>
                      <w:szCs w:val="18"/>
                    </w:rPr>
                  </w:pPr>
                  <w:r>
                    <w:rPr>
                      <w:rFonts w:hint="default" w:ascii="Times New Roman" w:hAnsi="Times New Roman" w:cs="Times New Roman"/>
                      <w:color w:val="auto"/>
                      <w:sz w:val="18"/>
                      <w:szCs w:val="18"/>
                    </w:rPr>
                    <w:t>收集后</w:t>
                  </w:r>
                  <w:r>
                    <w:rPr>
                      <w:rFonts w:hint="default" w:ascii="Times New Roman" w:hAnsi="Times New Roman" w:cs="Times New Roman"/>
                      <w:color w:val="auto"/>
                      <w:sz w:val="18"/>
                      <w:szCs w:val="18"/>
                      <w:lang w:val="en-US" w:eastAsia="zh-CN"/>
                    </w:rPr>
                    <w:t>与现有</w:t>
                  </w:r>
                  <w:r>
                    <w:rPr>
                      <w:rFonts w:hint="default" w:ascii="Times New Roman" w:hAnsi="Times New Roman" w:cs="Times New Roman"/>
                      <w:color w:val="auto"/>
                      <w:sz w:val="18"/>
                      <w:szCs w:val="18"/>
                    </w:rPr>
                    <w:t>生活垃圾一起委托环卫部门清运处置。</w:t>
                  </w:r>
                  <w:r>
                    <w:rPr>
                      <w:rFonts w:hint="default" w:ascii="Times New Roman" w:hAnsi="Times New Roman" w:eastAsia="宋体" w:cs="Times New Roman"/>
                      <w:color w:val="auto"/>
                      <w:szCs w:val="18"/>
                    </w:rPr>
                    <w:t>垃圾箱3个，垃圾桶均匀分布。</w:t>
                  </w:r>
                </w:p>
              </w:tc>
              <w:tc>
                <w:tcPr>
                  <w:tcW w:w="1113" w:type="dxa"/>
                  <w:tcBorders>
                    <w:tl2br w:val="nil"/>
                    <w:tr2bl w:val="nil"/>
                  </w:tcBorders>
                  <w:vAlign w:val="center"/>
                </w:tcPr>
                <w:p w14:paraId="4B16CFE8">
                  <w:pPr>
                    <w:pStyle w:val="4"/>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14:paraId="4BD0C58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6122D5F6">
                  <w:pPr>
                    <w:widowControl/>
                    <w:jc w:val="left"/>
                    <w:rPr>
                      <w:rFonts w:hint="default" w:ascii="Times New Roman" w:hAnsi="Times New Roman" w:cs="Times New Roman"/>
                      <w:color w:val="auto"/>
                      <w:sz w:val="18"/>
                      <w:szCs w:val="18"/>
                    </w:rPr>
                  </w:pPr>
                </w:p>
              </w:tc>
              <w:tc>
                <w:tcPr>
                  <w:tcW w:w="614" w:type="dxa"/>
                  <w:vMerge w:val="continue"/>
                  <w:tcBorders>
                    <w:tl2br w:val="nil"/>
                    <w:tr2bl w:val="nil"/>
                  </w:tcBorders>
                  <w:vAlign w:val="center"/>
                </w:tcPr>
                <w:p w14:paraId="69E061FE">
                  <w:pPr>
                    <w:pStyle w:val="4"/>
                    <w:autoSpaceDE w:val="0"/>
                    <w:ind w:firstLine="0"/>
                    <w:jc w:val="center"/>
                    <w:rPr>
                      <w:rFonts w:hint="default" w:ascii="Times New Roman" w:hAnsi="Times New Roman" w:cs="Times New Roman"/>
                      <w:color w:val="auto"/>
                      <w:sz w:val="18"/>
                      <w:szCs w:val="18"/>
                    </w:rPr>
                  </w:pPr>
                </w:p>
              </w:tc>
              <w:tc>
                <w:tcPr>
                  <w:tcW w:w="1230" w:type="dxa"/>
                  <w:gridSpan w:val="2"/>
                  <w:tcBorders>
                    <w:tl2br w:val="nil"/>
                    <w:tr2bl w:val="nil"/>
                  </w:tcBorders>
                  <w:vAlign w:val="center"/>
                </w:tcPr>
                <w:p w14:paraId="40874F90">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边角料及不合格产品</w:t>
                  </w:r>
                </w:p>
              </w:tc>
              <w:tc>
                <w:tcPr>
                  <w:tcW w:w="4271" w:type="dxa"/>
                  <w:tcBorders>
                    <w:tl2br w:val="nil"/>
                    <w:tr2bl w:val="nil"/>
                  </w:tcBorders>
                  <w:vAlign w:val="center"/>
                </w:tcPr>
                <w:p w14:paraId="66851B75">
                  <w:pPr>
                    <w:ind w:firstLine="420" w:firstLineChars="200"/>
                    <w:rPr>
                      <w:rFonts w:hint="default" w:ascii="Times New Roman" w:hAnsi="Times New Roman" w:eastAsia="宋体" w:cs="Times New Roman"/>
                      <w:color w:val="auto"/>
                      <w:szCs w:val="18"/>
                    </w:rPr>
                  </w:pPr>
                  <w:r>
                    <w:rPr>
                      <w:rFonts w:hint="default" w:ascii="Times New Roman" w:hAnsi="Times New Roman" w:eastAsia="宋体" w:cs="Times New Roman"/>
                      <w:color w:val="auto"/>
                      <w:szCs w:val="18"/>
                    </w:rPr>
                    <w:t>经收集后外售作为生产原料。</w:t>
                  </w:r>
                </w:p>
              </w:tc>
              <w:tc>
                <w:tcPr>
                  <w:tcW w:w="1113" w:type="dxa"/>
                  <w:tcBorders>
                    <w:tl2br w:val="nil"/>
                    <w:tr2bl w:val="nil"/>
                  </w:tcBorders>
                  <w:vAlign w:val="center"/>
                </w:tcPr>
                <w:p w14:paraId="61DA4E95">
                  <w:pPr>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14:paraId="4A9EEB5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6B8E1E5B">
                  <w:pPr>
                    <w:widowControl/>
                    <w:jc w:val="left"/>
                    <w:rPr>
                      <w:rFonts w:hint="default" w:ascii="Times New Roman" w:hAnsi="Times New Roman" w:cs="Times New Roman"/>
                      <w:color w:val="auto"/>
                      <w:sz w:val="18"/>
                      <w:szCs w:val="18"/>
                    </w:rPr>
                  </w:pPr>
                </w:p>
              </w:tc>
              <w:tc>
                <w:tcPr>
                  <w:tcW w:w="614" w:type="dxa"/>
                  <w:vMerge w:val="continue"/>
                  <w:tcBorders>
                    <w:tl2br w:val="nil"/>
                    <w:tr2bl w:val="nil"/>
                  </w:tcBorders>
                  <w:vAlign w:val="center"/>
                </w:tcPr>
                <w:p w14:paraId="78C28DCE">
                  <w:pPr>
                    <w:pStyle w:val="4"/>
                    <w:autoSpaceDE w:val="0"/>
                    <w:ind w:firstLine="0"/>
                    <w:jc w:val="center"/>
                    <w:rPr>
                      <w:rFonts w:hint="default" w:ascii="Times New Roman" w:hAnsi="Times New Roman" w:cs="Times New Roman"/>
                      <w:color w:val="auto"/>
                      <w:sz w:val="18"/>
                      <w:szCs w:val="18"/>
                    </w:rPr>
                  </w:pPr>
                </w:p>
              </w:tc>
              <w:tc>
                <w:tcPr>
                  <w:tcW w:w="1230" w:type="dxa"/>
                  <w:gridSpan w:val="2"/>
                  <w:tcBorders>
                    <w:tl2br w:val="nil"/>
                    <w:tr2bl w:val="nil"/>
                  </w:tcBorders>
                  <w:vAlign w:val="center"/>
                </w:tcPr>
                <w:p w14:paraId="65094B07">
                  <w:pPr>
                    <w:pStyle w:val="4"/>
                    <w:adjustRightInd/>
                    <w:spacing w:line="276"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氧化铁皮</w:t>
                  </w:r>
                </w:p>
              </w:tc>
              <w:tc>
                <w:tcPr>
                  <w:tcW w:w="4271" w:type="dxa"/>
                  <w:tcBorders>
                    <w:tl2br w:val="nil"/>
                    <w:tr2bl w:val="nil"/>
                  </w:tcBorders>
                  <w:vAlign w:val="center"/>
                </w:tcPr>
                <w:p w14:paraId="40A4E966">
                  <w:pPr>
                    <w:ind w:firstLine="420" w:firstLineChars="200"/>
                    <w:rPr>
                      <w:rFonts w:hint="default" w:ascii="Times New Roman" w:hAnsi="Times New Roman" w:eastAsia="宋体" w:cs="Times New Roman"/>
                      <w:color w:val="auto"/>
                      <w:szCs w:val="18"/>
                    </w:rPr>
                  </w:pPr>
                  <w:r>
                    <w:rPr>
                      <w:rFonts w:hint="default" w:ascii="Times New Roman" w:hAnsi="Times New Roman" w:eastAsia="宋体" w:cs="Times New Roman"/>
                      <w:color w:val="auto"/>
                      <w:szCs w:val="18"/>
                    </w:rPr>
                    <w:t>经收集后外售作为生产原料。</w:t>
                  </w:r>
                </w:p>
              </w:tc>
              <w:tc>
                <w:tcPr>
                  <w:tcW w:w="1113" w:type="dxa"/>
                  <w:tcBorders>
                    <w:tl2br w:val="nil"/>
                    <w:tr2bl w:val="nil"/>
                  </w:tcBorders>
                  <w:vAlign w:val="center"/>
                </w:tcPr>
                <w:p w14:paraId="75EB1728">
                  <w:pPr>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14:paraId="1004E22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7F4A83CD">
                  <w:pPr>
                    <w:widowControl/>
                    <w:jc w:val="left"/>
                    <w:rPr>
                      <w:rFonts w:hint="default" w:ascii="Times New Roman" w:hAnsi="Times New Roman" w:cs="Times New Roman"/>
                      <w:color w:val="auto"/>
                      <w:sz w:val="18"/>
                      <w:szCs w:val="18"/>
                    </w:rPr>
                  </w:pPr>
                </w:p>
              </w:tc>
              <w:tc>
                <w:tcPr>
                  <w:tcW w:w="614" w:type="dxa"/>
                  <w:vMerge w:val="continue"/>
                  <w:tcBorders>
                    <w:tl2br w:val="nil"/>
                    <w:tr2bl w:val="nil"/>
                  </w:tcBorders>
                  <w:vAlign w:val="center"/>
                </w:tcPr>
                <w:p w14:paraId="266A0593">
                  <w:pPr>
                    <w:pStyle w:val="4"/>
                    <w:autoSpaceDE w:val="0"/>
                    <w:ind w:firstLine="0"/>
                    <w:jc w:val="center"/>
                    <w:rPr>
                      <w:rFonts w:hint="default" w:ascii="Times New Roman" w:hAnsi="Times New Roman" w:cs="Times New Roman"/>
                      <w:color w:val="auto"/>
                      <w:sz w:val="18"/>
                      <w:szCs w:val="18"/>
                    </w:rPr>
                  </w:pPr>
                </w:p>
              </w:tc>
              <w:tc>
                <w:tcPr>
                  <w:tcW w:w="1230" w:type="dxa"/>
                  <w:gridSpan w:val="2"/>
                  <w:tcBorders>
                    <w:tl2br w:val="nil"/>
                    <w:tr2bl w:val="nil"/>
                  </w:tcBorders>
                  <w:vAlign w:val="center"/>
                </w:tcPr>
                <w:p w14:paraId="65FD9430">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化粪池污泥</w:t>
                  </w:r>
                </w:p>
              </w:tc>
              <w:tc>
                <w:tcPr>
                  <w:tcW w:w="4271" w:type="dxa"/>
                  <w:tcBorders>
                    <w:tl2br w:val="nil"/>
                    <w:tr2bl w:val="nil"/>
                  </w:tcBorders>
                  <w:vAlign w:val="center"/>
                </w:tcPr>
                <w:p w14:paraId="68777A97">
                  <w:pPr>
                    <w:ind w:firstLine="420" w:firstLineChars="200"/>
                    <w:rPr>
                      <w:rFonts w:hint="default" w:ascii="Times New Roman" w:hAnsi="Times New Roman" w:eastAsia="宋体" w:cs="Times New Roman"/>
                      <w:color w:val="auto"/>
                      <w:szCs w:val="18"/>
                    </w:rPr>
                  </w:pPr>
                  <w:r>
                    <w:rPr>
                      <w:rFonts w:hint="default" w:ascii="Times New Roman" w:hAnsi="Times New Roman" w:eastAsia="宋体" w:cs="Times New Roman"/>
                      <w:color w:val="auto"/>
                      <w:szCs w:val="18"/>
                    </w:rPr>
                    <w:t>委托环卫部门采用吸粪车运走。</w:t>
                  </w:r>
                </w:p>
              </w:tc>
              <w:tc>
                <w:tcPr>
                  <w:tcW w:w="1113" w:type="dxa"/>
                  <w:tcBorders>
                    <w:tl2br w:val="nil"/>
                    <w:tr2bl w:val="nil"/>
                  </w:tcBorders>
                  <w:vAlign w:val="center"/>
                </w:tcPr>
                <w:p w14:paraId="0AB95754">
                  <w:pPr>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14:paraId="6614F74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7C6BFD4E">
                  <w:pPr>
                    <w:widowControl/>
                    <w:jc w:val="left"/>
                    <w:rPr>
                      <w:rFonts w:hint="default" w:ascii="Times New Roman" w:hAnsi="Times New Roman" w:cs="Times New Roman"/>
                      <w:color w:val="auto"/>
                      <w:sz w:val="18"/>
                      <w:szCs w:val="18"/>
                    </w:rPr>
                  </w:pPr>
                </w:p>
              </w:tc>
              <w:tc>
                <w:tcPr>
                  <w:tcW w:w="614" w:type="dxa"/>
                  <w:vMerge w:val="continue"/>
                  <w:tcBorders>
                    <w:tl2br w:val="nil"/>
                    <w:tr2bl w:val="nil"/>
                  </w:tcBorders>
                  <w:vAlign w:val="center"/>
                </w:tcPr>
                <w:p w14:paraId="20A05AE2">
                  <w:pPr>
                    <w:pStyle w:val="4"/>
                    <w:autoSpaceDE w:val="0"/>
                    <w:ind w:firstLine="0"/>
                    <w:jc w:val="center"/>
                    <w:rPr>
                      <w:rFonts w:hint="default" w:ascii="Times New Roman" w:hAnsi="Times New Roman" w:cs="Times New Roman"/>
                      <w:color w:val="auto"/>
                      <w:sz w:val="18"/>
                      <w:szCs w:val="18"/>
                    </w:rPr>
                  </w:pPr>
                </w:p>
              </w:tc>
              <w:tc>
                <w:tcPr>
                  <w:tcW w:w="1230" w:type="dxa"/>
                  <w:gridSpan w:val="2"/>
                  <w:tcBorders>
                    <w:tl2br w:val="nil"/>
                    <w:tr2bl w:val="nil"/>
                  </w:tcBorders>
                  <w:vAlign w:val="center"/>
                </w:tcPr>
                <w:p w14:paraId="583B7DFB">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废弃含油抹布和劳保用品</w:t>
                  </w:r>
                </w:p>
              </w:tc>
              <w:tc>
                <w:tcPr>
                  <w:tcW w:w="4271" w:type="dxa"/>
                  <w:tcBorders>
                    <w:tl2br w:val="nil"/>
                    <w:tr2bl w:val="nil"/>
                  </w:tcBorders>
                  <w:vAlign w:val="center"/>
                </w:tcPr>
                <w:p w14:paraId="47DACD2C">
                  <w:pPr>
                    <w:ind w:firstLine="360" w:firstLineChars="200"/>
                    <w:rPr>
                      <w:rFonts w:hint="default" w:ascii="Times New Roman" w:hAnsi="Times New Roman" w:eastAsia="宋体" w:cs="Times New Roman"/>
                      <w:color w:val="auto"/>
                      <w:szCs w:val="18"/>
                    </w:rPr>
                  </w:pPr>
                  <w:r>
                    <w:rPr>
                      <w:rFonts w:hint="default" w:ascii="Times New Roman" w:hAnsi="Times New Roman" w:eastAsia="宋体" w:cs="Times New Roman"/>
                      <w:color w:val="auto"/>
                      <w:sz w:val="18"/>
                      <w:szCs w:val="18"/>
                    </w:rPr>
                    <w:t>分类收集，暂存于危险废物贮存库内，定期委托有资质的单位处置。</w:t>
                  </w:r>
                </w:p>
              </w:tc>
              <w:tc>
                <w:tcPr>
                  <w:tcW w:w="1113" w:type="dxa"/>
                  <w:tcBorders>
                    <w:tl2br w:val="nil"/>
                    <w:tr2bl w:val="nil"/>
                  </w:tcBorders>
                  <w:vAlign w:val="center"/>
                </w:tcPr>
                <w:p w14:paraId="580793DD">
                  <w:pPr>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14:paraId="3DEF030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2A689F4E">
                  <w:pPr>
                    <w:widowControl/>
                    <w:jc w:val="left"/>
                    <w:rPr>
                      <w:rFonts w:hint="default" w:ascii="Times New Roman" w:hAnsi="Times New Roman" w:cs="Times New Roman"/>
                      <w:color w:val="auto"/>
                      <w:sz w:val="18"/>
                      <w:szCs w:val="18"/>
                    </w:rPr>
                  </w:pPr>
                </w:p>
              </w:tc>
              <w:tc>
                <w:tcPr>
                  <w:tcW w:w="614" w:type="dxa"/>
                  <w:vMerge w:val="continue"/>
                  <w:tcBorders>
                    <w:tl2br w:val="nil"/>
                    <w:tr2bl w:val="nil"/>
                  </w:tcBorders>
                  <w:vAlign w:val="center"/>
                </w:tcPr>
                <w:p w14:paraId="08FBF176">
                  <w:pPr>
                    <w:pStyle w:val="4"/>
                    <w:autoSpaceDE w:val="0"/>
                    <w:ind w:firstLine="0"/>
                    <w:jc w:val="center"/>
                    <w:rPr>
                      <w:rFonts w:hint="default" w:ascii="Times New Roman" w:hAnsi="Times New Roman" w:cs="Times New Roman"/>
                      <w:color w:val="auto"/>
                      <w:sz w:val="18"/>
                      <w:szCs w:val="18"/>
                    </w:rPr>
                  </w:pPr>
                </w:p>
              </w:tc>
              <w:tc>
                <w:tcPr>
                  <w:tcW w:w="1230" w:type="dxa"/>
                  <w:gridSpan w:val="2"/>
                  <w:tcBorders>
                    <w:tl2br w:val="nil"/>
                    <w:tr2bl w:val="nil"/>
                  </w:tcBorders>
                  <w:vAlign w:val="center"/>
                </w:tcPr>
                <w:p w14:paraId="446AE18E">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废机油</w:t>
                  </w:r>
                </w:p>
              </w:tc>
              <w:tc>
                <w:tcPr>
                  <w:tcW w:w="4271" w:type="dxa"/>
                  <w:tcBorders>
                    <w:tl2br w:val="nil"/>
                    <w:tr2bl w:val="nil"/>
                  </w:tcBorders>
                  <w:vAlign w:val="center"/>
                </w:tcPr>
                <w:p w14:paraId="535BEC70">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建设一座5m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危险废物贮存库，废机油暂存于危险废物贮存库后全部返回设备进行润滑使用，危险废物贮存库已按照《危险贮存污染控制标准》（GB18597-2023）的要求进行了建设，且按规定粘贴了相应的标识标牌及管理制度。</w:t>
                  </w:r>
                </w:p>
              </w:tc>
              <w:tc>
                <w:tcPr>
                  <w:tcW w:w="1113" w:type="dxa"/>
                  <w:tcBorders>
                    <w:tl2br w:val="nil"/>
                    <w:tr2bl w:val="nil"/>
                  </w:tcBorders>
                  <w:vAlign w:val="center"/>
                </w:tcPr>
                <w:p w14:paraId="088A5517">
                  <w:pPr>
                    <w:pStyle w:val="4"/>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依托现有</w:t>
                  </w:r>
                </w:p>
              </w:tc>
            </w:tr>
            <w:tr w14:paraId="0A105FF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155351A6">
                  <w:pPr>
                    <w:widowControl/>
                    <w:jc w:val="left"/>
                    <w:rPr>
                      <w:rFonts w:hint="default" w:ascii="Times New Roman" w:hAnsi="Times New Roman" w:cs="Times New Roman"/>
                      <w:color w:val="auto"/>
                      <w:sz w:val="18"/>
                      <w:szCs w:val="18"/>
                    </w:rPr>
                  </w:pPr>
                </w:p>
              </w:tc>
              <w:tc>
                <w:tcPr>
                  <w:tcW w:w="1844" w:type="dxa"/>
                  <w:gridSpan w:val="3"/>
                  <w:tcBorders>
                    <w:tl2br w:val="nil"/>
                    <w:tr2bl w:val="nil"/>
                  </w:tcBorders>
                  <w:vAlign w:val="center"/>
                </w:tcPr>
                <w:p w14:paraId="387012B0">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w:t>
                  </w:r>
                </w:p>
              </w:tc>
              <w:tc>
                <w:tcPr>
                  <w:tcW w:w="4271" w:type="dxa"/>
                  <w:tcBorders>
                    <w:tl2br w:val="nil"/>
                    <w:tr2bl w:val="nil"/>
                  </w:tcBorders>
                  <w:vAlign w:val="center"/>
                </w:tcPr>
                <w:p w14:paraId="3E89CB6B">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对主要产噪设备进行减振、消声。</w:t>
                  </w:r>
                </w:p>
              </w:tc>
              <w:tc>
                <w:tcPr>
                  <w:tcW w:w="1113" w:type="dxa"/>
                  <w:tcBorders>
                    <w:tl2br w:val="nil"/>
                    <w:tr2bl w:val="nil"/>
                  </w:tcBorders>
                  <w:vAlign w:val="center"/>
                </w:tcPr>
                <w:p w14:paraId="474DADC6">
                  <w:pPr>
                    <w:pStyle w:val="4"/>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14:paraId="2A1181E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6EC3EAE9">
                  <w:pPr>
                    <w:widowControl/>
                    <w:jc w:val="left"/>
                    <w:rPr>
                      <w:rFonts w:hint="default" w:ascii="Times New Roman" w:hAnsi="Times New Roman" w:cs="Times New Roman"/>
                      <w:color w:val="auto"/>
                      <w:sz w:val="18"/>
                      <w:szCs w:val="18"/>
                    </w:rPr>
                  </w:pPr>
                </w:p>
              </w:tc>
              <w:tc>
                <w:tcPr>
                  <w:tcW w:w="629" w:type="dxa"/>
                  <w:gridSpan w:val="2"/>
                  <w:vMerge w:val="restart"/>
                  <w:tcBorders>
                    <w:right w:val="single" w:color="auto" w:sz="4" w:space="0"/>
                    <w:tl2br w:val="nil"/>
                    <w:tr2bl w:val="nil"/>
                  </w:tcBorders>
                  <w:vAlign w:val="center"/>
                </w:tcPr>
                <w:p w14:paraId="1EB9DD40">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地下水、土壤</w:t>
                  </w:r>
                </w:p>
              </w:tc>
              <w:tc>
                <w:tcPr>
                  <w:tcW w:w="1215" w:type="dxa"/>
                  <w:tcBorders>
                    <w:left w:val="single" w:color="auto" w:sz="4" w:space="0"/>
                    <w:tl2br w:val="nil"/>
                    <w:tr2bl w:val="nil"/>
                  </w:tcBorders>
                  <w:vAlign w:val="center"/>
                </w:tcPr>
                <w:p w14:paraId="2CB8CDD3">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重点防渗区</w:t>
                  </w:r>
                </w:p>
              </w:tc>
              <w:tc>
                <w:tcPr>
                  <w:tcW w:w="4271" w:type="dxa"/>
                  <w:tcBorders>
                    <w:tl2br w:val="nil"/>
                    <w:tr2bl w:val="nil"/>
                  </w:tcBorders>
                  <w:vAlign w:val="center"/>
                </w:tcPr>
                <w:p w14:paraId="3A9FD9B4">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危险废物贮存库依托现有，根据调查，其现状防渗措施为地面采用1.5m厚黏土层+人工防渗膜（渗透系数≤10</w:t>
                  </w:r>
                  <w:r>
                    <w:rPr>
                      <w:rFonts w:hint="default" w:ascii="Times New Roman" w:hAnsi="Times New Roman" w:cs="Times New Roman"/>
                      <w:color w:val="auto"/>
                      <w:sz w:val="18"/>
                      <w:szCs w:val="18"/>
                      <w:vertAlign w:val="superscript"/>
                    </w:rPr>
                    <w:t>-10</w:t>
                  </w:r>
                  <w:r>
                    <w:rPr>
                      <w:rFonts w:hint="default" w:ascii="Times New Roman" w:hAnsi="Times New Roman" w:cs="Times New Roman"/>
                      <w:color w:val="auto"/>
                      <w:sz w:val="18"/>
                      <w:szCs w:val="18"/>
                    </w:rPr>
                    <w:t>cm/s）+抗渗砼+环氧乙烯基酯树脂，内墙面四周2m以下采用1.5mm厚的水泥基渗透结晶型防水涂料涂抹，满足《危险废物贮存污染控制标准》（GB18597-2023）中渗透系数≤1×10</w:t>
                  </w:r>
                  <w:r>
                    <w:rPr>
                      <w:rFonts w:hint="default" w:ascii="Times New Roman" w:hAnsi="Times New Roman" w:cs="Times New Roman"/>
                      <w:color w:val="auto"/>
                      <w:sz w:val="18"/>
                      <w:szCs w:val="18"/>
                      <w:vertAlign w:val="superscript"/>
                    </w:rPr>
                    <w:t>-10</w:t>
                  </w:r>
                  <w:r>
                    <w:rPr>
                      <w:rFonts w:hint="default" w:ascii="Times New Roman" w:hAnsi="Times New Roman" w:cs="Times New Roman"/>
                      <w:color w:val="auto"/>
                      <w:sz w:val="18"/>
                      <w:szCs w:val="18"/>
                    </w:rPr>
                    <w:t>cm/s要求。</w:t>
                  </w:r>
                </w:p>
              </w:tc>
              <w:tc>
                <w:tcPr>
                  <w:tcW w:w="1113" w:type="dxa"/>
                  <w:tcBorders>
                    <w:tl2br w:val="nil"/>
                    <w:tr2bl w:val="nil"/>
                  </w:tcBorders>
                  <w:vAlign w:val="center"/>
                </w:tcPr>
                <w:p w14:paraId="4BA40675">
                  <w:pPr>
                    <w:pStyle w:val="4"/>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依托现有</w:t>
                  </w:r>
                </w:p>
              </w:tc>
            </w:tr>
            <w:tr w14:paraId="10F46C7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0A0F0958">
                  <w:pPr>
                    <w:widowControl/>
                    <w:jc w:val="left"/>
                    <w:rPr>
                      <w:rFonts w:hint="default" w:ascii="Times New Roman" w:hAnsi="Times New Roman" w:cs="Times New Roman"/>
                      <w:color w:val="auto"/>
                      <w:sz w:val="18"/>
                      <w:szCs w:val="18"/>
                    </w:rPr>
                  </w:pPr>
                </w:p>
              </w:tc>
              <w:tc>
                <w:tcPr>
                  <w:tcW w:w="629" w:type="dxa"/>
                  <w:gridSpan w:val="2"/>
                  <w:vMerge w:val="continue"/>
                  <w:tcBorders>
                    <w:right w:val="single" w:color="auto" w:sz="4" w:space="0"/>
                    <w:tl2br w:val="nil"/>
                    <w:tr2bl w:val="nil"/>
                  </w:tcBorders>
                  <w:vAlign w:val="center"/>
                </w:tcPr>
                <w:p w14:paraId="76A9914A">
                  <w:pPr>
                    <w:pStyle w:val="4"/>
                    <w:autoSpaceDE w:val="0"/>
                    <w:ind w:firstLine="0"/>
                    <w:jc w:val="center"/>
                    <w:rPr>
                      <w:rFonts w:hint="default" w:ascii="Times New Roman" w:hAnsi="Times New Roman" w:cs="Times New Roman"/>
                      <w:color w:val="auto"/>
                      <w:sz w:val="18"/>
                      <w:szCs w:val="18"/>
                    </w:rPr>
                  </w:pPr>
                </w:p>
              </w:tc>
              <w:tc>
                <w:tcPr>
                  <w:tcW w:w="1215" w:type="dxa"/>
                  <w:tcBorders>
                    <w:left w:val="single" w:color="auto" w:sz="4" w:space="0"/>
                    <w:tl2br w:val="nil"/>
                    <w:tr2bl w:val="nil"/>
                  </w:tcBorders>
                  <w:vAlign w:val="center"/>
                </w:tcPr>
                <w:p w14:paraId="757BD385">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一般防渗区</w:t>
                  </w:r>
                </w:p>
              </w:tc>
              <w:tc>
                <w:tcPr>
                  <w:tcW w:w="4271" w:type="dxa"/>
                  <w:tcBorders>
                    <w:tl2br w:val="nil"/>
                    <w:tr2bl w:val="nil"/>
                  </w:tcBorders>
                  <w:vAlign w:val="center"/>
                </w:tcPr>
                <w:p w14:paraId="34499679">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化粪池（10m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）、初期雨水收集池、无缝钢管车间、成品库依托现有，根据调查，其已采用厚度15cm的C20混凝土浇注作为防渗漏措施，防渗满足《环境影响评价技术导则  地下水环境》（HJ610-2016）中一般防渗区等效黏土防渗层Mb≥1.5m，K≤1×10</w:t>
                  </w:r>
                  <w:r>
                    <w:rPr>
                      <w:rFonts w:hint="default" w:ascii="Times New Roman" w:hAnsi="Times New Roman" w:cs="Times New Roman"/>
                      <w:color w:val="auto"/>
                      <w:sz w:val="18"/>
                      <w:szCs w:val="18"/>
                      <w:vertAlign w:val="superscript"/>
                    </w:rPr>
                    <w:t>-7</w:t>
                  </w:r>
                  <w:r>
                    <w:rPr>
                      <w:rFonts w:hint="default" w:ascii="Times New Roman" w:hAnsi="Times New Roman" w:cs="Times New Roman"/>
                      <w:color w:val="auto"/>
                      <w:sz w:val="18"/>
                      <w:szCs w:val="18"/>
                    </w:rPr>
                    <w:t>cm/s的防渗能力要求。</w:t>
                  </w:r>
                </w:p>
                <w:p w14:paraId="05C805B3">
                  <w:pPr>
                    <w:ind w:firstLine="360" w:firstLineChars="200"/>
                    <w:rPr>
                      <w:rFonts w:hint="default" w:ascii="Times New Roman" w:hAnsi="Times New Roman" w:cs="Times New Roman"/>
                      <w:color w:val="auto"/>
                    </w:rPr>
                  </w:pPr>
                  <w:r>
                    <w:rPr>
                      <w:rFonts w:hint="default" w:ascii="Times New Roman" w:hAnsi="Times New Roman" w:cs="Times New Roman"/>
                      <w:color w:val="auto"/>
                      <w:sz w:val="18"/>
                      <w:szCs w:val="18"/>
                    </w:rPr>
                    <w:t>化粪池（6m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）、循环水池为本次新建，要求严格按照《环境影响评价技术导则  地下水环境》（HJ610-2016）中的一般防渗区要求进行防渗，确保防渗效果等效于厚度≥1.5m，渗透系数≤1×10</w:t>
                  </w:r>
                  <w:r>
                    <w:rPr>
                      <w:rFonts w:hint="default" w:ascii="Times New Roman" w:hAnsi="Times New Roman" w:cs="Times New Roman"/>
                      <w:color w:val="auto"/>
                      <w:sz w:val="18"/>
                      <w:szCs w:val="18"/>
                      <w:vertAlign w:val="superscript"/>
                    </w:rPr>
                    <w:t>-7</w:t>
                  </w:r>
                  <w:r>
                    <w:rPr>
                      <w:rFonts w:hint="default" w:ascii="Times New Roman" w:hAnsi="Times New Roman" w:cs="Times New Roman"/>
                      <w:color w:val="auto"/>
                      <w:sz w:val="18"/>
                      <w:szCs w:val="18"/>
                    </w:rPr>
                    <w:t>cm/s）的黏土防渗效能。</w:t>
                  </w:r>
                </w:p>
              </w:tc>
              <w:tc>
                <w:tcPr>
                  <w:tcW w:w="1113" w:type="dxa"/>
                  <w:tcBorders>
                    <w:tl2br w:val="nil"/>
                    <w:tr2bl w:val="nil"/>
                  </w:tcBorders>
                  <w:vAlign w:val="center"/>
                </w:tcPr>
                <w:p w14:paraId="51F20438">
                  <w:pPr>
                    <w:pStyle w:val="4"/>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现有+新建</w:t>
                  </w:r>
                </w:p>
              </w:tc>
            </w:tr>
            <w:tr w14:paraId="174166E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586306A8">
                  <w:pPr>
                    <w:widowControl/>
                    <w:jc w:val="left"/>
                    <w:rPr>
                      <w:rFonts w:hint="default" w:ascii="Times New Roman" w:hAnsi="Times New Roman" w:cs="Times New Roman"/>
                      <w:color w:val="auto"/>
                      <w:sz w:val="18"/>
                      <w:szCs w:val="18"/>
                    </w:rPr>
                  </w:pPr>
                </w:p>
              </w:tc>
              <w:tc>
                <w:tcPr>
                  <w:tcW w:w="629" w:type="dxa"/>
                  <w:gridSpan w:val="2"/>
                  <w:vMerge w:val="continue"/>
                  <w:tcBorders>
                    <w:right w:val="single" w:color="auto" w:sz="4" w:space="0"/>
                    <w:tl2br w:val="nil"/>
                    <w:tr2bl w:val="nil"/>
                  </w:tcBorders>
                  <w:vAlign w:val="center"/>
                </w:tcPr>
                <w:p w14:paraId="1373DC0B">
                  <w:pPr>
                    <w:pStyle w:val="4"/>
                    <w:autoSpaceDE w:val="0"/>
                    <w:ind w:firstLine="0"/>
                    <w:jc w:val="center"/>
                    <w:rPr>
                      <w:rFonts w:hint="default" w:ascii="Times New Roman" w:hAnsi="Times New Roman" w:cs="Times New Roman"/>
                      <w:color w:val="auto"/>
                      <w:sz w:val="18"/>
                      <w:szCs w:val="18"/>
                    </w:rPr>
                  </w:pPr>
                </w:p>
              </w:tc>
              <w:tc>
                <w:tcPr>
                  <w:tcW w:w="1215" w:type="dxa"/>
                  <w:tcBorders>
                    <w:left w:val="single" w:color="auto" w:sz="4" w:space="0"/>
                    <w:tl2br w:val="nil"/>
                    <w:tr2bl w:val="nil"/>
                  </w:tcBorders>
                  <w:vAlign w:val="center"/>
                </w:tcPr>
                <w:p w14:paraId="5BF984B8">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简单防渗区</w:t>
                  </w:r>
                </w:p>
              </w:tc>
              <w:tc>
                <w:tcPr>
                  <w:tcW w:w="4271" w:type="dxa"/>
                  <w:tcBorders>
                    <w:tl2br w:val="nil"/>
                    <w:tr2bl w:val="nil"/>
                  </w:tcBorders>
                  <w:vAlign w:val="center"/>
                </w:tcPr>
                <w:p w14:paraId="65B32655">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办公区、磅房、道路、大门值班室依托现有，已采用一般水泥硬化处理。</w:t>
                  </w:r>
                </w:p>
              </w:tc>
              <w:tc>
                <w:tcPr>
                  <w:tcW w:w="1113" w:type="dxa"/>
                  <w:tcBorders>
                    <w:tl2br w:val="nil"/>
                    <w:tr2bl w:val="nil"/>
                  </w:tcBorders>
                  <w:vAlign w:val="center"/>
                </w:tcPr>
                <w:p w14:paraId="445E7B89">
                  <w:pPr>
                    <w:pStyle w:val="4"/>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依托现有</w:t>
                  </w:r>
                </w:p>
              </w:tc>
            </w:tr>
            <w:tr w14:paraId="52521418">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4056BD8C">
                  <w:pPr>
                    <w:widowControl/>
                    <w:jc w:val="left"/>
                    <w:rPr>
                      <w:rFonts w:hint="default" w:ascii="Times New Roman" w:hAnsi="Times New Roman" w:cs="Times New Roman"/>
                      <w:color w:val="auto"/>
                      <w:sz w:val="18"/>
                      <w:szCs w:val="18"/>
                    </w:rPr>
                  </w:pPr>
                </w:p>
              </w:tc>
              <w:tc>
                <w:tcPr>
                  <w:tcW w:w="1844" w:type="dxa"/>
                  <w:gridSpan w:val="3"/>
                  <w:tcBorders>
                    <w:tl2br w:val="nil"/>
                    <w:tr2bl w:val="nil"/>
                  </w:tcBorders>
                  <w:vAlign w:val="center"/>
                </w:tcPr>
                <w:p w14:paraId="2F2B614D">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风险</w:t>
                  </w:r>
                </w:p>
              </w:tc>
              <w:tc>
                <w:tcPr>
                  <w:tcW w:w="4271" w:type="dxa"/>
                  <w:tcBorders>
                    <w:tl2br w:val="nil"/>
                    <w:tr2bl w:val="nil"/>
                  </w:tcBorders>
                  <w:vAlign w:val="center"/>
                </w:tcPr>
                <w:p w14:paraId="2BE9C94E">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根据消防部门的要求配置消防设施，加强管理。</w:t>
                  </w:r>
                </w:p>
              </w:tc>
              <w:tc>
                <w:tcPr>
                  <w:tcW w:w="1113" w:type="dxa"/>
                  <w:tcBorders>
                    <w:tl2br w:val="nil"/>
                    <w:tr2bl w:val="nil"/>
                  </w:tcBorders>
                  <w:vAlign w:val="center"/>
                </w:tcPr>
                <w:p w14:paraId="06DBCB7D">
                  <w:pPr>
                    <w:pStyle w:val="4"/>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依托现有</w:t>
                  </w:r>
                </w:p>
              </w:tc>
            </w:tr>
            <w:tr w14:paraId="29668BE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7C3E1426">
                  <w:pPr>
                    <w:widowControl/>
                    <w:jc w:val="left"/>
                    <w:rPr>
                      <w:rFonts w:hint="default" w:ascii="Times New Roman" w:hAnsi="Times New Roman" w:cs="Times New Roman"/>
                      <w:color w:val="auto"/>
                      <w:sz w:val="18"/>
                      <w:szCs w:val="18"/>
                    </w:rPr>
                  </w:pPr>
                </w:p>
              </w:tc>
              <w:tc>
                <w:tcPr>
                  <w:tcW w:w="1844" w:type="dxa"/>
                  <w:gridSpan w:val="3"/>
                  <w:tcBorders>
                    <w:tl2br w:val="nil"/>
                    <w:tr2bl w:val="nil"/>
                  </w:tcBorders>
                  <w:vAlign w:val="center"/>
                </w:tcPr>
                <w:p w14:paraId="450804CD">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w:t>
                  </w:r>
                </w:p>
              </w:tc>
              <w:tc>
                <w:tcPr>
                  <w:tcW w:w="4271" w:type="dxa"/>
                  <w:tcBorders>
                    <w:tl2br w:val="nil"/>
                    <w:tr2bl w:val="nil"/>
                  </w:tcBorders>
                  <w:vAlign w:val="center"/>
                </w:tcPr>
                <w:p w14:paraId="5FAD00B1">
                  <w:pPr>
                    <w:pStyle w:val="4"/>
                    <w:autoSpaceDE w:val="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绿化面积300m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w:t>
                  </w:r>
                </w:p>
              </w:tc>
              <w:tc>
                <w:tcPr>
                  <w:tcW w:w="1113" w:type="dxa"/>
                  <w:tcBorders>
                    <w:tl2br w:val="nil"/>
                    <w:tr2bl w:val="nil"/>
                  </w:tcBorders>
                  <w:vAlign w:val="center"/>
                </w:tcPr>
                <w:p w14:paraId="0B006670">
                  <w:pPr>
                    <w:pStyle w:val="4"/>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现有</w:t>
                  </w:r>
                </w:p>
              </w:tc>
            </w:tr>
            <w:bookmarkEnd w:id="34"/>
          </w:tbl>
          <w:p w14:paraId="5E115BF4">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3、生产规模及产品方案</w:t>
            </w:r>
          </w:p>
          <w:p w14:paraId="5B018D56">
            <w:pPr>
              <w:pStyle w:val="76"/>
              <w:ind w:firstLine="480"/>
              <w:rPr>
                <w:rFonts w:hint="default" w:ascii="Times New Roman" w:hAnsi="Times New Roman" w:cs="Times New Roman"/>
                <w:color w:val="auto"/>
                <w:kern w:val="0"/>
              </w:rPr>
            </w:pPr>
            <w:r>
              <w:rPr>
                <w:rFonts w:hint="default" w:ascii="Times New Roman" w:hAnsi="Times New Roman" w:cs="Times New Roman"/>
                <w:color w:val="auto"/>
                <w:kern w:val="0"/>
              </w:rPr>
              <w:t>本项目主要产品类型及产量情况见下表：</w:t>
            </w:r>
          </w:p>
          <w:p w14:paraId="6597F315">
            <w:pPr>
              <w:pStyle w:val="10"/>
              <w:spacing w:before="0" w:line="360" w:lineRule="auto"/>
              <w:ind w:firstLine="420" w:firstLineChars="20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表2-2  本项目主要产品类型及产量一览表</w:t>
            </w:r>
          </w:p>
          <w:tbl>
            <w:tblPr>
              <w:tblStyle w:val="35"/>
              <w:tblW w:w="8343"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4337"/>
              <w:gridCol w:w="1230"/>
              <w:gridCol w:w="1618"/>
            </w:tblGrid>
            <w:tr w14:paraId="4B0DBE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trPr>
              <w:tc>
                <w:tcPr>
                  <w:tcW w:w="1158" w:type="dxa"/>
                  <w:tcBorders>
                    <w:tl2br w:val="nil"/>
                    <w:tr2bl w:val="nil"/>
                  </w:tcBorders>
                  <w:vAlign w:val="center"/>
                </w:tcPr>
                <w:p w14:paraId="11555A7A">
                  <w:pPr>
                    <w:jc w:val="center"/>
                    <w:rPr>
                      <w:rFonts w:hint="default" w:ascii="Times New Roman" w:hAnsi="Times New Roman" w:cs="Times New Roman"/>
                      <w:bCs/>
                      <w:color w:val="auto"/>
                      <w:sz w:val="18"/>
                      <w:szCs w:val="18"/>
                    </w:rPr>
                  </w:pPr>
                  <w:bookmarkStart w:id="37" w:name="_Hlk220320094"/>
                  <w:r>
                    <w:rPr>
                      <w:rFonts w:hint="default" w:ascii="Times New Roman" w:hAnsi="Times New Roman" w:cs="Times New Roman"/>
                      <w:bCs/>
                      <w:color w:val="auto"/>
                      <w:sz w:val="18"/>
                      <w:szCs w:val="18"/>
                    </w:rPr>
                    <w:t>序号</w:t>
                  </w:r>
                </w:p>
              </w:tc>
              <w:tc>
                <w:tcPr>
                  <w:tcW w:w="4337" w:type="dxa"/>
                  <w:tcBorders>
                    <w:tl2br w:val="nil"/>
                    <w:tr2bl w:val="nil"/>
                  </w:tcBorders>
                  <w:vAlign w:val="center"/>
                </w:tcPr>
                <w:p w14:paraId="127CB8BD">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产品名称</w:t>
                  </w:r>
                </w:p>
              </w:tc>
              <w:tc>
                <w:tcPr>
                  <w:tcW w:w="1230" w:type="dxa"/>
                  <w:tcBorders>
                    <w:tl2br w:val="nil"/>
                    <w:tr2bl w:val="nil"/>
                  </w:tcBorders>
                  <w:vAlign w:val="center"/>
                </w:tcPr>
                <w:p w14:paraId="55C7E9E6">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单位</w:t>
                  </w:r>
                </w:p>
              </w:tc>
              <w:tc>
                <w:tcPr>
                  <w:tcW w:w="1618" w:type="dxa"/>
                  <w:tcBorders>
                    <w:tl2br w:val="nil"/>
                    <w:tr2bl w:val="nil"/>
                  </w:tcBorders>
                  <w:vAlign w:val="center"/>
                </w:tcPr>
                <w:p w14:paraId="71650214">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数量</w:t>
                  </w:r>
                </w:p>
              </w:tc>
            </w:tr>
            <w:tr w14:paraId="5340EE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8" w:type="dxa"/>
                  <w:tcBorders>
                    <w:tl2br w:val="nil"/>
                    <w:tr2bl w:val="nil"/>
                  </w:tcBorders>
                  <w:vAlign w:val="center"/>
                </w:tcPr>
                <w:p w14:paraId="69461A44">
                  <w:pPr>
                    <w:jc w:val="center"/>
                    <w:rPr>
                      <w:rFonts w:hint="default" w:ascii="Times New Roman" w:hAnsi="Times New Roman" w:cs="Times New Roman"/>
                      <w:b/>
                      <w:color w:val="auto"/>
                      <w:sz w:val="18"/>
                      <w:szCs w:val="18"/>
                    </w:rPr>
                  </w:pPr>
                  <w:r>
                    <w:rPr>
                      <w:rFonts w:hint="default" w:ascii="Times New Roman" w:hAnsi="Times New Roman" w:cs="Times New Roman"/>
                      <w:color w:val="auto"/>
                      <w:sz w:val="18"/>
                      <w:szCs w:val="18"/>
                    </w:rPr>
                    <w:t>1</w:t>
                  </w:r>
                </w:p>
              </w:tc>
              <w:tc>
                <w:tcPr>
                  <w:tcW w:w="4337" w:type="dxa"/>
                  <w:tcBorders>
                    <w:tl2br w:val="nil"/>
                    <w:tr2bl w:val="nil"/>
                  </w:tcBorders>
                  <w:vAlign w:val="center"/>
                </w:tcPr>
                <w:p w14:paraId="416A92F2">
                  <w:pPr>
                    <w:jc w:val="center"/>
                    <w:rPr>
                      <w:rFonts w:hint="default" w:ascii="Times New Roman" w:hAnsi="Times New Roman" w:cs="Times New Roman"/>
                      <w:b/>
                      <w:color w:val="auto"/>
                      <w:sz w:val="18"/>
                      <w:szCs w:val="18"/>
                    </w:rPr>
                  </w:pPr>
                  <w:r>
                    <w:rPr>
                      <w:rFonts w:hint="default" w:ascii="Times New Roman" w:hAnsi="Times New Roman" w:cs="Times New Roman"/>
                      <w:color w:val="auto"/>
                      <w:sz w:val="18"/>
                      <w:szCs w:val="18"/>
                    </w:rPr>
                    <w:t>外径∮38-89mm，壁厚3.5-20mm的无缝钢管</w:t>
                  </w:r>
                </w:p>
              </w:tc>
              <w:tc>
                <w:tcPr>
                  <w:tcW w:w="1230" w:type="dxa"/>
                  <w:tcBorders>
                    <w:tl2br w:val="nil"/>
                    <w:tr2bl w:val="nil"/>
                  </w:tcBorders>
                  <w:vAlign w:val="center"/>
                </w:tcPr>
                <w:p w14:paraId="30942B80">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万吨</w:t>
                  </w:r>
                </w:p>
              </w:tc>
              <w:tc>
                <w:tcPr>
                  <w:tcW w:w="1618" w:type="dxa"/>
                  <w:tcBorders>
                    <w:tl2br w:val="nil"/>
                    <w:tr2bl w:val="nil"/>
                  </w:tcBorders>
                  <w:vAlign w:val="center"/>
                </w:tcPr>
                <w:p w14:paraId="3F55A252">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3.0</w:t>
                  </w:r>
                </w:p>
              </w:tc>
            </w:tr>
            <w:bookmarkEnd w:id="37"/>
          </w:tbl>
          <w:p w14:paraId="7D1B7481">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
                <w:color w:val="auto"/>
                <w:sz w:val="24"/>
              </w:rPr>
              <w:t>4、</w:t>
            </w:r>
            <w:r>
              <w:rPr>
                <w:rFonts w:hint="default" w:ascii="Times New Roman" w:hAnsi="Times New Roman" w:eastAsia="黑体" w:cs="Times New Roman"/>
                <w:bCs/>
                <w:color w:val="auto"/>
                <w:sz w:val="24"/>
              </w:rPr>
              <w:t>主要设备清单</w:t>
            </w:r>
          </w:p>
          <w:p w14:paraId="21517AB7">
            <w:pPr>
              <w:pStyle w:val="76"/>
              <w:ind w:firstLine="480"/>
              <w:rPr>
                <w:rFonts w:hint="default" w:ascii="Times New Roman" w:hAnsi="Times New Roman" w:cs="Times New Roman"/>
                <w:color w:val="auto"/>
              </w:rPr>
            </w:pPr>
            <w:r>
              <w:rPr>
                <w:rFonts w:hint="default" w:ascii="Times New Roman" w:hAnsi="Times New Roman" w:cs="Times New Roman"/>
                <w:color w:val="auto"/>
              </w:rPr>
              <w:t>本项目生产设备具体见下表：</w:t>
            </w:r>
          </w:p>
          <w:p w14:paraId="6A0CABD3">
            <w:pPr>
              <w:pStyle w:val="76"/>
              <w:ind w:firstLine="480"/>
              <w:rPr>
                <w:rFonts w:hint="default" w:ascii="Times New Roman" w:hAnsi="Times New Roman" w:cs="Times New Roman"/>
                <w:color w:val="auto"/>
              </w:rPr>
            </w:pPr>
          </w:p>
          <w:p w14:paraId="4DDD9014">
            <w:pPr>
              <w:pStyle w:val="10"/>
              <w:spacing w:before="0" w:line="360" w:lineRule="auto"/>
              <w:ind w:firstLine="420" w:firstLineChars="20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表2-3    无缝钢管生产线生产设备一览表</w:t>
            </w:r>
          </w:p>
          <w:tbl>
            <w:tblPr>
              <w:tblStyle w:val="36"/>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9"/>
              <w:gridCol w:w="2615"/>
              <w:gridCol w:w="1606"/>
              <w:gridCol w:w="1110"/>
              <w:gridCol w:w="1055"/>
              <w:gridCol w:w="1055"/>
            </w:tblGrid>
            <w:tr w14:paraId="76C005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tcBorders>
                    <w:tl2br w:val="nil"/>
                    <w:tr2bl w:val="nil"/>
                  </w:tcBorders>
                </w:tcPr>
                <w:p w14:paraId="47ED21B0">
                  <w:pPr>
                    <w:pStyle w:val="4"/>
                    <w:autoSpaceDE w:val="0"/>
                    <w:ind w:firstLine="0"/>
                    <w:jc w:val="center"/>
                    <w:rPr>
                      <w:rFonts w:hint="default" w:ascii="Times New Roman" w:hAnsi="Times New Roman" w:cs="Times New Roman"/>
                      <w:color w:val="auto"/>
                      <w:sz w:val="18"/>
                      <w:szCs w:val="18"/>
                    </w:rPr>
                  </w:pPr>
                  <w:bookmarkStart w:id="38" w:name="_Hlk220320400"/>
                  <w:r>
                    <w:rPr>
                      <w:rFonts w:hint="default" w:ascii="Times New Roman" w:hAnsi="Times New Roman" w:cs="Times New Roman"/>
                      <w:color w:val="auto"/>
                      <w:sz w:val="18"/>
                      <w:szCs w:val="18"/>
                    </w:rPr>
                    <w:t>序号</w:t>
                  </w:r>
                </w:p>
              </w:tc>
              <w:tc>
                <w:tcPr>
                  <w:tcW w:w="1578" w:type="pct"/>
                  <w:tcBorders>
                    <w:tl2br w:val="nil"/>
                    <w:tr2bl w:val="nil"/>
                  </w:tcBorders>
                </w:tcPr>
                <w:p w14:paraId="6F322F48">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名称</w:t>
                  </w:r>
                </w:p>
              </w:tc>
              <w:tc>
                <w:tcPr>
                  <w:tcW w:w="969" w:type="pct"/>
                  <w:tcBorders>
                    <w:tl2br w:val="nil"/>
                    <w:tr2bl w:val="nil"/>
                  </w:tcBorders>
                </w:tcPr>
                <w:p w14:paraId="734CCEE5">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规格/型号参数</w:t>
                  </w:r>
                </w:p>
              </w:tc>
              <w:tc>
                <w:tcPr>
                  <w:tcW w:w="670" w:type="pct"/>
                  <w:tcBorders>
                    <w:tl2br w:val="nil"/>
                    <w:tr2bl w:val="nil"/>
                  </w:tcBorders>
                </w:tcPr>
                <w:p w14:paraId="64AA1D34">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数量</w:t>
                  </w:r>
                </w:p>
              </w:tc>
              <w:tc>
                <w:tcPr>
                  <w:tcW w:w="637" w:type="pct"/>
                  <w:tcBorders>
                    <w:tl2br w:val="nil"/>
                    <w:tr2bl w:val="nil"/>
                  </w:tcBorders>
                </w:tcPr>
                <w:p w14:paraId="6D2F3106">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单位</w:t>
                  </w:r>
                </w:p>
              </w:tc>
              <w:tc>
                <w:tcPr>
                  <w:tcW w:w="637" w:type="pct"/>
                  <w:tcBorders>
                    <w:tl2br w:val="nil"/>
                    <w:tr2bl w:val="nil"/>
                  </w:tcBorders>
                </w:tcPr>
                <w:p w14:paraId="668642AB">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备注</w:t>
                  </w:r>
                </w:p>
              </w:tc>
            </w:tr>
            <w:tr w14:paraId="64893C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tcBorders>
                    <w:tl2br w:val="nil"/>
                    <w:tr2bl w:val="nil"/>
                  </w:tcBorders>
                </w:tcPr>
                <w:p w14:paraId="1E41B70A">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578" w:type="pct"/>
                  <w:tcBorders>
                    <w:tl2br w:val="nil"/>
                    <w:tr2bl w:val="nil"/>
                  </w:tcBorders>
                </w:tcPr>
                <w:p w14:paraId="5A17C0EA">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液压剪</w:t>
                  </w:r>
                </w:p>
              </w:tc>
              <w:tc>
                <w:tcPr>
                  <w:tcW w:w="969" w:type="pct"/>
                  <w:tcBorders>
                    <w:tl2br w:val="nil"/>
                    <w:tr2bl w:val="nil"/>
                  </w:tcBorders>
                </w:tcPr>
                <w:p w14:paraId="5C50B962">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200t</w:t>
                  </w:r>
                </w:p>
              </w:tc>
              <w:tc>
                <w:tcPr>
                  <w:tcW w:w="670" w:type="pct"/>
                  <w:tcBorders>
                    <w:tl2br w:val="nil"/>
                    <w:tr2bl w:val="nil"/>
                  </w:tcBorders>
                </w:tcPr>
                <w:p w14:paraId="1FE4BF6B">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637" w:type="pct"/>
                  <w:tcBorders>
                    <w:tl2br w:val="nil"/>
                    <w:tr2bl w:val="nil"/>
                  </w:tcBorders>
                </w:tcPr>
                <w:p w14:paraId="2590250B">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台</w:t>
                  </w:r>
                </w:p>
              </w:tc>
              <w:tc>
                <w:tcPr>
                  <w:tcW w:w="637" w:type="pct"/>
                  <w:tcBorders>
                    <w:tl2br w:val="nil"/>
                    <w:tr2bl w:val="nil"/>
                  </w:tcBorders>
                </w:tcPr>
                <w:p w14:paraId="730BB0DB">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已建</w:t>
                  </w:r>
                </w:p>
              </w:tc>
            </w:tr>
            <w:tr w14:paraId="723763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tcBorders>
                    <w:tl2br w:val="nil"/>
                    <w:tr2bl w:val="nil"/>
                  </w:tcBorders>
                </w:tcPr>
                <w:p w14:paraId="18704E72">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578" w:type="pct"/>
                  <w:tcBorders>
                    <w:tl2br w:val="nil"/>
                    <w:tr2bl w:val="nil"/>
                  </w:tcBorders>
                </w:tcPr>
                <w:p w14:paraId="277E2FC0">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电感应加热炉</w:t>
                  </w:r>
                </w:p>
              </w:tc>
              <w:tc>
                <w:tcPr>
                  <w:tcW w:w="969" w:type="pct"/>
                  <w:tcBorders>
                    <w:tl2br w:val="nil"/>
                    <w:tr2bl w:val="nil"/>
                  </w:tcBorders>
                </w:tcPr>
                <w:p w14:paraId="2EFAA567">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2000kW</w:t>
                  </w:r>
                </w:p>
              </w:tc>
              <w:tc>
                <w:tcPr>
                  <w:tcW w:w="670" w:type="pct"/>
                  <w:tcBorders>
                    <w:tl2br w:val="nil"/>
                    <w:tr2bl w:val="nil"/>
                  </w:tcBorders>
                </w:tcPr>
                <w:p w14:paraId="60A83349">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637" w:type="pct"/>
                  <w:tcBorders>
                    <w:tl2br w:val="nil"/>
                    <w:tr2bl w:val="nil"/>
                  </w:tcBorders>
                </w:tcPr>
                <w:p w14:paraId="2FC473AD">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套</w:t>
                  </w:r>
                </w:p>
              </w:tc>
              <w:tc>
                <w:tcPr>
                  <w:tcW w:w="637" w:type="pct"/>
                  <w:tcBorders>
                    <w:tl2br w:val="nil"/>
                    <w:tr2bl w:val="nil"/>
                  </w:tcBorders>
                </w:tcPr>
                <w:p w14:paraId="43BF9F5E">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已建</w:t>
                  </w:r>
                </w:p>
              </w:tc>
            </w:tr>
            <w:tr w14:paraId="651087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tcBorders>
                    <w:tl2br w:val="nil"/>
                    <w:tr2bl w:val="nil"/>
                  </w:tcBorders>
                </w:tcPr>
                <w:p w14:paraId="10A6CC09">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1578" w:type="pct"/>
                  <w:tcBorders>
                    <w:tl2br w:val="nil"/>
                    <w:tr2bl w:val="nil"/>
                  </w:tcBorders>
                </w:tcPr>
                <w:p w14:paraId="69EE2F43">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穿孔机</w:t>
                  </w:r>
                </w:p>
              </w:tc>
              <w:tc>
                <w:tcPr>
                  <w:tcW w:w="969" w:type="pct"/>
                  <w:tcBorders>
                    <w:tl2br w:val="nil"/>
                    <w:tr2bl w:val="nil"/>
                  </w:tcBorders>
                </w:tcPr>
                <w:p w14:paraId="71980DCE">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CKJ89型</w:t>
                  </w:r>
                </w:p>
              </w:tc>
              <w:tc>
                <w:tcPr>
                  <w:tcW w:w="670" w:type="pct"/>
                  <w:tcBorders>
                    <w:tl2br w:val="nil"/>
                    <w:tr2bl w:val="nil"/>
                  </w:tcBorders>
                </w:tcPr>
                <w:p w14:paraId="71568A53">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637" w:type="pct"/>
                  <w:tcBorders>
                    <w:tl2br w:val="nil"/>
                    <w:tr2bl w:val="nil"/>
                  </w:tcBorders>
                </w:tcPr>
                <w:p w14:paraId="200580F9">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台</w:t>
                  </w:r>
                </w:p>
              </w:tc>
              <w:tc>
                <w:tcPr>
                  <w:tcW w:w="637" w:type="pct"/>
                  <w:tcBorders>
                    <w:tl2br w:val="nil"/>
                    <w:tr2bl w:val="nil"/>
                  </w:tcBorders>
                </w:tcPr>
                <w:p w14:paraId="64166B99">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已建</w:t>
                  </w:r>
                </w:p>
              </w:tc>
            </w:tr>
            <w:tr w14:paraId="7EAD7F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tcBorders>
                    <w:tl2br w:val="nil"/>
                    <w:tr2bl w:val="nil"/>
                  </w:tcBorders>
                </w:tcPr>
                <w:p w14:paraId="20598E90">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578" w:type="pct"/>
                  <w:tcBorders>
                    <w:tl2br w:val="nil"/>
                    <w:tr2bl w:val="nil"/>
                  </w:tcBorders>
                </w:tcPr>
                <w:p w14:paraId="26BEEA3A">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3辊精密减定径机</w:t>
                  </w:r>
                </w:p>
              </w:tc>
              <w:tc>
                <w:tcPr>
                  <w:tcW w:w="969" w:type="pct"/>
                  <w:tcBorders>
                    <w:tl2br w:val="nil"/>
                    <w:tr2bl w:val="nil"/>
                  </w:tcBorders>
                </w:tcPr>
                <w:p w14:paraId="052C8A97">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275型</w:t>
                  </w:r>
                </w:p>
              </w:tc>
              <w:tc>
                <w:tcPr>
                  <w:tcW w:w="670" w:type="pct"/>
                  <w:tcBorders>
                    <w:tl2br w:val="nil"/>
                    <w:tr2bl w:val="nil"/>
                  </w:tcBorders>
                </w:tcPr>
                <w:p w14:paraId="18CD7C54">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w:t>
                  </w:r>
                </w:p>
              </w:tc>
              <w:tc>
                <w:tcPr>
                  <w:tcW w:w="637" w:type="pct"/>
                  <w:tcBorders>
                    <w:tl2br w:val="nil"/>
                    <w:tr2bl w:val="nil"/>
                  </w:tcBorders>
                </w:tcPr>
                <w:p w14:paraId="1E276235">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w:t>
                  </w:r>
                </w:p>
              </w:tc>
              <w:tc>
                <w:tcPr>
                  <w:tcW w:w="637" w:type="pct"/>
                  <w:tcBorders>
                    <w:tl2br w:val="nil"/>
                    <w:tr2bl w:val="nil"/>
                  </w:tcBorders>
                </w:tcPr>
                <w:p w14:paraId="4C767DFB">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已建</w:t>
                  </w:r>
                </w:p>
              </w:tc>
            </w:tr>
            <w:tr w14:paraId="0427A8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tcBorders>
                    <w:tl2br w:val="nil"/>
                    <w:tr2bl w:val="nil"/>
                  </w:tcBorders>
                </w:tcPr>
                <w:p w14:paraId="628B037B">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578" w:type="pct"/>
                  <w:tcBorders>
                    <w:tl2br w:val="nil"/>
                    <w:tr2bl w:val="nil"/>
                  </w:tcBorders>
                </w:tcPr>
                <w:p w14:paraId="0A116A9E">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链式冷床</w:t>
                  </w:r>
                </w:p>
              </w:tc>
              <w:tc>
                <w:tcPr>
                  <w:tcW w:w="969" w:type="pct"/>
                  <w:tcBorders>
                    <w:tl2br w:val="nil"/>
                    <w:tr2bl w:val="nil"/>
                  </w:tcBorders>
                </w:tcPr>
                <w:p w14:paraId="5933D636">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0" w:type="pct"/>
                  <w:tcBorders>
                    <w:tl2br w:val="nil"/>
                    <w:tr2bl w:val="nil"/>
                  </w:tcBorders>
                </w:tcPr>
                <w:p w14:paraId="34ADB2E7">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637" w:type="pct"/>
                  <w:tcBorders>
                    <w:tl2br w:val="nil"/>
                    <w:tr2bl w:val="nil"/>
                  </w:tcBorders>
                </w:tcPr>
                <w:p w14:paraId="06B5273B">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套</w:t>
                  </w:r>
                </w:p>
              </w:tc>
              <w:tc>
                <w:tcPr>
                  <w:tcW w:w="637" w:type="pct"/>
                  <w:tcBorders>
                    <w:tl2br w:val="nil"/>
                    <w:tr2bl w:val="nil"/>
                  </w:tcBorders>
                </w:tcPr>
                <w:p w14:paraId="165F9932">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已建</w:t>
                  </w:r>
                </w:p>
              </w:tc>
            </w:tr>
            <w:tr w14:paraId="18C740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tcBorders>
                    <w:tl2br w:val="nil"/>
                    <w:tr2bl w:val="nil"/>
                  </w:tcBorders>
                </w:tcPr>
                <w:p w14:paraId="3FCA7A37">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1578" w:type="pct"/>
                  <w:tcBorders>
                    <w:tl2br w:val="nil"/>
                    <w:tr2bl w:val="nil"/>
                  </w:tcBorders>
                </w:tcPr>
                <w:p w14:paraId="55BF5357">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9辊无缝管专用校直机</w:t>
                  </w:r>
                </w:p>
              </w:tc>
              <w:tc>
                <w:tcPr>
                  <w:tcW w:w="969" w:type="pct"/>
                  <w:tcBorders>
                    <w:tl2br w:val="nil"/>
                    <w:tr2bl w:val="nil"/>
                  </w:tcBorders>
                </w:tcPr>
                <w:p w14:paraId="27ED15C3">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80型</w:t>
                  </w:r>
                </w:p>
              </w:tc>
              <w:tc>
                <w:tcPr>
                  <w:tcW w:w="670" w:type="pct"/>
                  <w:tcBorders>
                    <w:tl2br w:val="nil"/>
                    <w:tr2bl w:val="nil"/>
                  </w:tcBorders>
                </w:tcPr>
                <w:p w14:paraId="4D68958F">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637" w:type="pct"/>
                  <w:tcBorders>
                    <w:tl2br w:val="nil"/>
                    <w:tr2bl w:val="nil"/>
                  </w:tcBorders>
                </w:tcPr>
                <w:p w14:paraId="403E5FDF">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台</w:t>
                  </w:r>
                </w:p>
              </w:tc>
              <w:tc>
                <w:tcPr>
                  <w:tcW w:w="637" w:type="pct"/>
                  <w:tcBorders>
                    <w:tl2br w:val="nil"/>
                    <w:tr2bl w:val="nil"/>
                  </w:tcBorders>
                </w:tcPr>
                <w:p w14:paraId="08E43E3D">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已建</w:t>
                  </w:r>
                </w:p>
              </w:tc>
            </w:tr>
            <w:tr w14:paraId="345EE2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tcBorders>
                    <w:tl2br w:val="nil"/>
                    <w:tr2bl w:val="nil"/>
                  </w:tcBorders>
                </w:tcPr>
                <w:p w14:paraId="382CBC7D">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1578" w:type="pct"/>
                  <w:tcBorders>
                    <w:tl2br w:val="nil"/>
                    <w:tr2bl w:val="nil"/>
                  </w:tcBorders>
                </w:tcPr>
                <w:p w14:paraId="2747CF6B">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切头去尾带锯</w:t>
                  </w:r>
                </w:p>
              </w:tc>
              <w:tc>
                <w:tcPr>
                  <w:tcW w:w="969" w:type="pct"/>
                  <w:tcBorders>
                    <w:tl2br w:val="nil"/>
                    <w:tr2bl w:val="nil"/>
                  </w:tcBorders>
                </w:tcPr>
                <w:p w14:paraId="08ED04B5">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5076型</w:t>
                  </w:r>
                </w:p>
              </w:tc>
              <w:tc>
                <w:tcPr>
                  <w:tcW w:w="670" w:type="pct"/>
                  <w:tcBorders>
                    <w:tl2br w:val="nil"/>
                    <w:tr2bl w:val="nil"/>
                  </w:tcBorders>
                </w:tcPr>
                <w:p w14:paraId="07DA3626">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637" w:type="pct"/>
                  <w:tcBorders>
                    <w:tl2br w:val="nil"/>
                    <w:tr2bl w:val="nil"/>
                  </w:tcBorders>
                </w:tcPr>
                <w:p w14:paraId="595C1197">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台</w:t>
                  </w:r>
                </w:p>
              </w:tc>
              <w:tc>
                <w:tcPr>
                  <w:tcW w:w="637" w:type="pct"/>
                  <w:tcBorders>
                    <w:tl2br w:val="nil"/>
                    <w:tr2bl w:val="nil"/>
                  </w:tcBorders>
                </w:tcPr>
                <w:p w14:paraId="437003EC">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已建</w:t>
                  </w:r>
                </w:p>
              </w:tc>
            </w:tr>
            <w:tr w14:paraId="778037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tcBorders>
                    <w:tl2br w:val="nil"/>
                    <w:tr2bl w:val="nil"/>
                  </w:tcBorders>
                </w:tcPr>
                <w:p w14:paraId="0EC04986">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w:t>
                  </w:r>
                </w:p>
              </w:tc>
              <w:tc>
                <w:tcPr>
                  <w:tcW w:w="1578" w:type="pct"/>
                  <w:tcBorders>
                    <w:tl2br w:val="nil"/>
                    <w:tr2bl w:val="nil"/>
                  </w:tcBorders>
                </w:tcPr>
                <w:p w14:paraId="01D162BD">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收集打包及辊道</w:t>
                  </w:r>
                </w:p>
              </w:tc>
              <w:tc>
                <w:tcPr>
                  <w:tcW w:w="969" w:type="pct"/>
                  <w:tcBorders>
                    <w:tl2br w:val="nil"/>
                    <w:tr2bl w:val="nil"/>
                  </w:tcBorders>
                </w:tcPr>
                <w:p w14:paraId="58C5A3F5">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0" w:type="pct"/>
                  <w:tcBorders>
                    <w:tl2br w:val="nil"/>
                    <w:tr2bl w:val="nil"/>
                  </w:tcBorders>
                </w:tcPr>
                <w:p w14:paraId="312FC9CB">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637" w:type="pct"/>
                  <w:tcBorders>
                    <w:tl2br w:val="nil"/>
                    <w:tr2bl w:val="nil"/>
                  </w:tcBorders>
                </w:tcPr>
                <w:p w14:paraId="115D4EC9">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套</w:t>
                  </w:r>
                </w:p>
              </w:tc>
              <w:tc>
                <w:tcPr>
                  <w:tcW w:w="637" w:type="pct"/>
                  <w:tcBorders>
                    <w:tl2br w:val="nil"/>
                    <w:tr2bl w:val="nil"/>
                  </w:tcBorders>
                </w:tcPr>
                <w:p w14:paraId="22606353">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已建</w:t>
                  </w:r>
                </w:p>
              </w:tc>
            </w:tr>
            <w:tr w14:paraId="59D039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tcBorders>
                    <w:tl2br w:val="nil"/>
                    <w:tr2bl w:val="nil"/>
                  </w:tcBorders>
                </w:tcPr>
                <w:p w14:paraId="0B760487">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1578" w:type="pct"/>
                  <w:tcBorders>
                    <w:tl2br w:val="nil"/>
                    <w:tr2bl w:val="nil"/>
                  </w:tcBorders>
                </w:tcPr>
                <w:p w14:paraId="49986BE2">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水泵</w:t>
                  </w:r>
                </w:p>
              </w:tc>
              <w:tc>
                <w:tcPr>
                  <w:tcW w:w="969" w:type="pct"/>
                  <w:tcBorders>
                    <w:tl2br w:val="nil"/>
                    <w:tr2bl w:val="nil"/>
                  </w:tcBorders>
                </w:tcPr>
                <w:p w14:paraId="776FA9D2">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ⅠS25-50</w:t>
                  </w:r>
                </w:p>
              </w:tc>
              <w:tc>
                <w:tcPr>
                  <w:tcW w:w="670" w:type="pct"/>
                  <w:tcBorders>
                    <w:tl2br w:val="nil"/>
                    <w:tr2bl w:val="nil"/>
                  </w:tcBorders>
                </w:tcPr>
                <w:p w14:paraId="11D2CCA3">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637" w:type="pct"/>
                  <w:tcBorders>
                    <w:tl2br w:val="nil"/>
                    <w:tr2bl w:val="nil"/>
                  </w:tcBorders>
                </w:tcPr>
                <w:p w14:paraId="5F0139B1">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套</w:t>
                  </w:r>
                </w:p>
              </w:tc>
              <w:tc>
                <w:tcPr>
                  <w:tcW w:w="637" w:type="pct"/>
                  <w:tcBorders>
                    <w:tl2br w:val="nil"/>
                    <w:tr2bl w:val="nil"/>
                  </w:tcBorders>
                </w:tcPr>
                <w:p w14:paraId="6051BE2C">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已建</w:t>
                  </w:r>
                </w:p>
              </w:tc>
            </w:tr>
            <w:tr w14:paraId="0BA3A4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tcBorders>
                    <w:tl2br w:val="nil"/>
                    <w:tr2bl w:val="nil"/>
                  </w:tcBorders>
                </w:tcPr>
                <w:p w14:paraId="59AA5538">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1578" w:type="pct"/>
                  <w:tcBorders>
                    <w:tl2br w:val="nil"/>
                    <w:tr2bl w:val="nil"/>
                  </w:tcBorders>
                </w:tcPr>
                <w:p w14:paraId="76942AF2">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永磁变频空压机</w:t>
                  </w:r>
                </w:p>
              </w:tc>
              <w:tc>
                <w:tcPr>
                  <w:tcW w:w="969" w:type="pct"/>
                  <w:tcBorders>
                    <w:tl2br w:val="nil"/>
                    <w:tr2bl w:val="nil"/>
                  </w:tcBorders>
                </w:tcPr>
                <w:p w14:paraId="2D406B72">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3立方</w:t>
                  </w:r>
                </w:p>
              </w:tc>
              <w:tc>
                <w:tcPr>
                  <w:tcW w:w="670" w:type="pct"/>
                  <w:tcBorders>
                    <w:tl2br w:val="nil"/>
                    <w:tr2bl w:val="nil"/>
                  </w:tcBorders>
                </w:tcPr>
                <w:p w14:paraId="1B66ACB0">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637" w:type="pct"/>
                  <w:tcBorders>
                    <w:tl2br w:val="nil"/>
                    <w:tr2bl w:val="nil"/>
                  </w:tcBorders>
                </w:tcPr>
                <w:p w14:paraId="4CFB9F39">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套</w:t>
                  </w:r>
                </w:p>
              </w:tc>
              <w:tc>
                <w:tcPr>
                  <w:tcW w:w="637" w:type="pct"/>
                  <w:tcBorders>
                    <w:tl2br w:val="nil"/>
                    <w:tr2bl w:val="nil"/>
                  </w:tcBorders>
                </w:tcPr>
                <w:p w14:paraId="41ED4C53">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已建</w:t>
                  </w:r>
                </w:p>
              </w:tc>
            </w:tr>
            <w:tr w14:paraId="4516D4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tcBorders>
                    <w:tl2br w:val="nil"/>
                    <w:tr2bl w:val="nil"/>
                  </w:tcBorders>
                </w:tcPr>
                <w:p w14:paraId="7658B007">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w:t>
                  </w:r>
                </w:p>
              </w:tc>
              <w:tc>
                <w:tcPr>
                  <w:tcW w:w="1578" w:type="pct"/>
                  <w:tcBorders>
                    <w:tl2br w:val="nil"/>
                    <w:tr2bl w:val="nil"/>
                  </w:tcBorders>
                </w:tcPr>
                <w:p w14:paraId="4365F374">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单梁行车</w:t>
                  </w:r>
                </w:p>
              </w:tc>
              <w:tc>
                <w:tcPr>
                  <w:tcW w:w="969" w:type="pct"/>
                  <w:tcBorders>
                    <w:tl2br w:val="nil"/>
                    <w:tr2bl w:val="nil"/>
                  </w:tcBorders>
                </w:tcPr>
                <w:p w14:paraId="39398D2C">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10吨</w:t>
                  </w:r>
                </w:p>
              </w:tc>
              <w:tc>
                <w:tcPr>
                  <w:tcW w:w="670" w:type="pct"/>
                  <w:tcBorders>
                    <w:tl2br w:val="nil"/>
                    <w:tr2bl w:val="nil"/>
                  </w:tcBorders>
                </w:tcPr>
                <w:p w14:paraId="6FE99744">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637" w:type="pct"/>
                  <w:tcBorders>
                    <w:tl2br w:val="nil"/>
                    <w:tr2bl w:val="nil"/>
                  </w:tcBorders>
                </w:tcPr>
                <w:p w14:paraId="6F5CF413">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台</w:t>
                  </w:r>
                </w:p>
              </w:tc>
              <w:tc>
                <w:tcPr>
                  <w:tcW w:w="637" w:type="pct"/>
                  <w:tcBorders>
                    <w:tl2br w:val="nil"/>
                    <w:tr2bl w:val="nil"/>
                  </w:tcBorders>
                </w:tcPr>
                <w:p w14:paraId="0102BEBA">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已建</w:t>
                  </w:r>
                </w:p>
              </w:tc>
            </w:tr>
            <w:tr w14:paraId="08D6AE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6" w:type="pct"/>
                  <w:tcBorders>
                    <w:tl2br w:val="nil"/>
                    <w:tr2bl w:val="nil"/>
                  </w:tcBorders>
                </w:tcPr>
                <w:p w14:paraId="665084BE">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1578" w:type="pct"/>
                  <w:tcBorders>
                    <w:tl2br w:val="nil"/>
                    <w:tr2bl w:val="nil"/>
                  </w:tcBorders>
                </w:tcPr>
                <w:p w14:paraId="3A01606A">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光谱分析仪</w:t>
                  </w:r>
                </w:p>
              </w:tc>
              <w:tc>
                <w:tcPr>
                  <w:tcW w:w="969" w:type="pct"/>
                  <w:tcBorders>
                    <w:tl2br w:val="nil"/>
                    <w:tr2bl w:val="nil"/>
                  </w:tcBorders>
                </w:tcPr>
                <w:p w14:paraId="61DC91DB">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0" w:type="pct"/>
                  <w:tcBorders>
                    <w:tl2br w:val="nil"/>
                    <w:tr2bl w:val="nil"/>
                  </w:tcBorders>
                </w:tcPr>
                <w:p w14:paraId="65D4661C">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637" w:type="pct"/>
                  <w:tcBorders>
                    <w:tl2br w:val="nil"/>
                    <w:tr2bl w:val="nil"/>
                  </w:tcBorders>
                </w:tcPr>
                <w:p w14:paraId="205E1B10">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套</w:t>
                  </w:r>
                </w:p>
              </w:tc>
              <w:tc>
                <w:tcPr>
                  <w:tcW w:w="637" w:type="pct"/>
                  <w:tcBorders>
                    <w:tl2br w:val="nil"/>
                    <w:tr2bl w:val="nil"/>
                  </w:tcBorders>
                </w:tcPr>
                <w:p w14:paraId="0AF1623D">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已建</w:t>
                  </w:r>
                </w:p>
              </w:tc>
            </w:tr>
            <w:bookmarkEnd w:id="38"/>
          </w:tbl>
          <w:p w14:paraId="3801FAB3">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
                <w:color w:val="auto"/>
                <w:sz w:val="24"/>
              </w:rPr>
              <w:t>5、</w:t>
            </w:r>
            <w:r>
              <w:rPr>
                <w:rFonts w:hint="default" w:ascii="Times New Roman" w:hAnsi="Times New Roman" w:eastAsia="黑体" w:cs="Times New Roman"/>
                <w:bCs/>
                <w:color w:val="auto"/>
                <w:sz w:val="24"/>
              </w:rPr>
              <w:t>主要原、辅材料使用情况</w:t>
            </w:r>
          </w:p>
          <w:p w14:paraId="3EFB787F">
            <w:pPr>
              <w:adjustRightInd w:val="0"/>
              <w:snapToGrid w:val="0"/>
              <w:spacing w:before="120" w:beforeLines="50"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5.1主要原辅材料</w:t>
            </w:r>
          </w:p>
          <w:p w14:paraId="504A8750">
            <w:pPr>
              <w:pStyle w:val="76"/>
              <w:ind w:firstLine="480"/>
              <w:rPr>
                <w:rFonts w:hint="default" w:ascii="Times New Roman" w:hAnsi="Times New Roman" w:cs="Times New Roman"/>
                <w:color w:val="auto"/>
              </w:rPr>
            </w:pPr>
            <w:r>
              <w:rPr>
                <w:rFonts w:hint="default" w:ascii="Times New Roman" w:hAnsi="Times New Roman" w:cs="Times New Roman"/>
                <w:color w:val="auto"/>
              </w:rPr>
              <w:t>主要原辅材料消耗情况见下表。</w:t>
            </w:r>
          </w:p>
          <w:p w14:paraId="5635E679">
            <w:pPr>
              <w:pStyle w:val="10"/>
              <w:spacing w:before="0" w:line="360" w:lineRule="auto"/>
              <w:ind w:firstLine="420" w:firstLineChars="20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表2-4    主要原、燃料和辅材料用量表</w:t>
            </w:r>
          </w:p>
          <w:tbl>
            <w:tblPr>
              <w:tblStyle w:val="35"/>
              <w:tblW w:w="8346"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380"/>
              <w:gridCol w:w="1200"/>
              <w:gridCol w:w="819"/>
              <w:gridCol w:w="4257"/>
            </w:tblGrid>
            <w:tr w14:paraId="2A34F1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tcBorders>
                    <w:tl2br w:val="nil"/>
                    <w:tr2bl w:val="nil"/>
                  </w:tcBorders>
                  <w:vAlign w:val="center"/>
                </w:tcPr>
                <w:p w14:paraId="6CD784B3">
                  <w:pPr>
                    <w:jc w:val="center"/>
                    <w:rPr>
                      <w:rFonts w:hint="default" w:ascii="Times New Roman" w:hAnsi="Times New Roman" w:cs="Times New Roman"/>
                      <w:color w:val="auto"/>
                      <w:sz w:val="18"/>
                      <w:szCs w:val="18"/>
                    </w:rPr>
                  </w:pPr>
                  <w:bookmarkStart w:id="39" w:name="_Hlk220320450"/>
                  <w:r>
                    <w:rPr>
                      <w:rFonts w:hint="default" w:ascii="Times New Roman" w:hAnsi="Times New Roman" w:cs="Times New Roman"/>
                      <w:color w:val="auto"/>
                      <w:sz w:val="18"/>
                      <w:szCs w:val="18"/>
                    </w:rPr>
                    <w:t>序号</w:t>
                  </w:r>
                </w:p>
              </w:tc>
              <w:tc>
                <w:tcPr>
                  <w:tcW w:w="1380" w:type="dxa"/>
                  <w:tcBorders>
                    <w:tl2br w:val="nil"/>
                    <w:tr2bl w:val="nil"/>
                  </w:tcBorders>
                  <w:vAlign w:val="center"/>
                </w:tcPr>
                <w:p w14:paraId="230AB19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原材料名称</w:t>
                  </w:r>
                </w:p>
              </w:tc>
              <w:tc>
                <w:tcPr>
                  <w:tcW w:w="1200" w:type="dxa"/>
                  <w:tcBorders>
                    <w:tl2br w:val="nil"/>
                    <w:tr2bl w:val="nil"/>
                  </w:tcBorders>
                  <w:vAlign w:val="center"/>
                </w:tcPr>
                <w:p w14:paraId="6C4B39A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单位</w:t>
                  </w:r>
                </w:p>
              </w:tc>
              <w:tc>
                <w:tcPr>
                  <w:tcW w:w="819" w:type="dxa"/>
                  <w:tcBorders>
                    <w:tl2br w:val="nil"/>
                    <w:tr2bl w:val="nil"/>
                  </w:tcBorders>
                  <w:vAlign w:val="center"/>
                </w:tcPr>
                <w:p w14:paraId="1CEEBE8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数量</w:t>
                  </w:r>
                </w:p>
              </w:tc>
              <w:tc>
                <w:tcPr>
                  <w:tcW w:w="4257" w:type="dxa"/>
                  <w:tcBorders>
                    <w:tl2br w:val="nil"/>
                    <w:tr2bl w:val="nil"/>
                  </w:tcBorders>
                  <w:vAlign w:val="center"/>
                </w:tcPr>
                <w:p w14:paraId="0E108116">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产地及供应情况</w:t>
                  </w:r>
                </w:p>
              </w:tc>
            </w:tr>
            <w:tr w14:paraId="045FA6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46" w:type="dxa"/>
                  <w:gridSpan w:val="5"/>
                  <w:tcBorders>
                    <w:tl2br w:val="nil"/>
                    <w:tr2bl w:val="nil"/>
                  </w:tcBorders>
                  <w:vAlign w:val="center"/>
                </w:tcPr>
                <w:p w14:paraId="4C1CB52F">
                  <w:pPr>
                    <w:jc w:val="center"/>
                    <w:rPr>
                      <w:rFonts w:hint="default" w:ascii="Times New Roman" w:hAnsi="Times New Roman" w:cs="Times New Roman"/>
                      <w:color w:val="auto"/>
                      <w:sz w:val="18"/>
                      <w:szCs w:val="18"/>
                    </w:rPr>
                  </w:pPr>
                  <w:r>
                    <w:rPr>
                      <w:rFonts w:hint="default" w:ascii="Times New Roman" w:hAnsi="Times New Roman" w:cs="Times New Roman"/>
                      <w:b/>
                      <w:bCs/>
                      <w:color w:val="auto"/>
                      <w:sz w:val="18"/>
                      <w:szCs w:val="18"/>
                    </w:rPr>
                    <w:t>原料用量</w:t>
                  </w:r>
                </w:p>
              </w:tc>
            </w:tr>
            <w:tr w14:paraId="4E451D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tcBorders>
                    <w:tl2br w:val="nil"/>
                    <w:tr2bl w:val="nil"/>
                  </w:tcBorders>
                  <w:vAlign w:val="center"/>
                </w:tcPr>
                <w:p w14:paraId="6486B28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380" w:type="dxa"/>
                  <w:tcBorders>
                    <w:tl2br w:val="nil"/>
                    <w:tr2bl w:val="nil"/>
                  </w:tcBorders>
                  <w:vAlign w:val="center"/>
                </w:tcPr>
                <w:p w14:paraId="1E7B4C9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圆棒</w:t>
                  </w:r>
                </w:p>
              </w:tc>
              <w:tc>
                <w:tcPr>
                  <w:tcW w:w="1200" w:type="dxa"/>
                  <w:tcBorders>
                    <w:tl2br w:val="nil"/>
                    <w:tr2bl w:val="nil"/>
                  </w:tcBorders>
                  <w:vAlign w:val="center"/>
                </w:tcPr>
                <w:p w14:paraId="7B371AFE">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万t</w:t>
                  </w:r>
                  <w:r>
                    <w:rPr>
                      <w:rFonts w:hint="default" w:ascii="Times New Roman" w:hAnsi="Times New Roman" w:cs="Times New Roman"/>
                      <w:color w:val="auto"/>
                      <w:sz w:val="18"/>
                      <w:szCs w:val="18"/>
                    </w:rPr>
                    <w:t>/a</w:t>
                  </w:r>
                </w:p>
              </w:tc>
              <w:tc>
                <w:tcPr>
                  <w:tcW w:w="819" w:type="dxa"/>
                  <w:tcBorders>
                    <w:tl2br w:val="nil"/>
                    <w:tr2bl w:val="nil"/>
                  </w:tcBorders>
                  <w:vAlign w:val="center"/>
                </w:tcPr>
                <w:p w14:paraId="0C137B1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3.06</w:t>
                  </w:r>
                </w:p>
              </w:tc>
              <w:tc>
                <w:tcPr>
                  <w:tcW w:w="4257" w:type="dxa"/>
                  <w:tcBorders>
                    <w:tl2br w:val="nil"/>
                    <w:tr2bl w:val="nil"/>
                  </w:tcBorders>
                  <w:vAlign w:val="center"/>
                </w:tcPr>
                <w:p w14:paraId="6264C0C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外购</w:t>
                  </w:r>
                </w:p>
              </w:tc>
            </w:tr>
            <w:tr w14:paraId="41CDA0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46" w:type="dxa"/>
                  <w:gridSpan w:val="5"/>
                  <w:tcBorders>
                    <w:tl2br w:val="nil"/>
                    <w:tr2bl w:val="nil"/>
                  </w:tcBorders>
                  <w:vAlign w:val="center"/>
                </w:tcPr>
                <w:p w14:paraId="4C8913E9">
                  <w:pPr>
                    <w:jc w:val="center"/>
                    <w:rPr>
                      <w:rFonts w:hint="default" w:ascii="Times New Roman" w:hAnsi="Times New Roman" w:cs="Times New Roman"/>
                      <w:color w:val="auto"/>
                      <w:sz w:val="18"/>
                      <w:szCs w:val="18"/>
                    </w:rPr>
                  </w:pPr>
                  <w:r>
                    <w:rPr>
                      <w:rFonts w:hint="default" w:ascii="Times New Roman" w:hAnsi="Times New Roman" w:cs="Times New Roman"/>
                      <w:b/>
                      <w:bCs/>
                      <w:color w:val="auto"/>
                      <w:sz w:val="18"/>
                      <w:szCs w:val="18"/>
                    </w:rPr>
                    <w:t>其他燃、辅料用量</w:t>
                  </w:r>
                </w:p>
              </w:tc>
            </w:tr>
            <w:tr w14:paraId="5B1231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tcBorders>
                    <w:tl2br w:val="nil"/>
                    <w:tr2bl w:val="nil"/>
                  </w:tcBorders>
                  <w:vAlign w:val="center"/>
                </w:tcPr>
                <w:p w14:paraId="089D783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380" w:type="dxa"/>
                  <w:tcBorders>
                    <w:tl2br w:val="nil"/>
                    <w:tr2bl w:val="nil"/>
                  </w:tcBorders>
                  <w:vAlign w:val="center"/>
                </w:tcPr>
                <w:p w14:paraId="1C1996DF">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用电</w:t>
                  </w:r>
                </w:p>
              </w:tc>
              <w:tc>
                <w:tcPr>
                  <w:tcW w:w="1200" w:type="dxa"/>
                  <w:tcBorders>
                    <w:tl2br w:val="nil"/>
                    <w:tr2bl w:val="nil"/>
                  </w:tcBorders>
                  <w:vAlign w:val="center"/>
                </w:tcPr>
                <w:p w14:paraId="1CBDA807">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万kWh</w:t>
                  </w:r>
                </w:p>
              </w:tc>
              <w:tc>
                <w:tcPr>
                  <w:tcW w:w="819" w:type="dxa"/>
                  <w:tcBorders>
                    <w:tl2br w:val="nil"/>
                    <w:tr2bl w:val="nil"/>
                  </w:tcBorders>
                  <w:vAlign w:val="center"/>
                </w:tcPr>
                <w:p w14:paraId="32E3E52B">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1239.91</w:t>
                  </w:r>
                </w:p>
              </w:tc>
              <w:tc>
                <w:tcPr>
                  <w:tcW w:w="4257" w:type="dxa"/>
                  <w:tcBorders>
                    <w:tl2br w:val="nil"/>
                    <w:tr2bl w:val="nil"/>
                  </w:tcBorders>
                  <w:vAlign w:val="center"/>
                </w:tcPr>
                <w:p w14:paraId="6BDB672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现有的10kV变电站供给，用量为本项目能评提供</w:t>
                  </w:r>
                </w:p>
              </w:tc>
            </w:tr>
            <w:tr w14:paraId="5AC27C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tcBorders>
                    <w:tl2br w:val="nil"/>
                    <w:tr2bl w:val="nil"/>
                  </w:tcBorders>
                  <w:vAlign w:val="center"/>
                </w:tcPr>
                <w:p w14:paraId="63F8EAB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1380" w:type="dxa"/>
                  <w:tcBorders>
                    <w:tl2br w:val="nil"/>
                    <w:tr2bl w:val="nil"/>
                  </w:tcBorders>
                  <w:vAlign w:val="center"/>
                </w:tcPr>
                <w:p w14:paraId="5F51A00F">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润滑油</w:t>
                  </w:r>
                </w:p>
              </w:tc>
              <w:tc>
                <w:tcPr>
                  <w:tcW w:w="1200" w:type="dxa"/>
                  <w:tcBorders>
                    <w:tl2br w:val="nil"/>
                    <w:tr2bl w:val="nil"/>
                  </w:tcBorders>
                  <w:vAlign w:val="center"/>
                </w:tcPr>
                <w:p w14:paraId="59764C05">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t</w:t>
                  </w:r>
                  <w:r>
                    <w:rPr>
                      <w:rFonts w:hint="default" w:ascii="Times New Roman" w:hAnsi="Times New Roman" w:cs="Times New Roman"/>
                      <w:color w:val="auto"/>
                      <w:sz w:val="18"/>
                      <w:szCs w:val="18"/>
                    </w:rPr>
                    <w:t>/a</w:t>
                  </w:r>
                </w:p>
              </w:tc>
              <w:tc>
                <w:tcPr>
                  <w:tcW w:w="819" w:type="dxa"/>
                  <w:tcBorders>
                    <w:tl2br w:val="nil"/>
                    <w:tr2bl w:val="nil"/>
                  </w:tcBorders>
                  <w:vAlign w:val="center"/>
                </w:tcPr>
                <w:p w14:paraId="2A4F3D3A">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0.5</w:t>
                  </w:r>
                </w:p>
              </w:tc>
              <w:tc>
                <w:tcPr>
                  <w:tcW w:w="4257" w:type="dxa"/>
                  <w:tcBorders>
                    <w:tl2br w:val="nil"/>
                    <w:tr2bl w:val="nil"/>
                  </w:tcBorders>
                  <w:vAlign w:val="center"/>
                </w:tcPr>
                <w:p w14:paraId="3CEC92A4">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昆明</w:t>
                  </w:r>
                </w:p>
              </w:tc>
            </w:tr>
            <w:tr w14:paraId="697656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dxa"/>
                  <w:tcBorders>
                    <w:tl2br w:val="nil"/>
                    <w:tr2bl w:val="nil"/>
                  </w:tcBorders>
                  <w:vAlign w:val="center"/>
                </w:tcPr>
                <w:p w14:paraId="72382C5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380" w:type="dxa"/>
                  <w:tcBorders>
                    <w:tl2br w:val="nil"/>
                    <w:tr2bl w:val="nil"/>
                  </w:tcBorders>
                  <w:vAlign w:val="center"/>
                </w:tcPr>
                <w:p w14:paraId="700AAD1F">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用水量</w:t>
                  </w:r>
                </w:p>
              </w:tc>
              <w:tc>
                <w:tcPr>
                  <w:tcW w:w="1200" w:type="dxa"/>
                  <w:tcBorders>
                    <w:tl2br w:val="nil"/>
                    <w:tr2bl w:val="nil"/>
                  </w:tcBorders>
                  <w:vAlign w:val="center"/>
                </w:tcPr>
                <w:p w14:paraId="64A06716">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m</w:t>
                  </w:r>
                  <w:r>
                    <w:rPr>
                      <w:rFonts w:hint="default" w:ascii="Times New Roman" w:hAnsi="Times New Roman" w:cs="Times New Roman"/>
                      <w:color w:val="auto"/>
                      <w:kern w:val="0"/>
                      <w:sz w:val="18"/>
                      <w:szCs w:val="18"/>
                      <w:vertAlign w:val="superscript"/>
                    </w:rPr>
                    <w:t>3</w:t>
                  </w:r>
                  <w:r>
                    <w:rPr>
                      <w:rFonts w:hint="default" w:ascii="Times New Roman" w:hAnsi="Times New Roman" w:cs="Times New Roman"/>
                      <w:color w:val="auto"/>
                      <w:sz w:val="18"/>
                      <w:szCs w:val="18"/>
                    </w:rPr>
                    <w:t>/a</w:t>
                  </w:r>
                </w:p>
              </w:tc>
              <w:tc>
                <w:tcPr>
                  <w:tcW w:w="819" w:type="dxa"/>
                  <w:tcBorders>
                    <w:tl2br w:val="nil"/>
                    <w:tr2bl w:val="nil"/>
                  </w:tcBorders>
                  <w:vAlign w:val="center"/>
                </w:tcPr>
                <w:p w14:paraId="789F955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9450</w:t>
                  </w:r>
                </w:p>
              </w:tc>
              <w:tc>
                <w:tcPr>
                  <w:tcW w:w="4257" w:type="dxa"/>
                  <w:tcBorders>
                    <w:tl2br w:val="nil"/>
                    <w:tr2bl w:val="nil"/>
                  </w:tcBorders>
                  <w:vAlign w:val="center"/>
                </w:tcPr>
                <w:p w14:paraId="1D30854B">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厂区现有供水管网</w:t>
                  </w:r>
                </w:p>
              </w:tc>
            </w:tr>
            <w:bookmarkEnd w:id="39"/>
          </w:tbl>
          <w:p w14:paraId="7BE903AA">
            <w:pPr>
              <w:adjustRightInd w:val="0"/>
              <w:snapToGrid w:val="0"/>
              <w:spacing w:before="120" w:beforeLines="50"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5.2项目物料平衡</w:t>
            </w:r>
          </w:p>
          <w:p w14:paraId="353E8D84">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3万吨无缝钢管生产线物料平衡见下表：</w:t>
            </w:r>
          </w:p>
          <w:p w14:paraId="3BC7C510">
            <w:pPr>
              <w:pStyle w:val="10"/>
              <w:spacing w:before="0" w:line="360" w:lineRule="auto"/>
              <w:ind w:firstLine="420" w:firstLineChars="20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表2-5    物料平衡表</w:t>
            </w:r>
          </w:p>
          <w:tbl>
            <w:tblPr>
              <w:tblStyle w:val="35"/>
              <w:tblW w:w="4998" w:type="pct"/>
              <w:tblInd w:w="1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5"/>
              <w:gridCol w:w="2076"/>
              <w:gridCol w:w="2066"/>
              <w:gridCol w:w="2076"/>
            </w:tblGrid>
            <w:tr w14:paraId="40E13E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9" w:type="pct"/>
                  <w:gridSpan w:val="2"/>
                  <w:tcBorders>
                    <w:tl2br w:val="nil"/>
                    <w:tr2bl w:val="nil"/>
                  </w:tcBorders>
                  <w:vAlign w:val="center"/>
                </w:tcPr>
                <w:p w14:paraId="79DFD4E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带入量（t/a）</w:t>
                  </w:r>
                </w:p>
              </w:tc>
              <w:tc>
                <w:tcPr>
                  <w:tcW w:w="2500" w:type="pct"/>
                  <w:gridSpan w:val="2"/>
                  <w:tcBorders>
                    <w:tl2br w:val="nil"/>
                    <w:tr2bl w:val="nil"/>
                  </w:tcBorders>
                  <w:vAlign w:val="center"/>
                </w:tcPr>
                <w:p w14:paraId="1AF840F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带出量（t/a）</w:t>
                  </w:r>
                </w:p>
              </w:tc>
            </w:tr>
            <w:tr w14:paraId="7C1397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pct"/>
                  <w:tcBorders>
                    <w:tl2br w:val="nil"/>
                    <w:tr2bl w:val="nil"/>
                  </w:tcBorders>
                  <w:vAlign w:val="center"/>
                </w:tcPr>
                <w:p w14:paraId="1C34824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圆棒</w:t>
                  </w:r>
                </w:p>
              </w:tc>
              <w:tc>
                <w:tcPr>
                  <w:tcW w:w="1253" w:type="pct"/>
                  <w:tcBorders>
                    <w:tl2br w:val="nil"/>
                    <w:tr2bl w:val="nil"/>
                  </w:tcBorders>
                  <w:vAlign w:val="center"/>
                </w:tcPr>
                <w:p w14:paraId="257735F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30600</w:t>
                  </w:r>
                </w:p>
              </w:tc>
              <w:tc>
                <w:tcPr>
                  <w:tcW w:w="1247" w:type="pct"/>
                  <w:tcBorders>
                    <w:tl2br w:val="nil"/>
                    <w:tr2bl w:val="nil"/>
                  </w:tcBorders>
                  <w:vAlign w:val="center"/>
                </w:tcPr>
                <w:p w14:paraId="695DF97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无缝钢管</w:t>
                  </w:r>
                </w:p>
              </w:tc>
              <w:tc>
                <w:tcPr>
                  <w:tcW w:w="1253" w:type="pct"/>
                  <w:tcBorders>
                    <w:tl2br w:val="nil"/>
                    <w:tr2bl w:val="nil"/>
                  </w:tcBorders>
                  <w:vAlign w:val="center"/>
                </w:tcPr>
                <w:p w14:paraId="5538B8B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30000</w:t>
                  </w:r>
                </w:p>
              </w:tc>
            </w:tr>
            <w:tr w14:paraId="1514B0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pct"/>
                  <w:tcBorders>
                    <w:tl2br w:val="nil"/>
                    <w:tr2bl w:val="nil"/>
                  </w:tcBorders>
                  <w:vAlign w:val="center"/>
                </w:tcPr>
                <w:p w14:paraId="16ACD016">
                  <w:pPr>
                    <w:widowControl/>
                    <w:jc w:val="center"/>
                    <w:textAlignment w:val="center"/>
                    <w:rPr>
                      <w:rFonts w:hint="default" w:ascii="Times New Roman" w:hAnsi="Times New Roman" w:cs="Times New Roman"/>
                      <w:color w:val="auto"/>
                      <w:sz w:val="18"/>
                      <w:szCs w:val="18"/>
                    </w:rPr>
                  </w:pPr>
                </w:p>
              </w:tc>
              <w:tc>
                <w:tcPr>
                  <w:tcW w:w="1253" w:type="pct"/>
                  <w:tcBorders>
                    <w:tl2br w:val="nil"/>
                    <w:tr2bl w:val="nil"/>
                  </w:tcBorders>
                  <w:vAlign w:val="center"/>
                </w:tcPr>
                <w:p w14:paraId="7EB79250">
                  <w:pPr>
                    <w:widowControl/>
                    <w:jc w:val="center"/>
                    <w:textAlignment w:val="center"/>
                    <w:rPr>
                      <w:rFonts w:hint="default" w:ascii="Times New Roman" w:hAnsi="Times New Roman" w:cs="Times New Roman"/>
                      <w:color w:val="auto"/>
                      <w:sz w:val="18"/>
                      <w:szCs w:val="18"/>
                    </w:rPr>
                  </w:pPr>
                </w:p>
              </w:tc>
              <w:tc>
                <w:tcPr>
                  <w:tcW w:w="1247" w:type="pct"/>
                  <w:tcBorders>
                    <w:tl2br w:val="nil"/>
                    <w:tr2bl w:val="nil"/>
                  </w:tcBorders>
                  <w:vAlign w:val="center"/>
                </w:tcPr>
                <w:p w14:paraId="6374FB5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边角料和不合格产品</w:t>
                  </w:r>
                </w:p>
              </w:tc>
              <w:tc>
                <w:tcPr>
                  <w:tcW w:w="1253" w:type="pct"/>
                  <w:tcBorders>
                    <w:tl2br w:val="nil"/>
                    <w:tr2bl w:val="nil"/>
                  </w:tcBorders>
                  <w:vAlign w:val="center"/>
                </w:tcPr>
                <w:p w14:paraId="19DB81F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510</w:t>
                  </w:r>
                </w:p>
              </w:tc>
            </w:tr>
            <w:tr w14:paraId="070B5B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pct"/>
                  <w:tcBorders>
                    <w:tl2br w:val="nil"/>
                    <w:tr2bl w:val="nil"/>
                  </w:tcBorders>
                  <w:vAlign w:val="center"/>
                </w:tcPr>
                <w:p w14:paraId="55C9AFB0">
                  <w:pPr>
                    <w:widowControl/>
                    <w:jc w:val="center"/>
                    <w:textAlignment w:val="center"/>
                    <w:rPr>
                      <w:rFonts w:hint="default" w:ascii="Times New Roman" w:hAnsi="Times New Roman" w:cs="Times New Roman"/>
                      <w:color w:val="auto"/>
                      <w:sz w:val="18"/>
                      <w:szCs w:val="18"/>
                    </w:rPr>
                  </w:pPr>
                </w:p>
              </w:tc>
              <w:tc>
                <w:tcPr>
                  <w:tcW w:w="1253" w:type="pct"/>
                  <w:tcBorders>
                    <w:tl2br w:val="nil"/>
                    <w:tr2bl w:val="nil"/>
                  </w:tcBorders>
                  <w:vAlign w:val="center"/>
                </w:tcPr>
                <w:p w14:paraId="3565D58B">
                  <w:pPr>
                    <w:widowControl/>
                    <w:jc w:val="center"/>
                    <w:textAlignment w:val="center"/>
                    <w:rPr>
                      <w:rFonts w:hint="default" w:ascii="Times New Roman" w:hAnsi="Times New Roman" w:cs="Times New Roman"/>
                      <w:color w:val="auto"/>
                      <w:sz w:val="18"/>
                      <w:szCs w:val="18"/>
                    </w:rPr>
                  </w:pPr>
                </w:p>
              </w:tc>
              <w:tc>
                <w:tcPr>
                  <w:tcW w:w="1247" w:type="pct"/>
                  <w:tcBorders>
                    <w:tl2br w:val="nil"/>
                    <w:tr2bl w:val="nil"/>
                  </w:tcBorders>
                  <w:vAlign w:val="center"/>
                </w:tcPr>
                <w:p w14:paraId="1EBE10D6">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氧化铁皮</w:t>
                  </w:r>
                </w:p>
              </w:tc>
              <w:tc>
                <w:tcPr>
                  <w:tcW w:w="1253" w:type="pct"/>
                  <w:tcBorders>
                    <w:tl2br w:val="nil"/>
                    <w:tr2bl w:val="nil"/>
                  </w:tcBorders>
                  <w:vAlign w:val="center"/>
                </w:tcPr>
                <w:p w14:paraId="7C98A553">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90</w:t>
                  </w:r>
                </w:p>
              </w:tc>
            </w:tr>
            <w:tr w14:paraId="5B1D53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pct"/>
                  <w:tcBorders>
                    <w:tl2br w:val="nil"/>
                    <w:tr2bl w:val="nil"/>
                  </w:tcBorders>
                  <w:vAlign w:val="center"/>
                </w:tcPr>
                <w:p w14:paraId="59B6FC6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合计</w:t>
                  </w:r>
                </w:p>
              </w:tc>
              <w:tc>
                <w:tcPr>
                  <w:tcW w:w="1253" w:type="pct"/>
                  <w:tcBorders>
                    <w:tl2br w:val="nil"/>
                    <w:tr2bl w:val="nil"/>
                  </w:tcBorders>
                  <w:vAlign w:val="center"/>
                </w:tcPr>
                <w:p w14:paraId="5BFE212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30600</w:t>
                  </w:r>
                </w:p>
              </w:tc>
              <w:tc>
                <w:tcPr>
                  <w:tcW w:w="1247" w:type="pct"/>
                  <w:tcBorders>
                    <w:tl2br w:val="nil"/>
                    <w:tr2bl w:val="nil"/>
                  </w:tcBorders>
                  <w:vAlign w:val="center"/>
                </w:tcPr>
                <w:p w14:paraId="3F4AF3A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合计</w:t>
                  </w:r>
                </w:p>
              </w:tc>
              <w:tc>
                <w:tcPr>
                  <w:tcW w:w="1253" w:type="pct"/>
                  <w:tcBorders>
                    <w:tl2br w:val="nil"/>
                    <w:tr2bl w:val="nil"/>
                  </w:tcBorders>
                  <w:vAlign w:val="center"/>
                </w:tcPr>
                <w:p w14:paraId="3971BAF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30600</w:t>
                  </w:r>
                </w:p>
              </w:tc>
            </w:tr>
            <w:tr w14:paraId="16BEF1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tl2br w:val="nil"/>
                    <w:tr2bl w:val="nil"/>
                  </w:tcBorders>
                  <w:vAlign w:val="center"/>
                </w:tcPr>
                <w:p w14:paraId="17D9E88D">
                  <w:pPr>
                    <w:widowControl/>
                    <w:jc w:val="both"/>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注：无组织粉尘产生量较小，计入</w:t>
                  </w:r>
                  <w:r>
                    <w:rPr>
                      <w:rFonts w:hint="default" w:ascii="Times New Roman" w:hAnsi="Times New Roman" w:cs="Times New Roman"/>
                      <w:color w:val="auto"/>
                      <w:kern w:val="0"/>
                      <w:sz w:val="18"/>
                      <w:szCs w:val="18"/>
                      <w:lang w:bidi="ar"/>
                    </w:rPr>
                    <w:t>边角料和不合格产品</w:t>
                  </w:r>
                  <w:r>
                    <w:rPr>
                      <w:rFonts w:hint="default" w:ascii="Times New Roman" w:hAnsi="Times New Roman" w:cs="Times New Roman"/>
                      <w:color w:val="auto"/>
                      <w:kern w:val="0"/>
                      <w:sz w:val="18"/>
                      <w:szCs w:val="18"/>
                      <w:lang w:eastAsia="zh-CN" w:bidi="ar"/>
                    </w:rPr>
                    <w:t>，</w:t>
                  </w:r>
                  <w:r>
                    <w:rPr>
                      <w:rFonts w:hint="default" w:ascii="Times New Roman" w:hAnsi="Times New Roman" w:cs="Times New Roman"/>
                      <w:color w:val="auto"/>
                      <w:kern w:val="0"/>
                      <w:sz w:val="18"/>
                      <w:szCs w:val="18"/>
                      <w:lang w:val="en-US" w:eastAsia="zh-CN" w:bidi="ar"/>
                    </w:rPr>
                    <w:t>不单独表示。</w:t>
                  </w:r>
                </w:p>
              </w:tc>
            </w:tr>
          </w:tbl>
          <w:p w14:paraId="0F113060">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
                <w:color w:val="auto"/>
                <w:sz w:val="24"/>
              </w:rPr>
              <w:t>6、</w:t>
            </w:r>
            <w:r>
              <w:rPr>
                <w:rFonts w:hint="default" w:ascii="Times New Roman" w:hAnsi="Times New Roman" w:eastAsia="黑体" w:cs="Times New Roman"/>
                <w:bCs/>
                <w:color w:val="auto"/>
                <w:sz w:val="24"/>
              </w:rPr>
              <w:t>水平衡分析</w:t>
            </w:r>
          </w:p>
          <w:p w14:paraId="21799B55">
            <w:pPr>
              <w:adjustRightInd w:val="0"/>
              <w:snapToGrid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6.1给水</w:t>
            </w:r>
          </w:p>
          <w:p w14:paraId="5148D82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本项目水源来源于园区给水管网，供水水质符合国家现行生活饮用水水质标准。</w:t>
            </w:r>
          </w:p>
          <w:p w14:paraId="72994CEC">
            <w:pPr>
              <w:adjustRightInd w:val="0"/>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6.2用排水情况</w:t>
            </w:r>
          </w:p>
          <w:p w14:paraId="6A539CBD">
            <w:pPr>
              <w:adjustRightInd w:val="0"/>
              <w:snapToGrid w:val="0"/>
              <w:spacing w:line="360" w:lineRule="auto"/>
              <w:ind w:firstLine="482"/>
              <w:rPr>
                <w:rFonts w:hint="default" w:ascii="Times New Roman" w:hAnsi="Times New Roman" w:cs="Times New Roman"/>
                <w:b/>
                <w:bCs/>
                <w:color w:val="auto"/>
                <w:sz w:val="24"/>
              </w:rPr>
            </w:pPr>
            <w:r>
              <w:rPr>
                <w:rFonts w:hint="default" w:ascii="Times New Roman" w:hAnsi="Times New Roman" w:cs="Times New Roman"/>
                <w:b/>
                <w:bCs/>
                <w:color w:val="auto"/>
                <w:sz w:val="24"/>
              </w:rPr>
              <w:t>一、本项目水量平衡</w:t>
            </w:r>
          </w:p>
          <w:p w14:paraId="7E28E421">
            <w:pPr>
              <w:adjustRightInd w:val="0"/>
              <w:snapToGrid w:val="0"/>
              <w:spacing w:line="360" w:lineRule="auto"/>
              <w:ind w:firstLine="482"/>
              <w:rPr>
                <w:rFonts w:hint="default" w:ascii="Times New Roman" w:hAnsi="Times New Roman" w:cs="Times New Roman"/>
                <w:color w:val="auto"/>
                <w:sz w:val="24"/>
              </w:rPr>
            </w:pPr>
            <w:r>
              <w:rPr>
                <w:rFonts w:hint="default" w:ascii="Times New Roman" w:hAnsi="Times New Roman" w:cs="Times New Roman"/>
                <w:color w:val="auto"/>
                <w:sz w:val="24"/>
              </w:rPr>
              <w:t>根据设计提供，本项目用水</w:t>
            </w:r>
            <w:r>
              <w:rPr>
                <w:rFonts w:hint="default" w:ascii="Times New Roman" w:hAnsi="Times New Roman" w:cs="Times New Roman"/>
                <w:snapToGrid w:val="0"/>
                <w:color w:val="auto"/>
                <w:sz w:val="24"/>
              </w:rPr>
              <w:t>主要为</w:t>
            </w:r>
            <w:r>
              <w:rPr>
                <w:rFonts w:hint="default" w:ascii="Times New Roman" w:hAnsi="Times New Roman" w:cs="Times New Roman"/>
                <w:color w:val="auto"/>
                <w:sz w:val="24"/>
              </w:rPr>
              <w:t>生产浊循环水系统提供生产补充用水，项目厂区内实行雨污分流措施。项目生产冷却水循环使用，不外排。</w:t>
            </w:r>
          </w:p>
          <w:p w14:paraId="01C4C37F">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（1）浊循环用水</w:t>
            </w:r>
          </w:p>
          <w:p w14:paraId="748C9C33">
            <w:pPr>
              <w:spacing w:line="360" w:lineRule="auto"/>
              <w:ind w:firstLine="480" w:firstLineChars="200"/>
              <w:rPr>
                <w:rFonts w:hint="default" w:ascii="Times New Roman" w:hAnsi="Times New Roman" w:cs="Times New Roman"/>
                <w:snapToGrid w:val="0"/>
                <w:color w:val="auto"/>
                <w:sz w:val="24"/>
              </w:rPr>
            </w:pPr>
            <w:r>
              <w:rPr>
                <w:rFonts w:hint="default" w:ascii="Times New Roman" w:hAnsi="Times New Roman" w:cs="Times New Roman"/>
                <w:color w:val="auto"/>
                <w:sz w:val="24"/>
              </w:rPr>
              <w:t>项目生产用水主要是</w:t>
            </w:r>
            <w:r>
              <w:rPr>
                <w:rFonts w:hint="default" w:ascii="Times New Roman" w:hAnsi="Times New Roman" w:cs="Times New Roman"/>
                <w:color w:val="auto"/>
                <w:sz w:val="24"/>
                <w:lang w:val="en-US" w:eastAsia="zh-CN"/>
              </w:rPr>
              <w:t>产品</w:t>
            </w:r>
            <w:r>
              <w:rPr>
                <w:rFonts w:hint="default" w:ascii="Times New Roman" w:hAnsi="Times New Roman" w:cs="Times New Roman"/>
                <w:color w:val="auto"/>
                <w:sz w:val="24"/>
              </w:rPr>
              <w:t>冷却用水，为直接冷却废水，根据项目可行性研究报告，本项目浊循环</w:t>
            </w:r>
            <w:r>
              <w:rPr>
                <w:rFonts w:hint="default" w:ascii="Times New Roman" w:hAnsi="Times New Roman" w:cs="Times New Roman"/>
                <w:snapToGrid w:val="0"/>
                <w:color w:val="auto"/>
                <w:sz w:val="24"/>
              </w:rPr>
              <w:t>系统用水量为480m</w:t>
            </w:r>
            <w:r>
              <w:rPr>
                <w:rFonts w:hint="default" w:ascii="Times New Roman" w:hAnsi="Times New Roman" w:cs="Times New Roman"/>
                <w:snapToGrid w:val="0"/>
                <w:color w:val="auto"/>
                <w:sz w:val="24"/>
                <w:vertAlign w:val="superscript"/>
              </w:rPr>
              <w:t>3</w:t>
            </w:r>
            <w:r>
              <w:rPr>
                <w:rFonts w:hint="default" w:ascii="Times New Roman" w:hAnsi="Times New Roman" w:cs="Times New Roman"/>
                <w:snapToGrid w:val="0"/>
                <w:color w:val="auto"/>
                <w:sz w:val="24"/>
              </w:rPr>
              <w:t>/d，回水量为450m</w:t>
            </w:r>
            <w:r>
              <w:rPr>
                <w:rFonts w:hint="default" w:ascii="Times New Roman" w:hAnsi="Times New Roman" w:cs="Times New Roman"/>
                <w:snapToGrid w:val="0"/>
                <w:color w:val="auto"/>
                <w:sz w:val="24"/>
                <w:vertAlign w:val="superscript"/>
              </w:rPr>
              <w:t>3</w:t>
            </w:r>
            <w:r>
              <w:rPr>
                <w:rFonts w:hint="default" w:ascii="Times New Roman" w:hAnsi="Times New Roman" w:cs="Times New Roman"/>
                <w:snapToGrid w:val="0"/>
                <w:color w:val="auto"/>
                <w:sz w:val="24"/>
              </w:rPr>
              <w:t>/d，氧化铁皮带走10m</w:t>
            </w:r>
            <w:r>
              <w:rPr>
                <w:rFonts w:hint="default" w:ascii="Times New Roman" w:hAnsi="Times New Roman" w:cs="Times New Roman"/>
                <w:snapToGrid w:val="0"/>
                <w:color w:val="auto"/>
                <w:sz w:val="24"/>
                <w:vertAlign w:val="superscript"/>
              </w:rPr>
              <w:t>3</w:t>
            </w:r>
            <w:r>
              <w:rPr>
                <w:rFonts w:hint="default" w:ascii="Times New Roman" w:hAnsi="Times New Roman" w:cs="Times New Roman"/>
                <w:snapToGrid w:val="0"/>
                <w:color w:val="auto"/>
                <w:sz w:val="24"/>
              </w:rPr>
              <w:t>/d，冷却塔蒸发损耗量为20m</w:t>
            </w:r>
            <w:r>
              <w:rPr>
                <w:rFonts w:hint="default" w:ascii="Times New Roman" w:hAnsi="Times New Roman" w:cs="Times New Roman"/>
                <w:snapToGrid w:val="0"/>
                <w:color w:val="auto"/>
                <w:sz w:val="24"/>
                <w:vertAlign w:val="superscript"/>
              </w:rPr>
              <w:t>3</w:t>
            </w:r>
            <w:r>
              <w:rPr>
                <w:rFonts w:hint="default" w:ascii="Times New Roman" w:hAnsi="Times New Roman" w:cs="Times New Roman"/>
                <w:snapToGrid w:val="0"/>
                <w:color w:val="auto"/>
                <w:sz w:val="24"/>
              </w:rPr>
              <w:t>/d。补充新水量为30m</w:t>
            </w:r>
            <w:r>
              <w:rPr>
                <w:rFonts w:hint="default" w:ascii="Times New Roman" w:hAnsi="Times New Roman" w:cs="Times New Roman"/>
                <w:snapToGrid w:val="0"/>
                <w:color w:val="auto"/>
                <w:sz w:val="24"/>
                <w:vertAlign w:val="superscript"/>
              </w:rPr>
              <w:t>3</w:t>
            </w:r>
            <w:r>
              <w:rPr>
                <w:rFonts w:hint="default" w:ascii="Times New Roman" w:hAnsi="Times New Roman" w:cs="Times New Roman"/>
                <w:snapToGrid w:val="0"/>
                <w:color w:val="auto"/>
                <w:sz w:val="24"/>
              </w:rPr>
              <w:t>/d。</w:t>
            </w:r>
          </w:p>
          <w:p w14:paraId="5151522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snapToGrid w:val="0"/>
                <w:color w:val="auto"/>
                <w:sz w:val="24"/>
              </w:rPr>
              <w:t>综上，本项目生产废水均能循环使用，不外排。</w:t>
            </w:r>
          </w:p>
          <w:p w14:paraId="37C99C3A">
            <w:pPr>
              <w:adjustRightInd w:val="0"/>
              <w:snapToGrid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（2）生活污水</w:t>
            </w:r>
          </w:p>
          <w:p w14:paraId="4C7B32CA">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本项目劳动定员为50人，均不在厂内</w:t>
            </w:r>
            <w:r>
              <w:rPr>
                <w:rFonts w:hint="default" w:ascii="Times New Roman" w:hAnsi="Times New Roman" w:cs="Times New Roman"/>
                <w:color w:val="auto"/>
                <w:sz w:val="24"/>
                <w:lang w:val="en-US" w:eastAsia="zh-CN"/>
              </w:rPr>
              <w:t>食宿</w:t>
            </w:r>
            <w:r>
              <w:rPr>
                <w:rFonts w:hint="default" w:ascii="Times New Roman" w:hAnsi="Times New Roman" w:cs="Times New Roman"/>
                <w:color w:val="auto"/>
                <w:sz w:val="24"/>
              </w:rPr>
              <w:t>。根据《云南省地方标准  用水定额》（DB53/T168-2019）标准进行办公生活用水量核算，非住宿人员用水以30L/（人·d）计，则生活用水量为1.5m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/d、375m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/a。污水产生量按用水量的80%计，则生活污水产生量为1.2m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/d、300m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p>
          <w:p w14:paraId="2D58416E">
            <w:pPr>
              <w:spacing w:line="360" w:lineRule="auto"/>
              <w:ind w:firstLine="480" w:firstLineChars="200"/>
              <w:jc w:val="left"/>
              <w:rPr>
                <w:rFonts w:hint="default" w:ascii="Times New Roman" w:hAnsi="Times New Roman" w:cs="Times New Roman"/>
                <w:color w:val="auto"/>
                <w:spacing w:val="6"/>
                <w:sz w:val="24"/>
              </w:rPr>
            </w:pPr>
            <w:r>
              <w:rPr>
                <w:rFonts w:hint="default" w:ascii="Times New Roman" w:hAnsi="Times New Roman" w:cs="Times New Roman"/>
                <w:color w:val="auto"/>
                <w:sz w:val="24"/>
              </w:rPr>
              <w:t>厂区内现设置有1座10m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的化粪池，本次新建1座6m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的化粪池，生活污水经过处理后排入园区污水管网</w:t>
            </w:r>
            <w:r>
              <w:rPr>
                <w:rFonts w:hint="default" w:ascii="Times New Roman" w:hAnsi="Times New Roman" w:cs="Times New Roman"/>
                <w:color w:val="auto"/>
                <w:spacing w:val="6"/>
                <w:sz w:val="24"/>
              </w:rPr>
              <w:t>。</w:t>
            </w:r>
          </w:p>
          <w:p w14:paraId="2DD2EED5">
            <w:pPr>
              <w:spacing w:line="360" w:lineRule="auto"/>
              <w:ind w:firstLine="504" w:firstLineChars="200"/>
              <w:jc w:val="left"/>
              <w:rPr>
                <w:rFonts w:hint="default" w:ascii="Times New Roman" w:hAnsi="Times New Roman" w:cs="Times New Roman"/>
                <w:color w:val="auto"/>
                <w:spacing w:val="6"/>
                <w:sz w:val="24"/>
              </w:rPr>
            </w:pPr>
            <w:r>
              <w:rPr>
                <w:rFonts w:hint="default" w:ascii="Times New Roman" w:hAnsi="Times New Roman" w:cs="Times New Roman"/>
                <w:color w:val="auto"/>
                <w:spacing w:val="6"/>
                <w:sz w:val="24"/>
              </w:rPr>
              <w:t>项目区水量平衡图详见下图：</w:t>
            </w:r>
          </w:p>
          <w:p w14:paraId="26250C66">
            <w:pPr>
              <w:spacing w:line="360" w:lineRule="auto"/>
              <w:ind w:firstLine="420" w:firstLineChars="200"/>
              <w:jc w:val="left"/>
              <w:rPr>
                <w:rFonts w:hint="default" w:ascii="Times New Roman" w:hAnsi="Times New Roman" w:cs="Times New Roman"/>
                <w:b/>
                <w:bCs/>
                <w:color w:val="auto"/>
                <w:sz w:val="24"/>
              </w:rPr>
            </w:pPr>
            <w:r>
              <w:rPr>
                <w:rFonts w:hint="default" w:ascii="Times New Roman" w:hAnsi="Times New Roman" w:cs="Times New Roman"/>
                <w:color w:val="auto"/>
              </w:rPr>
              <w:object>
                <v:shape id="_x0000_i1025" o:spt="75" type="#_x0000_t75" style="height:192.7pt;width:394.55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r>
              <w:rPr>
                <w:rFonts w:hint="default" w:ascii="Times New Roman" w:hAnsi="Times New Roman" w:cs="Times New Roman"/>
                <w:color w:val="auto"/>
              </w:rPr>
              <w:object>
                <v:shape id="_x0000_i1026" o:spt="75" type="#_x0000_t75" style="height:203.45pt;width:414.9pt;" o:ole="t" filled="f" o:preferrelative="t" stroked="f" coordsize="21600,21600">
                  <v:path/>
                  <v:fill on="f" focussize="0,0"/>
                  <v:stroke on="f"/>
                  <v:imagedata r:id="rId13" o:title=""/>
                  <o:lock v:ext="edit" aspectratio="f"/>
                  <w10:wrap type="none"/>
                  <w10:anchorlock/>
                </v:shape>
                <o:OLEObject Type="Embed" ProgID="Visio.Drawing.11" ShapeID="_x0000_i1026" DrawAspect="Content" ObjectID="_1468075726" r:id="rId12">
                  <o:LockedField>false</o:LockedField>
                </o:OLEObject>
              </w:object>
            </w:r>
            <w:r>
              <w:rPr>
                <w:rFonts w:hint="default" w:ascii="Times New Roman" w:hAnsi="Times New Roman" w:cs="Times New Roman"/>
                <w:b/>
                <w:bCs/>
                <w:color w:val="auto"/>
                <w:sz w:val="24"/>
              </w:rPr>
              <w:t>二、本项目建成后全厂水量平衡</w:t>
            </w:r>
          </w:p>
          <w:p w14:paraId="41A5A2E7">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建成后全厂共有年产30万吨型钢连轧生产线技改项目、年产35万吨环保镀锌型钢项目及本项目共3条生产线。由于年产30万吨型钢连轧生产线技改项目、年产35万吨环保镀锌型钢项目均已办理了环评手续，并进行了审批，因此上述两条生产线的水平衡引用原环评中的内容（具体见图2-5、图2-6）。</w:t>
            </w:r>
          </w:p>
          <w:p w14:paraId="4BD5CCE8">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本项目建成后全厂水量平衡图详见下图：</w:t>
            </w:r>
          </w:p>
          <w:p w14:paraId="54A82B3D">
            <w:pPr>
              <w:rPr>
                <w:rFonts w:hint="default" w:ascii="Times New Roman" w:hAnsi="Times New Roman" w:cs="Times New Roman"/>
                <w:color w:val="auto"/>
                <w:highlight w:val="yellow"/>
              </w:rPr>
            </w:pPr>
          </w:p>
          <w:p w14:paraId="32CD5E37">
            <w:pPr>
              <w:rPr>
                <w:rFonts w:hint="default" w:ascii="Times New Roman" w:hAnsi="Times New Roman" w:cs="Times New Roman"/>
                <w:color w:val="auto"/>
                <w:highlight w:val="yellow"/>
              </w:rPr>
            </w:pPr>
            <w:r>
              <w:rPr>
                <w:rFonts w:hint="default" w:ascii="Times New Roman" w:hAnsi="Times New Roman" w:cs="Times New Roman"/>
                <w:color w:val="auto"/>
              </w:rPr>
              <w:object>
                <v:shape id="_x0000_i1027" o:spt="75" type="#_x0000_t75" style="height:505.5pt;width:396.5pt;" o:ole="t" filled="f" o:preferrelative="t" stroked="f" coordsize="21600,21600">
                  <v:path/>
                  <v:fill on="f" focussize="0,0"/>
                  <v:stroke on="f"/>
                  <v:imagedata r:id="rId15" o:title=""/>
                  <o:lock v:ext="edit" aspectratio="f"/>
                  <w10:wrap type="none"/>
                  <w10:anchorlock/>
                </v:shape>
                <o:OLEObject Type="Embed" ProgID="Visio.Drawing.11" ShapeID="_x0000_i1027" DrawAspect="Content" ObjectID="_1468075727" r:id="rId14">
                  <o:LockedField>false</o:LockedField>
                </o:OLEObject>
              </w:object>
            </w:r>
          </w:p>
          <w:p w14:paraId="3B422374">
            <w:pPr>
              <w:rPr>
                <w:rFonts w:hint="default" w:ascii="Times New Roman" w:hAnsi="Times New Roman" w:cs="Times New Roman"/>
                <w:color w:val="auto"/>
                <w:highlight w:val="yellow"/>
              </w:rPr>
            </w:pPr>
          </w:p>
          <w:p w14:paraId="10211B01">
            <w:pPr>
              <w:pStyle w:val="33"/>
              <w:ind w:firstLine="0" w:firstLineChars="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6.3初期雨水</w:t>
            </w:r>
          </w:p>
          <w:p w14:paraId="61159CA0">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目前厂区内</w:t>
            </w:r>
            <w:r>
              <w:rPr>
                <w:rFonts w:hint="default" w:ascii="Times New Roman" w:hAnsi="Times New Roman" w:cs="Times New Roman"/>
                <w:bCs/>
                <w:color w:val="auto"/>
                <w:sz w:val="24"/>
              </w:rPr>
              <w:t>现状于</w:t>
            </w:r>
            <w:r>
              <w:rPr>
                <w:rFonts w:hint="default" w:ascii="Times New Roman" w:hAnsi="Times New Roman" w:cs="Times New Roman"/>
                <w:color w:val="auto"/>
                <w:sz w:val="24"/>
              </w:rPr>
              <w:t>地势较低位置</w:t>
            </w:r>
            <w:r>
              <w:rPr>
                <w:rFonts w:hint="default" w:ascii="Times New Roman" w:hAnsi="Times New Roman" w:cs="Times New Roman"/>
                <w:bCs/>
                <w:color w:val="auto"/>
                <w:sz w:val="24"/>
              </w:rPr>
              <w:t>建有1座80m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初期雨水收集池。</w:t>
            </w:r>
            <w:r>
              <w:rPr>
                <w:rFonts w:hint="default" w:ascii="Times New Roman" w:hAnsi="Times New Roman" w:cs="Times New Roman"/>
                <w:bCs/>
                <w:color w:val="auto"/>
                <w:spacing w:val="8"/>
                <w:sz w:val="24"/>
              </w:rPr>
              <w:t>初期雨水只收集前15min内的雨水量，完全能满足整个厂区内产生的初期雨水量。</w:t>
            </w:r>
            <w:r>
              <w:rPr>
                <w:rFonts w:hint="default" w:ascii="Times New Roman" w:hAnsi="Times New Roman" w:cs="Times New Roman"/>
                <w:color w:val="auto"/>
                <w:sz w:val="24"/>
              </w:rPr>
              <w:t>本项目利用现有的闲置厂房进行建设，不会新增初期雨水量，</w:t>
            </w:r>
            <w:r>
              <w:rPr>
                <w:rFonts w:hint="default" w:ascii="Times New Roman" w:hAnsi="Times New Roman" w:cs="Times New Roman"/>
                <w:bCs/>
                <w:color w:val="auto"/>
                <w:spacing w:val="8"/>
                <w:sz w:val="24"/>
              </w:rPr>
              <w:t>因此本环评不再对厂区初期雨水进行核算。</w:t>
            </w:r>
          </w:p>
          <w:p w14:paraId="152686DC">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
                <w:color w:val="auto"/>
                <w:sz w:val="24"/>
              </w:rPr>
              <w:t>7、</w:t>
            </w:r>
            <w:r>
              <w:rPr>
                <w:rFonts w:hint="default" w:ascii="Times New Roman" w:hAnsi="Times New Roman" w:eastAsia="黑体" w:cs="Times New Roman"/>
                <w:bCs/>
                <w:color w:val="auto"/>
                <w:sz w:val="24"/>
              </w:rPr>
              <w:t>劳动定员及生产制度</w:t>
            </w:r>
          </w:p>
          <w:p w14:paraId="02106C82">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项目年工作250d，为三班制，每班工作8h。</w:t>
            </w:r>
          </w:p>
          <w:p w14:paraId="4B1F6EC0">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本项目劳动定员为50人，均为本次新增</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且不在厂区内食宿</w:t>
            </w:r>
            <w:r>
              <w:rPr>
                <w:rFonts w:hint="default" w:ascii="Times New Roman" w:hAnsi="Times New Roman" w:cs="Times New Roman"/>
                <w:color w:val="auto"/>
                <w:sz w:val="24"/>
              </w:rPr>
              <w:t>。</w:t>
            </w:r>
          </w:p>
          <w:p w14:paraId="0FE88616">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8、总平面布置</w:t>
            </w:r>
          </w:p>
          <w:p w14:paraId="666CA54C">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利用现有的厂房进行建设，车间厂房位于厂区南面，生产厂房结合生产工艺呈“U”字型布置，从西向东依次布置有剪切机、感应加热炉、穿孔机、减定径机、链式冷床、矫直机及锯切机等生产设备，工艺分区明确，布局明确。</w:t>
            </w:r>
          </w:p>
          <w:p w14:paraId="710E545C">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综上所述，项目区总平面布置设置合理。</w:t>
            </w:r>
          </w:p>
          <w:p w14:paraId="4DC7420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项目区总平面布置图详见附图2。</w:t>
            </w:r>
          </w:p>
          <w:p w14:paraId="703C38D7">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9、项目投资情况</w:t>
            </w:r>
          </w:p>
          <w:p w14:paraId="5458F775">
            <w:pPr>
              <w:pStyle w:val="102"/>
              <w:ind w:firstLine="480"/>
              <w:rPr>
                <w:rFonts w:hint="default" w:ascii="Times New Roman" w:hAnsi="Times New Roman" w:eastAsia="黑体" w:cs="Times New Roman"/>
                <w:color w:val="auto"/>
                <w:szCs w:val="21"/>
              </w:rPr>
            </w:pPr>
            <w:r>
              <w:rPr>
                <w:rFonts w:hint="default" w:ascii="Times New Roman" w:hAnsi="Times New Roman" w:cs="Times New Roman"/>
                <w:color w:val="auto"/>
                <w:sz w:val="24"/>
              </w:rPr>
              <w:t>项目总投资300万元；环保投资28.5万元，环保投资占总投资的9.5%；环保投资主要包括项目固废及噪声等的投资。</w:t>
            </w:r>
          </w:p>
          <w:p w14:paraId="0B623073">
            <w:pPr>
              <w:pStyle w:val="10"/>
              <w:spacing w:before="0" w:line="360" w:lineRule="auto"/>
              <w:ind w:firstLine="420" w:firstLineChars="20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表2-6   本项目环保投资估算一览表</w:t>
            </w:r>
          </w:p>
          <w:tbl>
            <w:tblPr>
              <w:tblStyle w:val="35"/>
              <w:tblW w:w="4972"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2"/>
              <w:gridCol w:w="1096"/>
              <w:gridCol w:w="3048"/>
              <w:gridCol w:w="2320"/>
              <w:gridCol w:w="1173"/>
            </w:tblGrid>
            <w:tr w14:paraId="4701E7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0" w:type="pct"/>
                  <w:gridSpan w:val="2"/>
                  <w:vMerge w:val="restart"/>
                  <w:tcBorders>
                    <w:tl2br w:val="nil"/>
                    <w:tr2bl w:val="nil"/>
                  </w:tcBorders>
                  <w:vAlign w:val="center"/>
                </w:tcPr>
                <w:p w14:paraId="50E967DE">
                  <w:pPr>
                    <w:jc w:val="center"/>
                    <w:rPr>
                      <w:rFonts w:hint="default" w:ascii="Times New Roman" w:hAnsi="Times New Roman" w:cs="Times New Roman"/>
                      <w:color w:val="auto"/>
                      <w:sz w:val="18"/>
                      <w:szCs w:val="18"/>
                    </w:rPr>
                  </w:pPr>
                  <w:bookmarkStart w:id="40" w:name="_Hlk220320809"/>
                  <w:r>
                    <w:rPr>
                      <w:rFonts w:hint="default" w:ascii="Times New Roman" w:hAnsi="Times New Roman" w:cs="Times New Roman"/>
                      <w:color w:val="auto"/>
                      <w:sz w:val="18"/>
                      <w:szCs w:val="18"/>
                    </w:rPr>
                    <w:t>项目</w:t>
                  </w:r>
                </w:p>
              </w:tc>
              <w:tc>
                <w:tcPr>
                  <w:tcW w:w="1849" w:type="pct"/>
                  <w:vMerge w:val="restart"/>
                  <w:tcBorders>
                    <w:tl2br w:val="nil"/>
                    <w:tr2bl w:val="nil"/>
                  </w:tcBorders>
                  <w:vAlign w:val="center"/>
                </w:tcPr>
                <w:p w14:paraId="2542A36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现有环保设施</w:t>
                  </w:r>
                </w:p>
              </w:tc>
              <w:tc>
                <w:tcPr>
                  <w:tcW w:w="2119" w:type="pct"/>
                  <w:gridSpan w:val="2"/>
                  <w:tcBorders>
                    <w:tl2br w:val="nil"/>
                    <w:tr2bl w:val="nil"/>
                  </w:tcBorders>
                  <w:vAlign w:val="center"/>
                </w:tcPr>
                <w:p w14:paraId="0883E55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工程环保设施及投资</w:t>
                  </w:r>
                </w:p>
              </w:tc>
            </w:tr>
            <w:tr w14:paraId="2782BF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0" w:type="pct"/>
                  <w:gridSpan w:val="2"/>
                  <w:vMerge w:val="continue"/>
                  <w:tcBorders>
                    <w:tl2br w:val="nil"/>
                    <w:tr2bl w:val="nil"/>
                  </w:tcBorders>
                  <w:vAlign w:val="center"/>
                </w:tcPr>
                <w:p w14:paraId="2F0EF933">
                  <w:pPr>
                    <w:widowControl/>
                    <w:jc w:val="left"/>
                    <w:rPr>
                      <w:rFonts w:hint="default" w:ascii="Times New Roman" w:hAnsi="Times New Roman" w:cs="Times New Roman"/>
                      <w:color w:val="auto"/>
                      <w:sz w:val="18"/>
                      <w:szCs w:val="18"/>
                    </w:rPr>
                  </w:pPr>
                </w:p>
              </w:tc>
              <w:tc>
                <w:tcPr>
                  <w:tcW w:w="1849" w:type="pct"/>
                  <w:vMerge w:val="continue"/>
                  <w:tcBorders>
                    <w:tl2br w:val="nil"/>
                    <w:tr2bl w:val="nil"/>
                  </w:tcBorders>
                  <w:vAlign w:val="center"/>
                </w:tcPr>
                <w:p w14:paraId="6C7AEE6B">
                  <w:pPr>
                    <w:widowControl/>
                    <w:jc w:val="left"/>
                    <w:rPr>
                      <w:rFonts w:hint="default" w:ascii="Times New Roman" w:hAnsi="Times New Roman" w:cs="Times New Roman"/>
                      <w:color w:val="auto"/>
                      <w:sz w:val="18"/>
                      <w:szCs w:val="18"/>
                    </w:rPr>
                  </w:pPr>
                </w:p>
              </w:tc>
              <w:tc>
                <w:tcPr>
                  <w:tcW w:w="1407" w:type="pct"/>
                  <w:tcBorders>
                    <w:tl2br w:val="nil"/>
                    <w:tr2bl w:val="nil"/>
                  </w:tcBorders>
                  <w:vAlign w:val="center"/>
                </w:tcPr>
                <w:p w14:paraId="4319775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本次新增环保设施</w:t>
                  </w:r>
                </w:p>
              </w:tc>
              <w:tc>
                <w:tcPr>
                  <w:tcW w:w="712" w:type="pct"/>
                  <w:tcBorders>
                    <w:tl2br w:val="nil"/>
                    <w:tr2bl w:val="nil"/>
                  </w:tcBorders>
                  <w:vAlign w:val="center"/>
                </w:tcPr>
                <w:p w14:paraId="4304BAE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新增环保投资：万元</w:t>
                  </w:r>
                </w:p>
              </w:tc>
            </w:tr>
            <w:tr w14:paraId="392028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0" w:type="pct"/>
                  <w:gridSpan w:val="2"/>
                  <w:tcBorders>
                    <w:tl2br w:val="nil"/>
                    <w:tr2bl w:val="nil"/>
                  </w:tcBorders>
                  <w:vAlign w:val="center"/>
                </w:tcPr>
                <w:p w14:paraId="0B2C580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1849" w:type="pct"/>
                  <w:tcBorders>
                    <w:tl2br w:val="nil"/>
                    <w:tr2bl w:val="nil"/>
                  </w:tcBorders>
                  <w:vAlign w:val="center"/>
                </w:tcPr>
                <w:p w14:paraId="0B80233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407" w:type="pct"/>
                  <w:tcBorders>
                    <w:tl2br w:val="nil"/>
                    <w:tr2bl w:val="nil"/>
                  </w:tcBorders>
                  <w:vAlign w:val="center"/>
                </w:tcPr>
                <w:p w14:paraId="3CCF87A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封闭式厂房</w:t>
                  </w:r>
                </w:p>
              </w:tc>
              <w:tc>
                <w:tcPr>
                  <w:tcW w:w="712" w:type="pct"/>
                  <w:tcBorders>
                    <w:tl2br w:val="nil"/>
                    <w:tr2bl w:val="nil"/>
                  </w:tcBorders>
                  <w:vAlign w:val="center"/>
                </w:tcPr>
                <w:p w14:paraId="77BE5B8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已计入主体工程投资，本次不单独核算</w:t>
                  </w:r>
                </w:p>
              </w:tc>
            </w:tr>
            <w:tr w14:paraId="518642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5" w:type="pct"/>
                  <w:vMerge w:val="restart"/>
                  <w:tcBorders>
                    <w:tl2br w:val="nil"/>
                    <w:tr2bl w:val="nil"/>
                  </w:tcBorders>
                  <w:vAlign w:val="center"/>
                </w:tcPr>
                <w:p w14:paraId="5DE84A1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664" w:type="pct"/>
                  <w:tcBorders>
                    <w:tl2br w:val="nil"/>
                    <w:tr2bl w:val="nil"/>
                  </w:tcBorders>
                  <w:vAlign w:val="center"/>
                </w:tcPr>
                <w:p w14:paraId="336F0B3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生产废水</w:t>
                  </w:r>
                </w:p>
              </w:tc>
              <w:tc>
                <w:tcPr>
                  <w:tcW w:w="1849" w:type="pct"/>
                  <w:tcBorders>
                    <w:tl2br w:val="nil"/>
                    <w:tr2bl w:val="nil"/>
                  </w:tcBorders>
                  <w:vAlign w:val="center"/>
                </w:tcPr>
                <w:p w14:paraId="460DA23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407" w:type="pct"/>
                  <w:tcBorders>
                    <w:tl2br w:val="nil"/>
                    <w:tr2bl w:val="nil"/>
                  </w:tcBorders>
                  <w:vAlign w:val="center"/>
                </w:tcPr>
                <w:p w14:paraId="1415913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1个600m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的浊循环水池</w:t>
                  </w:r>
                </w:p>
              </w:tc>
              <w:tc>
                <w:tcPr>
                  <w:tcW w:w="712" w:type="pct"/>
                  <w:tcBorders>
                    <w:tl2br w:val="nil"/>
                    <w:tr2bl w:val="nil"/>
                  </w:tcBorders>
                  <w:vAlign w:val="center"/>
                </w:tcPr>
                <w:p w14:paraId="1A6FE3E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11.0</w:t>
                  </w:r>
                </w:p>
              </w:tc>
            </w:tr>
            <w:tr w14:paraId="271B55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5" w:type="pct"/>
                  <w:vMerge w:val="continue"/>
                  <w:tcBorders>
                    <w:tl2br w:val="nil"/>
                    <w:tr2bl w:val="nil"/>
                  </w:tcBorders>
                  <w:vAlign w:val="center"/>
                </w:tcPr>
                <w:p w14:paraId="26A663FD">
                  <w:pPr>
                    <w:jc w:val="center"/>
                    <w:rPr>
                      <w:rFonts w:hint="default" w:ascii="Times New Roman" w:hAnsi="Times New Roman" w:cs="Times New Roman"/>
                      <w:color w:val="auto"/>
                      <w:sz w:val="18"/>
                      <w:szCs w:val="18"/>
                    </w:rPr>
                  </w:pPr>
                </w:p>
              </w:tc>
              <w:tc>
                <w:tcPr>
                  <w:tcW w:w="664" w:type="pct"/>
                  <w:vMerge w:val="restart"/>
                  <w:tcBorders>
                    <w:tl2br w:val="nil"/>
                    <w:tr2bl w:val="nil"/>
                  </w:tcBorders>
                  <w:vAlign w:val="center"/>
                </w:tcPr>
                <w:p w14:paraId="5856A2F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生活污水</w:t>
                  </w:r>
                </w:p>
              </w:tc>
              <w:tc>
                <w:tcPr>
                  <w:tcW w:w="1849" w:type="pct"/>
                  <w:tcBorders>
                    <w:tl2br w:val="nil"/>
                    <w:tr2bl w:val="nil"/>
                  </w:tcBorders>
                  <w:vAlign w:val="center"/>
                </w:tcPr>
                <w:p w14:paraId="0EB7F26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1个10m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的化粪池。</w:t>
                  </w:r>
                </w:p>
              </w:tc>
              <w:tc>
                <w:tcPr>
                  <w:tcW w:w="1407" w:type="pct"/>
                  <w:tcBorders>
                    <w:tl2br w:val="nil"/>
                    <w:tr2bl w:val="nil"/>
                  </w:tcBorders>
                  <w:vAlign w:val="center"/>
                </w:tcPr>
                <w:p w14:paraId="41DBCE4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利旧</w:t>
                  </w:r>
                </w:p>
              </w:tc>
              <w:tc>
                <w:tcPr>
                  <w:tcW w:w="712" w:type="pct"/>
                  <w:tcBorders>
                    <w:tl2br w:val="nil"/>
                    <w:tr2bl w:val="nil"/>
                  </w:tcBorders>
                  <w:vAlign w:val="center"/>
                </w:tcPr>
                <w:p w14:paraId="2885911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14:paraId="6DB7E7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5" w:type="pct"/>
                  <w:vMerge w:val="continue"/>
                  <w:tcBorders>
                    <w:tl2br w:val="nil"/>
                    <w:tr2bl w:val="nil"/>
                  </w:tcBorders>
                  <w:vAlign w:val="center"/>
                </w:tcPr>
                <w:p w14:paraId="454D128C">
                  <w:pPr>
                    <w:jc w:val="center"/>
                    <w:rPr>
                      <w:rFonts w:hint="default" w:ascii="Times New Roman" w:hAnsi="Times New Roman" w:cs="Times New Roman"/>
                      <w:color w:val="auto"/>
                      <w:sz w:val="18"/>
                      <w:szCs w:val="18"/>
                    </w:rPr>
                  </w:pPr>
                </w:p>
              </w:tc>
              <w:tc>
                <w:tcPr>
                  <w:tcW w:w="664" w:type="pct"/>
                  <w:vMerge w:val="continue"/>
                  <w:tcBorders>
                    <w:tl2br w:val="nil"/>
                    <w:tr2bl w:val="nil"/>
                  </w:tcBorders>
                  <w:vAlign w:val="center"/>
                </w:tcPr>
                <w:p w14:paraId="07E3ABD1">
                  <w:pPr>
                    <w:jc w:val="center"/>
                    <w:rPr>
                      <w:rFonts w:hint="default" w:ascii="Times New Roman" w:hAnsi="Times New Roman" w:cs="Times New Roman"/>
                      <w:color w:val="auto"/>
                      <w:sz w:val="18"/>
                      <w:szCs w:val="18"/>
                    </w:rPr>
                  </w:pPr>
                </w:p>
              </w:tc>
              <w:tc>
                <w:tcPr>
                  <w:tcW w:w="1849" w:type="pct"/>
                  <w:tcBorders>
                    <w:tl2br w:val="nil"/>
                    <w:tr2bl w:val="nil"/>
                  </w:tcBorders>
                  <w:vAlign w:val="center"/>
                </w:tcPr>
                <w:p w14:paraId="0BF94C1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407" w:type="pct"/>
                  <w:tcBorders>
                    <w:tl2br w:val="nil"/>
                    <w:tr2bl w:val="nil"/>
                  </w:tcBorders>
                  <w:vAlign w:val="center"/>
                </w:tcPr>
                <w:p w14:paraId="40F9184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1个6m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的化粪池。</w:t>
                  </w:r>
                </w:p>
              </w:tc>
              <w:tc>
                <w:tcPr>
                  <w:tcW w:w="712" w:type="pct"/>
                  <w:tcBorders>
                    <w:tl2br w:val="nil"/>
                    <w:tr2bl w:val="nil"/>
                  </w:tcBorders>
                  <w:vAlign w:val="center"/>
                </w:tcPr>
                <w:p w14:paraId="46B0003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w:t>
                  </w:r>
                </w:p>
              </w:tc>
            </w:tr>
            <w:tr w14:paraId="02E4EC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5" w:type="pct"/>
                  <w:vMerge w:val="continue"/>
                  <w:tcBorders>
                    <w:tl2br w:val="nil"/>
                    <w:tr2bl w:val="nil"/>
                  </w:tcBorders>
                  <w:vAlign w:val="center"/>
                </w:tcPr>
                <w:p w14:paraId="434EC08D">
                  <w:pPr>
                    <w:jc w:val="center"/>
                    <w:rPr>
                      <w:rFonts w:hint="default" w:ascii="Times New Roman" w:hAnsi="Times New Roman" w:cs="Times New Roman"/>
                      <w:color w:val="auto"/>
                      <w:sz w:val="18"/>
                      <w:szCs w:val="18"/>
                    </w:rPr>
                  </w:pPr>
                </w:p>
              </w:tc>
              <w:tc>
                <w:tcPr>
                  <w:tcW w:w="664" w:type="pct"/>
                  <w:tcBorders>
                    <w:tl2br w:val="nil"/>
                    <w:tr2bl w:val="nil"/>
                  </w:tcBorders>
                  <w:vAlign w:val="center"/>
                </w:tcPr>
                <w:p w14:paraId="6115540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初期雨水</w:t>
                  </w:r>
                </w:p>
              </w:tc>
              <w:tc>
                <w:tcPr>
                  <w:tcW w:w="1849" w:type="pct"/>
                  <w:tcBorders>
                    <w:tl2br w:val="nil"/>
                    <w:tr2bl w:val="nil"/>
                  </w:tcBorders>
                  <w:vAlign w:val="center"/>
                </w:tcPr>
                <w:p w14:paraId="0A459E8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1个80m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的初期雨水收集池。</w:t>
                  </w:r>
                </w:p>
              </w:tc>
              <w:tc>
                <w:tcPr>
                  <w:tcW w:w="1407" w:type="pct"/>
                  <w:tcBorders>
                    <w:tl2br w:val="nil"/>
                    <w:tr2bl w:val="nil"/>
                  </w:tcBorders>
                  <w:vAlign w:val="center"/>
                </w:tcPr>
                <w:p w14:paraId="2BDFA94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利旧</w:t>
                  </w:r>
                </w:p>
              </w:tc>
              <w:tc>
                <w:tcPr>
                  <w:tcW w:w="712" w:type="pct"/>
                  <w:tcBorders>
                    <w:tl2br w:val="nil"/>
                    <w:tr2bl w:val="nil"/>
                  </w:tcBorders>
                  <w:vAlign w:val="center"/>
                </w:tcPr>
                <w:p w14:paraId="3E6D51B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14:paraId="08FB8F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5" w:type="pct"/>
                  <w:tcBorders>
                    <w:tl2br w:val="nil"/>
                    <w:tr2bl w:val="nil"/>
                  </w:tcBorders>
                  <w:vAlign w:val="center"/>
                </w:tcPr>
                <w:p w14:paraId="23571F8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w:t>
                  </w:r>
                </w:p>
              </w:tc>
              <w:tc>
                <w:tcPr>
                  <w:tcW w:w="664" w:type="pct"/>
                  <w:tcBorders>
                    <w:tl2br w:val="nil"/>
                    <w:tr2bl w:val="nil"/>
                  </w:tcBorders>
                  <w:vAlign w:val="center"/>
                </w:tcPr>
                <w:p w14:paraId="6061509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设备噪声</w:t>
                  </w:r>
                </w:p>
              </w:tc>
              <w:tc>
                <w:tcPr>
                  <w:tcW w:w="1849" w:type="pct"/>
                  <w:tcBorders>
                    <w:tl2br w:val="nil"/>
                    <w:tr2bl w:val="nil"/>
                  </w:tcBorders>
                  <w:vAlign w:val="center"/>
                </w:tcPr>
                <w:p w14:paraId="105E8E5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407" w:type="pct"/>
                  <w:tcBorders>
                    <w:tl2br w:val="nil"/>
                    <w:tr2bl w:val="nil"/>
                  </w:tcBorders>
                  <w:vAlign w:val="center"/>
                </w:tcPr>
                <w:p w14:paraId="1686C03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穿孔机、微张力减径机、风机、水泵安装减振垫、消声器、厂房隔声</w:t>
                  </w:r>
                </w:p>
              </w:tc>
              <w:tc>
                <w:tcPr>
                  <w:tcW w:w="712" w:type="pct"/>
                  <w:tcBorders>
                    <w:tl2br w:val="nil"/>
                    <w:tr2bl w:val="nil"/>
                  </w:tcBorders>
                  <w:vAlign w:val="center"/>
                </w:tcPr>
                <w:p w14:paraId="4A891BC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w:t>
                  </w:r>
                </w:p>
              </w:tc>
            </w:tr>
            <w:tr w14:paraId="2D4D58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5" w:type="pct"/>
                  <w:vMerge w:val="restart"/>
                  <w:tcBorders>
                    <w:tl2br w:val="nil"/>
                    <w:tr2bl w:val="nil"/>
                  </w:tcBorders>
                  <w:vAlign w:val="center"/>
                </w:tcPr>
                <w:p w14:paraId="35C33597">
                  <w:pPr>
                    <w:widowControl/>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w:t>
                  </w:r>
                </w:p>
              </w:tc>
              <w:tc>
                <w:tcPr>
                  <w:tcW w:w="664" w:type="pct"/>
                  <w:tcBorders>
                    <w:tl2br w:val="nil"/>
                    <w:tr2bl w:val="nil"/>
                  </w:tcBorders>
                  <w:vAlign w:val="center"/>
                </w:tcPr>
                <w:p w14:paraId="1CEBAA9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生活垃圾</w:t>
                  </w:r>
                </w:p>
              </w:tc>
              <w:tc>
                <w:tcPr>
                  <w:tcW w:w="1849" w:type="pct"/>
                  <w:tcBorders>
                    <w:tl2br w:val="nil"/>
                    <w:tr2bl w:val="nil"/>
                  </w:tcBorders>
                  <w:vAlign w:val="center"/>
                </w:tcPr>
                <w:p w14:paraId="17FD0AD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现有垃圾储存设施</w:t>
                  </w:r>
                </w:p>
              </w:tc>
              <w:tc>
                <w:tcPr>
                  <w:tcW w:w="1407" w:type="pct"/>
                  <w:tcBorders>
                    <w:tl2br w:val="nil"/>
                    <w:tr2bl w:val="nil"/>
                  </w:tcBorders>
                  <w:vAlign w:val="center"/>
                </w:tcPr>
                <w:p w14:paraId="6195068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生产区内本次新增垃圾桶，收集后委托园区环卫部门处置</w:t>
                  </w:r>
                </w:p>
              </w:tc>
              <w:tc>
                <w:tcPr>
                  <w:tcW w:w="712" w:type="pct"/>
                  <w:tcBorders>
                    <w:tl2br w:val="nil"/>
                    <w:tr2bl w:val="nil"/>
                  </w:tcBorders>
                  <w:vAlign w:val="center"/>
                </w:tcPr>
                <w:p w14:paraId="2D2987D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r>
            <w:tr w14:paraId="4274D7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5" w:type="pct"/>
                  <w:vMerge w:val="continue"/>
                  <w:tcBorders>
                    <w:tl2br w:val="nil"/>
                    <w:tr2bl w:val="nil"/>
                  </w:tcBorders>
                  <w:vAlign w:val="center"/>
                </w:tcPr>
                <w:p w14:paraId="0B57DA21">
                  <w:pPr>
                    <w:widowControl/>
                    <w:jc w:val="left"/>
                    <w:rPr>
                      <w:rFonts w:hint="default" w:ascii="Times New Roman" w:hAnsi="Times New Roman" w:cs="Times New Roman"/>
                      <w:color w:val="auto"/>
                      <w:sz w:val="18"/>
                      <w:szCs w:val="18"/>
                    </w:rPr>
                  </w:pPr>
                </w:p>
              </w:tc>
              <w:tc>
                <w:tcPr>
                  <w:tcW w:w="664" w:type="pct"/>
                  <w:tcBorders>
                    <w:tl2br w:val="nil"/>
                    <w:tr2bl w:val="nil"/>
                  </w:tcBorders>
                  <w:vAlign w:val="center"/>
                </w:tcPr>
                <w:p w14:paraId="4457D96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废机油</w:t>
                  </w:r>
                </w:p>
              </w:tc>
              <w:tc>
                <w:tcPr>
                  <w:tcW w:w="1849" w:type="pct"/>
                  <w:tcBorders>
                    <w:tl2br w:val="nil"/>
                    <w:tr2bl w:val="nil"/>
                  </w:tcBorders>
                  <w:vAlign w:val="center"/>
                </w:tcPr>
                <w:p w14:paraId="793C7E89">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公司现在生产车间内设置1座危险废物贮存库</w:t>
                  </w:r>
                </w:p>
              </w:tc>
              <w:tc>
                <w:tcPr>
                  <w:tcW w:w="1407" w:type="pct"/>
                  <w:tcBorders>
                    <w:tl2br w:val="nil"/>
                    <w:tr2bl w:val="nil"/>
                  </w:tcBorders>
                  <w:vAlign w:val="center"/>
                </w:tcPr>
                <w:p w14:paraId="20CF557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利旧</w:t>
                  </w:r>
                </w:p>
              </w:tc>
              <w:tc>
                <w:tcPr>
                  <w:tcW w:w="712" w:type="pct"/>
                  <w:tcBorders>
                    <w:tl2br w:val="nil"/>
                    <w:tr2bl w:val="nil"/>
                  </w:tcBorders>
                  <w:vAlign w:val="center"/>
                </w:tcPr>
                <w:p w14:paraId="4D0E8E4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14:paraId="76A009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5" w:type="pct"/>
                  <w:vMerge w:val="restart"/>
                  <w:tcBorders>
                    <w:tl2br w:val="nil"/>
                    <w:tr2bl w:val="nil"/>
                  </w:tcBorders>
                  <w:vAlign w:val="center"/>
                </w:tcPr>
                <w:p w14:paraId="39AFF83E">
                  <w:pPr>
                    <w:widowControl/>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地下水、土壤</w:t>
                  </w:r>
                </w:p>
              </w:tc>
              <w:tc>
                <w:tcPr>
                  <w:tcW w:w="664" w:type="pct"/>
                  <w:tcBorders>
                    <w:tl2br w:val="nil"/>
                    <w:tr2bl w:val="nil"/>
                  </w:tcBorders>
                  <w:vAlign w:val="center"/>
                </w:tcPr>
                <w:p w14:paraId="6038BF1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重点防渗区</w:t>
                  </w:r>
                </w:p>
              </w:tc>
              <w:tc>
                <w:tcPr>
                  <w:tcW w:w="1849" w:type="pct"/>
                  <w:tcBorders>
                    <w:tl2br w:val="nil"/>
                    <w:tr2bl w:val="nil"/>
                  </w:tcBorders>
                  <w:vAlign w:val="center"/>
                </w:tcPr>
                <w:p w14:paraId="49859F23">
                  <w:pPr>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危险废物贮存库依托现有，根据调查，其已按照《危险废物贮存污染控制标准》（GB18597-2023）要求进行了建设，满足K≤1×10</w:t>
                  </w:r>
                  <w:r>
                    <w:rPr>
                      <w:rFonts w:hint="default" w:ascii="Times New Roman" w:hAnsi="Times New Roman" w:cs="Times New Roman"/>
                      <w:color w:val="auto"/>
                      <w:sz w:val="18"/>
                      <w:szCs w:val="18"/>
                      <w:vertAlign w:val="superscript"/>
                    </w:rPr>
                    <w:t>-10</w:t>
                  </w:r>
                  <w:r>
                    <w:rPr>
                      <w:rFonts w:hint="default" w:ascii="Times New Roman" w:hAnsi="Times New Roman" w:cs="Times New Roman"/>
                      <w:color w:val="auto"/>
                      <w:sz w:val="18"/>
                      <w:szCs w:val="18"/>
                    </w:rPr>
                    <w:t>cm/s的防渗能力要求。</w:t>
                  </w:r>
                </w:p>
              </w:tc>
              <w:tc>
                <w:tcPr>
                  <w:tcW w:w="1407" w:type="pct"/>
                  <w:tcBorders>
                    <w:tl2br w:val="nil"/>
                    <w:tr2bl w:val="nil"/>
                  </w:tcBorders>
                  <w:vAlign w:val="center"/>
                </w:tcPr>
                <w:p w14:paraId="1D7B3A7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12" w:type="pct"/>
                  <w:tcBorders>
                    <w:tl2br w:val="nil"/>
                    <w:tr2bl w:val="nil"/>
                  </w:tcBorders>
                  <w:vAlign w:val="center"/>
                </w:tcPr>
                <w:p w14:paraId="0F32CD4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14:paraId="6BA477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5" w:type="pct"/>
                  <w:vMerge w:val="continue"/>
                  <w:tcBorders>
                    <w:tl2br w:val="nil"/>
                    <w:tr2bl w:val="nil"/>
                  </w:tcBorders>
                  <w:vAlign w:val="center"/>
                </w:tcPr>
                <w:p w14:paraId="7BA826AD">
                  <w:pPr>
                    <w:widowControl/>
                    <w:jc w:val="left"/>
                    <w:rPr>
                      <w:rFonts w:hint="default" w:ascii="Times New Roman" w:hAnsi="Times New Roman" w:cs="Times New Roman"/>
                      <w:color w:val="auto"/>
                      <w:sz w:val="18"/>
                      <w:szCs w:val="18"/>
                    </w:rPr>
                  </w:pPr>
                </w:p>
              </w:tc>
              <w:tc>
                <w:tcPr>
                  <w:tcW w:w="664" w:type="pct"/>
                  <w:tcBorders>
                    <w:tl2br w:val="nil"/>
                    <w:tr2bl w:val="nil"/>
                  </w:tcBorders>
                  <w:vAlign w:val="center"/>
                </w:tcPr>
                <w:p w14:paraId="045DCBF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一般防渗区</w:t>
                  </w:r>
                </w:p>
              </w:tc>
              <w:tc>
                <w:tcPr>
                  <w:tcW w:w="1849" w:type="pct"/>
                  <w:tcBorders>
                    <w:tl2br w:val="nil"/>
                    <w:tr2bl w:val="nil"/>
                  </w:tcBorders>
                  <w:vAlign w:val="center"/>
                </w:tcPr>
                <w:p w14:paraId="7A7272A9">
                  <w:pPr>
                    <w:pStyle w:val="4"/>
                    <w:autoSpaceDE w:val="0"/>
                    <w:ind w:firstLine="0"/>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化粪池（10m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）、初期雨水收集池、无缝钢管车间、成品库依托现有，根据调查，其已采用厚度15cm的C20混凝土浇注作为防渗漏措施，防渗满足《环境影响评价技术导则  地下水环境》（HJ610-2016）中一般防渗区等效黏土防渗层Mb≥1.5m，K≤1×10</w:t>
                  </w:r>
                  <w:r>
                    <w:rPr>
                      <w:rFonts w:hint="default" w:ascii="Times New Roman" w:hAnsi="Times New Roman" w:cs="Times New Roman"/>
                      <w:color w:val="auto"/>
                      <w:sz w:val="18"/>
                      <w:szCs w:val="18"/>
                      <w:vertAlign w:val="superscript"/>
                    </w:rPr>
                    <w:t>-7</w:t>
                  </w:r>
                  <w:r>
                    <w:rPr>
                      <w:rFonts w:hint="default" w:ascii="Times New Roman" w:hAnsi="Times New Roman" w:cs="Times New Roman"/>
                      <w:color w:val="auto"/>
                      <w:sz w:val="18"/>
                      <w:szCs w:val="18"/>
                    </w:rPr>
                    <w:t>cm/s的防渗能力要求。</w:t>
                  </w:r>
                </w:p>
              </w:tc>
              <w:tc>
                <w:tcPr>
                  <w:tcW w:w="1407" w:type="pct"/>
                  <w:tcBorders>
                    <w:tl2br w:val="nil"/>
                    <w:tr2bl w:val="nil"/>
                  </w:tcBorders>
                  <w:vAlign w:val="center"/>
                </w:tcPr>
                <w:p w14:paraId="256444A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化粪池（6m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）、循环水池为本次新建，要求严格按照《环境影响评价技术导则  地下水环境》（HJ610-2016）中的一般防渗区要求进行防渗，确保防渗效果等效于厚度≥1.5m，渗透系数≤1×10</w:t>
                  </w:r>
                  <w:r>
                    <w:rPr>
                      <w:rFonts w:hint="default" w:ascii="Times New Roman" w:hAnsi="Times New Roman" w:cs="Times New Roman"/>
                      <w:color w:val="auto"/>
                      <w:sz w:val="18"/>
                      <w:szCs w:val="18"/>
                      <w:vertAlign w:val="superscript"/>
                    </w:rPr>
                    <w:t>-7</w:t>
                  </w:r>
                  <w:r>
                    <w:rPr>
                      <w:rFonts w:hint="default" w:ascii="Times New Roman" w:hAnsi="Times New Roman" w:cs="Times New Roman"/>
                      <w:color w:val="auto"/>
                      <w:sz w:val="18"/>
                      <w:szCs w:val="18"/>
                    </w:rPr>
                    <w:t>cm/s）的黏土防渗效能。</w:t>
                  </w:r>
                </w:p>
              </w:tc>
              <w:tc>
                <w:tcPr>
                  <w:tcW w:w="712" w:type="pct"/>
                  <w:tcBorders>
                    <w:tl2br w:val="nil"/>
                    <w:tr2bl w:val="nil"/>
                  </w:tcBorders>
                  <w:vAlign w:val="center"/>
                </w:tcPr>
                <w:p w14:paraId="64B0A0B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w:t>
                  </w:r>
                </w:p>
              </w:tc>
            </w:tr>
            <w:tr w14:paraId="421100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5" w:type="pct"/>
                  <w:vMerge w:val="continue"/>
                  <w:tcBorders>
                    <w:tl2br w:val="nil"/>
                    <w:tr2bl w:val="nil"/>
                  </w:tcBorders>
                  <w:vAlign w:val="center"/>
                </w:tcPr>
                <w:p w14:paraId="3D508A78">
                  <w:pPr>
                    <w:widowControl/>
                    <w:jc w:val="left"/>
                    <w:rPr>
                      <w:rFonts w:hint="default" w:ascii="Times New Roman" w:hAnsi="Times New Roman" w:cs="Times New Roman"/>
                      <w:color w:val="auto"/>
                      <w:sz w:val="18"/>
                      <w:szCs w:val="18"/>
                    </w:rPr>
                  </w:pPr>
                </w:p>
              </w:tc>
              <w:tc>
                <w:tcPr>
                  <w:tcW w:w="664" w:type="pct"/>
                  <w:tcBorders>
                    <w:tl2br w:val="nil"/>
                    <w:tr2bl w:val="nil"/>
                  </w:tcBorders>
                  <w:vAlign w:val="center"/>
                </w:tcPr>
                <w:p w14:paraId="03C2306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简单防渗区</w:t>
                  </w:r>
                </w:p>
              </w:tc>
              <w:tc>
                <w:tcPr>
                  <w:tcW w:w="1849" w:type="pct"/>
                  <w:tcBorders>
                    <w:tl2br w:val="nil"/>
                    <w:tr2bl w:val="nil"/>
                  </w:tcBorders>
                  <w:vAlign w:val="center"/>
                </w:tcPr>
                <w:p w14:paraId="433E0E3D">
                  <w:pPr>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办公区、磅房、道路、大门值班室依托现有，已采用一般水泥硬化处理。</w:t>
                  </w:r>
                </w:p>
              </w:tc>
              <w:tc>
                <w:tcPr>
                  <w:tcW w:w="1407" w:type="pct"/>
                  <w:tcBorders>
                    <w:tl2br w:val="nil"/>
                    <w:tr2bl w:val="nil"/>
                  </w:tcBorders>
                  <w:vAlign w:val="center"/>
                </w:tcPr>
                <w:p w14:paraId="7A32058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12" w:type="pct"/>
                  <w:tcBorders>
                    <w:tl2br w:val="nil"/>
                    <w:tr2bl w:val="nil"/>
                  </w:tcBorders>
                  <w:vAlign w:val="center"/>
                </w:tcPr>
                <w:p w14:paraId="2CED71B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14:paraId="15278F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0" w:type="pct"/>
                  <w:gridSpan w:val="2"/>
                  <w:tcBorders>
                    <w:tl2br w:val="nil"/>
                    <w:tr2bl w:val="nil"/>
                  </w:tcBorders>
                  <w:vAlign w:val="center"/>
                </w:tcPr>
                <w:p w14:paraId="76BCEDD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风险</w:t>
                  </w:r>
                </w:p>
              </w:tc>
              <w:tc>
                <w:tcPr>
                  <w:tcW w:w="1849" w:type="pct"/>
                  <w:tcBorders>
                    <w:tl2br w:val="nil"/>
                    <w:tr2bl w:val="nil"/>
                  </w:tcBorders>
                  <w:vAlign w:val="center"/>
                </w:tcPr>
                <w:p w14:paraId="77F6B225">
                  <w:pPr>
                    <w:pStyle w:val="4"/>
                    <w:autoSpaceDE w:val="0"/>
                    <w:ind w:firstLine="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根据消防部门的要求配置消防设施，加强管理。</w:t>
                  </w:r>
                </w:p>
              </w:tc>
              <w:tc>
                <w:tcPr>
                  <w:tcW w:w="1407" w:type="pct"/>
                  <w:tcBorders>
                    <w:tl2br w:val="nil"/>
                    <w:tr2bl w:val="nil"/>
                  </w:tcBorders>
                  <w:vAlign w:val="center"/>
                </w:tcPr>
                <w:p w14:paraId="08366C4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12" w:type="pct"/>
                  <w:tcBorders>
                    <w:tl2br w:val="nil"/>
                    <w:tr2bl w:val="nil"/>
                  </w:tcBorders>
                  <w:vAlign w:val="center"/>
                </w:tcPr>
                <w:p w14:paraId="07EA1B6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14:paraId="2EB896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0" w:type="pct"/>
                  <w:gridSpan w:val="2"/>
                  <w:tcBorders>
                    <w:tl2br w:val="nil"/>
                    <w:tr2bl w:val="nil"/>
                  </w:tcBorders>
                  <w:vAlign w:val="center"/>
                </w:tcPr>
                <w:p w14:paraId="177507A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849" w:type="pct"/>
                  <w:tcBorders>
                    <w:tl2br w:val="nil"/>
                    <w:tr2bl w:val="nil"/>
                  </w:tcBorders>
                  <w:vAlign w:val="center"/>
                </w:tcPr>
                <w:p w14:paraId="7FB2971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407" w:type="pct"/>
                  <w:tcBorders>
                    <w:tl2br w:val="nil"/>
                    <w:tr2bl w:val="nil"/>
                  </w:tcBorders>
                  <w:vAlign w:val="center"/>
                </w:tcPr>
                <w:p w14:paraId="015AFA8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本次新增环保投资合计</w:t>
                  </w:r>
                </w:p>
              </w:tc>
              <w:tc>
                <w:tcPr>
                  <w:tcW w:w="712" w:type="pct"/>
                  <w:tcBorders>
                    <w:tl2br w:val="nil"/>
                    <w:tr2bl w:val="nil"/>
                  </w:tcBorders>
                  <w:vAlign w:val="center"/>
                </w:tcPr>
                <w:p w14:paraId="1A4A47FE">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28.5</w:t>
                  </w:r>
                </w:p>
              </w:tc>
            </w:tr>
            <w:bookmarkEnd w:id="40"/>
          </w:tbl>
          <w:p w14:paraId="24469B95">
            <w:pPr>
              <w:pStyle w:val="102"/>
              <w:ind w:firstLine="0" w:firstLineChars="0"/>
              <w:rPr>
                <w:rFonts w:hint="default" w:ascii="Times New Roman" w:hAnsi="Times New Roman" w:cs="Times New Roman"/>
                <w:color w:val="auto"/>
                <w:sz w:val="24"/>
              </w:rPr>
            </w:pPr>
          </w:p>
        </w:tc>
      </w:tr>
      <w:tr w14:paraId="7F0943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478" w:type="dxa"/>
            <w:vAlign w:val="center"/>
          </w:tcPr>
          <w:p w14:paraId="7D4987AD">
            <w:pPr>
              <w:pStyle w:val="31"/>
              <w:adjustRightInd w:val="0"/>
              <w:snapToGrid w:val="0"/>
              <w:spacing w:before="0" w:beforeAutospacing="0" w:after="0" w:afterAutospacing="0" w:line="360" w:lineRule="auto"/>
              <w:jc w:val="center"/>
              <w:rPr>
                <w:rFonts w:hint="default" w:ascii="Times New Roman" w:hAnsi="Times New Roman" w:cs="Times New Roman"/>
                <w:b/>
                <w:bCs/>
                <w:color w:val="auto"/>
                <w:kern w:val="2"/>
                <w:szCs w:val="24"/>
              </w:rPr>
            </w:pPr>
            <w:r>
              <w:rPr>
                <w:rFonts w:hint="default" w:ascii="Times New Roman" w:hAnsi="Times New Roman" w:cs="Times New Roman"/>
                <w:b/>
                <w:bCs/>
                <w:color w:val="auto"/>
                <w:szCs w:val="24"/>
              </w:rPr>
              <w:t>工艺流程和产排污环节</w:t>
            </w:r>
          </w:p>
        </w:tc>
        <w:tc>
          <w:tcPr>
            <w:tcW w:w="8501" w:type="dxa"/>
          </w:tcPr>
          <w:p w14:paraId="08E6EA0B">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
                <w:color w:val="auto"/>
                <w:sz w:val="24"/>
              </w:rPr>
              <w:t>1、</w:t>
            </w:r>
            <w:r>
              <w:rPr>
                <w:rFonts w:hint="default" w:ascii="Times New Roman" w:hAnsi="Times New Roman" w:eastAsia="黑体" w:cs="Times New Roman"/>
                <w:bCs/>
                <w:color w:val="auto"/>
                <w:sz w:val="24"/>
              </w:rPr>
              <w:t>项目施工期工艺流程</w:t>
            </w:r>
          </w:p>
          <w:p w14:paraId="1DAD5495">
            <w:pPr>
              <w:pStyle w:val="14"/>
              <w:spacing w:after="0" w:line="360" w:lineRule="auto"/>
              <w:ind w:left="0" w:leftChars="0"/>
              <w:rPr>
                <w:rFonts w:hint="default" w:ascii="Times New Roman" w:hAnsi="Times New Roman" w:cs="Times New Roman"/>
                <w:color w:val="auto"/>
              </w:rPr>
            </w:pPr>
            <w:r>
              <w:rPr>
                <w:rFonts w:hint="default" w:ascii="Times New Roman" w:hAnsi="Times New Roman" w:cs="Times New Roman"/>
                <w:b/>
                <w:bCs/>
                <w:color w:val="auto"/>
                <w:szCs w:val="24"/>
              </w:rPr>
              <w:t>1.1施工期工艺流程</w:t>
            </w:r>
          </w:p>
          <w:p w14:paraId="1D928E87">
            <w:pPr>
              <w:pStyle w:val="14"/>
              <w:spacing w:after="0" w:line="360" w:lineRule="auto"/>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rPr>
              <w:t>该项目</w:t>
            </w:r>
            <w:bookmarkStart w:id="41" w:name="_Hlk220332504"/>
            <w:r>
              <w:rPr>
                <w:rFonts w:hint="default" w:ascii="Times New Roman" w:hAnsi="Times New Roman" w:cs="Times New Roman"/>
                <w:color w:val="auto"/>
              </w:rPr>
              <w:t>改造利用现有的生产厂房，同时进行设备安装及环保设施的建设</w:t>
            </w:r>
            <w:bookmarkEnd w:id="41"/>
            <w:r>
              <w:rPr>
                <w:rFonts w:hint="default" w:ascii="Times New Roman" w:hAnsi="Times New Roman" w:cs="Times New Roman"/>
                <w:color w:val="auto"/>
              </w:rPr>
              <w:t>，因此项目不涉及“三通一平”。工程施工时采用机械结合人工的施工方法。</w:t>
            </w:r>
          </w:p>
          <w:p w14:paraId="1A72A5F0">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项目施工工序及产污节点分析如下所示：</w:t>
            </w:r>
          </w:p>
          <w:p w14:paraId="3B54BA4F">
            <w:pPr>
              <w:pStyle w:val="14"/>
              <w:spacing w:after="0" w:line="360" w:lineRule="auto"/>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rPr>
              <w:object>
                <v:shape id="_x0000_i1028" o:spt="75" type="#_x0000_t75" style="height:105.75pt;width:328.5pt;" o:ole="t" filled="f" o:preferrelative="t" stroked="f" coordsize="21600,21600">
                  <v:path/>
                  <v:fill on="f" focussize="0,0"/>
                  <v:stroke on="f" joinstyle="miter"/>
                  <v:imagedata r:id="rId17" o:title=""/>
                  <o:lock v:ext="edit" aspectratio="t"/>
                  <w10:wrap type="none"/>
                  <w10:anchorlock/>
                </v:shape>
                <o:OLEObject Type="Embed" ProgID="Visio.Drawing.11" ShapeID="_x0000_i1028" DrawAspect="Content" ObjectID="_1468075728" r:id="rId16">
                  <o:LockedField>false</o:LockedField>
                </o:OLEObject>
              </w:object>
            </w:r>
          </w:p>
          <w:p w14:paraId="3C7C4589">
            <w:pPr>
              <w:pStyle w:val="18"/>
              <w:spacing w:line="360" w:lineRule="auto"/>
              <w:jc w:val="center"/>
              <w:rPr>
                <w:rFonts w:hint="default" w:ascii="Times New Roman" w:hAnsi="Times New Roman" w:eastAsia="黑体" w:cs="Times New Roman"/>
                <w:color w:val="auto"/>
                <w:sz w:val="21"/>
              </w:rPr>
            </w:pPr>
            <w:r>
              <w:rPr>
                <w:rFonts w:hint="default" w:ascii="Times New Roman" w:hAnsi="Times New Roman" w:eastAsia="黑体" w:cs="Times New Roman"/>
                <w:color w:val="auto"/>
                <w:sz w:val="21"/>
              </w:rPr>
              <w:t>图2-4  施工期工艺流程及产污节点图</w:t>
            </w:r>
          </w:p>
          <w:p w14:paraId="068474A3">
            <w:pPr>
              <w:autoSpaceDE w:val="0"/>
              <w:autoSpaceDN w:val="0"/>
              <w:spacing w:before="120" w:beforeLines="50"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1.2施工进度</w:t>
            </w:r>
          </w:p>
          <w:p w14:paraId="227B38DB">
            <w:pPr>
              <w:autoSpaceDE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项目于2024年9月开工建设，2025年2月建成，但未投入运行。</w:t>
            </w:r>
          </w:p>
          <w:p w14:paraId="6C40E067">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
                <w:color w:val="auto"/>
                <w:sz w:val="24"/>
              </w:rPr>
              <w:t>2、</w:t>
            </w:r>
            <w:r>
              <w:rPr>
                <w:rFonts w:hint="default" w:ascii="Times New Roman" w:hAnsi="Times New Roman" w:eastAsia="黑体" w:cs="Times New Roman"/>
                <w:bCs/>
                <w:color w:val="auto"/>
                <w:sz w:val="24"/>
              </w:rPr>
              <w:t>项目运营期主要工艺流程</w:t>
            </w:r>
          </w:p>
          <w:p w14:paraId="0FEDCE20">
            <w:pPr>
              <w:autoSpaceDE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2022年8月15日通海县发展和改革局下发的《关于通海南方钢铁有限公司新建年产3万吨无缝钢管生产线项目节能评审意见》（通发改〔2022〕61号）：该项目不属于《产业结构调整指导目录（2019年本）》淘汰类和限制类装置。根据项目节能报告，项目符合国家、行业相关文件及工业发展规划的要求；项目生产工艺采用熟拔，区别于传统热轧工艺，建设方案符合工业节能标准规范的要求。</w:t>
            </w:r>
          </w:p>
          <w:p w14:paraId="31095B19">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本项目采用的热拔工艺主要原理是在再结晶温度以上进行拉拔，通常用于生产圆柱截面的线材。热拔过程中，金属材料在高温下被拉伸，以达到所需的尺寸和形状。热拔可以改善材料的内部组织，提高其机械性能，其没有轧制工段。具体的生产工艺流程包括</w:t>
            </w:r>
            <w:bookmarkStart w:id="42" w:name="_Hlk220320883"/>
            <w:r>
              <w:rPr>
                <w:rFonts w:hint="default" w:ascii="Times New Roman" w:hAnsi="Times New Roman" w:cs="Times New Roman"/>
                <w:color w:val="auto"/>
                <w:kern w:val="0"/>
                <w:sz w:val="24"/>
              </w:rPr>
              <w:t>坯料轧前准备、管坯加热、穿孔、毛管补温、定减径、钢管冷却、钢管切头尾、分段、矫直、人工检查、打捆包装</w:t>
            </w:r>
            <w:bookmarkEnd w:id="42"/>
            <w:r>
              <w:rPr>
                <w:rFonts w:hint="default" w:ascii="Times New Roman" w:hAnsi="Times New Roman" w:cs="Times New Roman"/>
                <w:color w:val="auto"/>
                <w:kern w:val="0"/>
                <w:sz w:val="24"/>
              </w:rPr>
              <w:t>等基本工</w:t>
            </w:r>
            <w:r>
              <w:rPr>
                <w:rFonts w:hint="default" w:ascii="Times New Roman" w:hAnsi="Times New Roman" w:cs="Times New Roman"/>
                <w:color w:val="auto"/>
                <w:sz w:val="24"/>
              </w:rPr>
              <w:t>序。具体生产工艺见下表：</w:t>
            </w:r>
          </w:p>
          <w:p w14:paraId="4EF88DC5">
            <w:pPr>
              <w:autoSpaceDE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（1）坯料轧前准备</w:t>
            </w:r>
          </w:p>
          <w:p w14:paraId="3063A78B">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项目外购圆棒的规格为60—90圆棒，经检验合格后按成品需求长度通过液压剪剪切下料。</w:t>
            </w:r>
          </w:p>
          <w:p w14:paraId="7A1F4553">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此过程中会产生噪声及剪切废料。</w:t>
            </w:r>
          </w:p>
          <w:p w14:paraId="1CB38C72">
            <w:pPr>
              <w:autoSpaceDE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（2）管坯加热</w:t>
            </w:r>
          </w:p>
          <w:p w14:paraId="2F1FBEAB">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将经过液压剪剪切下料的管坯，进行加热以便后续的穿孔机组进行穿孔作业。</w:t>
            </w:r>
          </w:p>
          <w:p w14:paraId="6FE26402">
            <w:pPr>
              <w:autoSpaceDE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本项目管坯加热采用的是电感应加热炉，设计最大功率2000kW，12脉整流变压器1000V供电，最高加热温度1250℃。此过程中产生污染物主要为噪声。</w:t>
            </w:r>
          </w:p>
          <w:p w14:paraId="5B23A247">
            <w:pPr>
              <w:autoSpaceDE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（3）穿孔</w:t>
            </w:r>
          </w:p>
          <w:p w14:paraId="011559E2">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将实心的管坯变为空心的毛管；也可以称为定型，即将轧件断面定位圆环装，对穿孔工艺的要求是：首先要保证穿出的毛管壁厚均匀，椭圆度小，几何尺寸精度高；其次是毛管的内外表面要较光滑，不得有结疤、折叠、裂纹等缺陷；第三是要有相应的穿孔速度和轧制周期，以适应整个机组的生产节奏，使毛管的终轧温度能满足穿孔机的要求。</w:t>
            </w:r>
          </w:p>
          <w:p w14:paraId="2B25EFA5">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本项目配置CKJ89型穿孔机2台。</w:t>
            </w:r>
          </w:p>
          <w:p w14:paraId="69675DCA">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此过程中产生的污染物主要为噪声及固废。</w:t>
            </w:r>
          </w:p>
          <w:p w14:paraId="3D85F359">
            <w:pPr>
              <w:autoSpaceDE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（4）毛管补温</w:t>
            </w:r>
          </w:p>
          <w:p w14:paraId="56D58123">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穿孔后毛管温度会有所降低，采用电加热炉将毛管的温度加热到850℃。</w:t>
            </w:r>
          </w:p>
          <w:p w14:paraId="57C7F374">
            <w:pPr>
              <w:autoSpaceDE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（5）定减径</w:t>
            </w:r>
          </w:p>
          <w:p w14:paraId="2CD39DE1">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补温后的管子，进入定减径机组，大圆变小圆，简称定径；相应的设备为定（减）径机，其主要作用是消除前道工序穿孔过程中造成的荒管外径不一（同一支或同一批），以提高成品管的外径精度和真圆度。对定减径工艺的要求是：首先在一定的总减径率和较小的单机架减径率条件下来达到定径目的，第二可实现使用一种规格管坯生产多种规格成品管的任务，第三还可进一步改善钢管的外表面质量。</w:t>
            </w:r>
          </w:p>
          <w:p w14:paraId="4D5C9A6D">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本项目配置16架高精度3辊275机架减定径。</w:t>
            </w:r>
          </w:p>
          <w:p w14:paraId="749D31B1">
            <w:pPr>
              <w:autoSpaceDE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此过程中产生的污染物主要为噪声及固废。</w:t>
            </w:r>
          </w:p>
          <w:p w14:paraId="4D885B4C">
            <w:pPr>
              <w:autoSpaceDE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（6）钢管冷却</w:t>
            </w:r>
          </w:p>
          <w:p w14:paraId="0323402A">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定减径出来后的成品管送至链式冷床喷水进行缓冷，从而实现钢管的冷却，冷却至100℃以下。</w:t>
            </w:r>
          </w:p>
          <w:p w14:paraId="7A613EA8">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废水经收集后进入浊循环水池中循环回用，不外排。</w:t>
            </w:r>
          </w:p>
          <w:p w14:paraId="7FADA419">
            <w:pPr>
              <w:autoSpaceDE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（7）钢管矫直</w:t>
            </w:r>
          </w:p>
          <w:p w14:paraId="437D4798">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冷却后的成品无缝管通过一台80型精密9辊螺旋校直机校直进行机械矫直。</w:t>
            </w:r>
          </w:p>
          <w:p w14:paraId="38307D71">
            <w:pPr>
              <w:autoSpaceDE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（8）切头去尾分段</w:t>
            </w:r>
          </w:p>
          <w:p w14:paraId="37492F1E">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经过矫直后的成品管通过2台5076型切头去尾带锯进行切头去尾及分段。此过程会产生废边角料及少量的粉尘，废边角料经收集后外售；粉尘量较小，以无组织形式于封闭厂房内沉降。</w:t>
            </w:r>
          </w:p>
          <w:p w14:paraId="0DA16E4A">
            <w:pPr>
              <w:autoSpaceDE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（9）检查、打包</w:t>
            </w:r>
          </w:p>
          <w:p w14:paraId="0510BEF0">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经检验合格的产品进行收集打包后外售。此过程会产生不合格无缝钢管，经收集后外售。</w:t>
            </w:r>
          </w:p>
          <w:p w14:paraId="6E79BD8C">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具体生产工艺及产污节点见下图：</w:t>
            </w:r>
          </w:p>
          <w:p w14:paraId="4F69A52F">
            <w:pPr>
              <w:pStyle w:val="18"/>
              <w:spacing w:line="360" w:lineRule="auto"/>
              <w:jc w:val="center"/>
              <w:rPr>
                <w:rFonts w:hint="default" w:ascii="Times New Roman" w:hAnsi="Times New Roman" w:eastAsia="黑体" w:cs="Times New Roman"/>
                <w:color w:val="auto"/>
                <w:sz w:val="21"/>
              </w:rPr>
            </w:pPr>
            <w:r>
              <w:rPr>
                <w:rFonts w:hint="default" w:ascii="Times New Roman" w:hAnsi="Times New Roman" w:cs="Times New Roman"/>
                <w:color w:val="auto"/>
              </w:rPr>
              <w:object>
                <v:shape id="_x0000_i1029" o:spt="75" type="#_x0000_t75" style="height:393pt;width:422.25pt;" o:ole="t" filled="f" o:preferrelative="t" stroked="f" coordsize="21600,21600">
                  <v:path/>
                  <v:fill on="f" focussize="0,0"/>
                  <v:stroke on="f" joinstyle="miter"/>
                  <v:imagedata r:id="rId19" o:title=""/>
                  <o:lock v:ext="edit" aspectratio="f"/>
                  <w10:wrap type="none"/>
                  <w10:anchorlock/>
                </v:shape>
                <o:OLEObject Type="Embed" ProgID="Visio.Drawing.11" ShapeID="_x0000_i1029" DrawAspect="Content" ObjectID="_1468075729" r:id="rId18">
                  <o:LockedField>false</o:LockedField>
                </o:OLEObject>
              </w:object>
            </w:r>
            <w:r>
              <w:rPr>
                <w:rFonts w:hint="default" w:ascii="Times New Roman" w:hAnsi="Times New Roman" w:eastAsia="黑体" w:cs="Times New Roman"/>
                <w:color w:val="auto"/>
                <w:sz w:val="21"/>
              </w:rPr>
              <w:t>图2-5    项目运营流程及产污节点图</w:t>
            </w:r>
          </w:p>
          <w:p w14:paraId="22F2E9B2">
            <w:pPr>
              <w:autoSpaceDE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该项目工艺选择的特点：</w:t>
            </w:r>
          </w:p>
          <w:p w14:paraId="5BFC2189">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①本项目采用的是热拔生产工艺，即采用在再结晶温度以上进行最终压力加工变形方法制造的无缝钢管。本项目生产所用的原料为外购的圆管坯。</w:t>
            </w:r>
          </w:p>
          <w:p w14:paraId="729F76BC">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②整个生产线采用的是加热、穿孔、补温、定减径、冷却、矫直的生产工艺，区别于传统的热轧工艺，本项目没有轧管工序，穿孔补温完成后直接进入减定径机。</w:t>
            </w:r>
          </w:p>
          <w:p w14:paraId="6A9AEEB3">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③本项目管坯加热采用的是电感应加热。</w:t>
            </w:r>
          </w:p>
          <w:p w14:paraId="54C43227">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④本项目毛管的补温采用的是电感应加热。</w:t>
            </w:r>
          </w:p>
          <w:p w14:paraId="05C4D5F1">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⑤成品管的冷却采用的是链式冷却床，采用喷水冷却的方式。</w:t>
            </w:r>
          </w:p>
          <w:p w14:paraId="6B5034DF">
            <w:pPr>
              <w:autoSpaceDE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⑥本项目成品管的矫直采用的是机械矫直工艺。</w:t>
            </w:r>
          </w:p>
        </w:tc>
      </w:tr>
      <w:tr w14:paraId="0EBB32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8" w:type="dxa"/>
            <w:vAlign w:val="center"/>
          </w:tcPr>
          <w:p w14:paraId="2167B738">
            <w:pPr>
              <w:pStyle w:val="31"/>
              <w:adjustRightInd w:val="0"/>
              <w:snapToGrid w:val="0"/>
              <w:spacing w:before="0" w:beforeAutospacing="0" w:after="0" w:afterAutospacing="0" w:line="360" w:lineRule="auto"/>
              <w:jc w:val="both"/>
              <w:rPr>
                <w:rFonts w:hint="default" w:ascii="Times New Roman" w:hAnsi="Times New Roman" w:cs="Times New Roman"/>
                <w:b/>
                <w:bCs/>
                <w:color w:val="auto"/>
                <w:kern w:val="2"/>
                <w:szCs w:val="24"/>
              </w:rPr>
            </w:pPr>
            <w:r>
              <w:rPr>
                <w:rFonts w:hint="default" w:ascii="Times New Roman" w:hAnsi="Times New Roman" w:cs="Times New Roman"/>
                <w:b/>
                <w:bCs/>
                <w:color w:val="auto"/>
                <w:kern w:val="2"/>
                <w:szCs w:val="24"/>
              </w:rPr>
              <w:t>与项目有关的原有环境污染问题</w:t>
            </w:r>
          </w:p>
        </w:tc>
        <w:tc>
          <w:tcPr>
            <w:tcW w:w="8501" w:type="dxa"/>
          </w:tcPr>
          <w:p w14:paraId="22EC9585">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一、现有工程说明</w:t>
            </w:r>
          </w:p>
          <w:p w14:paraId="17D183AE">
            <w:pPr>
              <w:pStyle w:val="34"/>
              <w:adjustRightInd w:val="0"/>
              <w:snapToGrid w:val="0"/>
              <w:spacing w:line="360" w:lineRule="auto"/>
              <w:ind w:left="0" w:leftChars="0" w:firstLine="480"/>
              <w:rPr>
                <w:rFonts w:hint="default" w:ascii="Times New Roman" w:hAnsi="Times New Roman" w:cs="Times New Roman"/>
                <w:color w:val="auto"/>
              </w:rPr>
            </w:pPr>
            <w:r>
              <w:rPr>
                <w:rFonts w:hint="default" w:ascii="Times New Roman" w:hAnsi="Times New Roman" w:cs="Times New Roman"/>
                <w:color w:val="auto"/>
              </w:rPr>
              <w:t>目前</w:t>
            </w:r>
            <w:bookmarkStart w:id="43" w:name="_Hlk219711156"/>
            <w:r>
              <w:rPr>
                <w:rFonts w:hint="default" w:ascii="Times New Roman" w:hAnsi="Times New Roman" w:cs="Times New Roman"/>
                <w:color w:val="auto"/>
              </w:rPr>
              <w:t>通海南方钢铁有限公司厂区内现有一条年产30万吨的型钢连轧生产线，</w:t>
            </w:r>
            <w:bookmarkEnd w:id="43"/>
            <w:r>
              <w:rPr>
                <w:rFonts w:hint="default" w:ascii="Times New Roman" w:hAnsi="Times New Roman" w:cs="Times New Roman"/>
                <w:color w:val="auto"/>
              </w:rPr>
              <w:t>该生产线于2018年1月委托重庆浩力环境影响评价有限公司编制完成了环境影响报告表，并于2018年12月20日取得了原通海县环境保护局的环评批复（通环审〔2018〕20号）。</w:t>
            </w:r>
            <w:r>
              <w:rPr>
                <w:rFonts w:hint="default" w:ascii="Times New Roman" w:hAnsi="Times New Roman" w:cs="Times New Roman"/>
                <w:color w:val="auto"/>
                <w:szCs w:val="24"/>
              </w:rPr>
              <w:t>项目主要由原料车间、生产车间、包装车间、成品库、辊道、轧机电控室等组成，主要设备天然气加热炉、轧机组、矫直机、打包机等，</w:t>
            </w:r>
            <w:r>
              <w:rPr>
                <w:rFonts w:hint="default" w:ascii="Times New Roman" w:hAnsi="Times New Roman" w:cs="Times New Roman"/>
                <w:color w:val="auto"/>
              </w:rPr>
              <w:t>主要生产工字钢产品</w:t>
            </w:r>
            <w:r>
              <w:rPr>
                <w:rFonts w:hint="default" w:ascii="Times New Roman" w:hAnsi="Times New Roman" w:cs="Times New Roman"/>
                <w:color w:val="auto"/>
                <w:szCs w:val="24"/>
              </w:rPr>
              <w:t>。</w:t>
            </w:r>
            <w:r>
              <w:rPr>
                <w:rFonts w:hint="default" w:ascii="Times New Roman" w:hAnsi="Times New Roman" w:cs="Times New Roman"/>
                <w:color w:val="auto"/>
              </w:rPr>
              <w:t>取得批复后项目开工建设，项目试运行后于2019年11月委托云南浩辰环保科技有限公司编制完成了《通海南方不锈钢有限公司年产30万吨型钢连轧生产线技改项目竣工环境保护验收监测报告》，项目通过自主验收。2022年公司为了扩展产品方案，</w:t>
            </w:r>
            <w:bookmarkStart w:id="44" w:name="_Hlk219711182"/>
            <w:r>
              <w:rPr>
                <w:rFonts w:hint="default" w:ascii="Times New Roman" w:hAnsi="Times New Roman" w:cs="Times New Roman"/>
                <w:color w:val="auto"/>
              </w:rPr>
              <w:t>在不增加型钢产能的基础上正在技改升级配套年产30万吨型钢生产线项目</w:t>
            </w:r>
            <w:bookmarkEnd w:id="44"/>
            <w:r>
              <w:rPr>
                <w:rFonts w:hint="default" w:ascii="Times New Roman" w:hAnsi="Times New Roman" w:cs="Times New Roman"/>
                <w:color w:val="auto"/>
              </w:rPr>
              <w:t>，该项目2022年8月取得环评批复（通环审[2022]12号），该生产线目前处于在建阶段；此外2023年公司以《通海南方不锈钢有限公司年产30万吨型钢连轧生产线技改项目环境影响报告表》产品为主要原料，新建</w:t>
            </w:r>
            <w:bookmarkStart w:id="45" w:name="_Hlk219711312"/>
            <w:r>
              <w:rPr>
                <w:rFonts w:hint="default" w:ascii="Times New Roman" w:hAnsi="Times New Roman" w:cs="Times New Roman"/>
                <w:color w:val="auto"/>
              </w:rPr>
              <w:t>4条环保镀锌生产线，年产环保镀锌型钢35万吨</w:t>
            </w:r>
            <w:bookmarkEnd w:id="45"/>
            <w:r>
              <w:rPr>
                <w:rFonts w:hint="default" w:ascii="Times New Roman" w:hAnsi="Times New Roman" w:cs="Times New Roman"/>
                <w:color w:val="auto"/>
              </w:rPr>
              <w:t>的生产规模，于</w:t>
            </w:r>
            <w:bookmarkStart w:id="46" w:name="OLE_LINK1"/>
            <w:r>
              <w:rPr>
                <w:rFonts w:hint="default" w:ascii="Times New Roman" w:hAnsi="Times New Roman" w:cs="Times New Roman"/>
                <w:color w:val="auto"/>
              </w:rPr>
              <w:t>2023年4月14日取得了玉溪市生态环境局通海分局</w:t>
            </w:r>
            <w:bookmarkEnd w:id="46"/>
            <w:r>
              <w:rPr>
                <w:rFonts w:hint="default" w:ascii="Times New Roman" w:hAnsi="Times New Roman" w:cs="Times New Roman"/>
                <w:color w:val="auto"/>
              </w:rPr>
              <w:t>下发的《关于通海南方钢铁有限公司年产35万吨环保镀锌型钢项目环境影响报告书的批复》（通环审[2023]3号），目前该项目尚未开工建设。</w:t>
            </w:r>
          </w:p>
          <w:p w14:paraId="4BD41AD6">
            <w:pPr>
              <w:pStyle w:val="34"/>
              <w:adjustRightInd w:val="0"/>
              <w:snapToGrid w:val="0"/>
              <w:spacing w:line="360" w:lineRule="auto"/>
              <w:ind w:left="0" w:leftChars="0" w:firstLine="480"/>
              <w:rPr>
                <w:rFonts w:hint="default" w:ascii="Times New Roman" w:hAnsi="Times New Roman" w:cs="Times New Roman"/>
                <w:color w:val="auto"/>
              </w:rPr>
            </w:pPr>
            <w:r>
              <w:rPr>
                <w:rFonts w:hint="default" w:ascii="Times New Roman" w:hAnsi="Times New Roman" w:cs="Times New Roman"/>
                <w:color w:val="auto"/>
              </w:rPr>
              <w:t>现有项目环保手续执行情况见下表：</w:t>
            </w:r>
          </w:p>
          <w:p w14:paraId="2C690066">
            <w:pPr>
              <w:spacing w:line="360" w:lineRule="auto"/>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表2-7   现有项目环保手续执行情况一览表</w:t>
            </w:r>
          </w:p>
          <w:tbl>
            <w:tblPr>
              <w:tblStyle w:val="36"/>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731"/>
              <w:gridCol w:w="926"/>
              <w:gridCol w:w="1009"/>
              <w:gridCol w:w="2107"/>
              <w:gridCol w:w="1489"/>
              <w:gridCol w:w="628"/>
            </w:tblGrid>
            <w:tr w14:paraId="6AE3F0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6" w:type="pct"/>
                  <w:tcBorders>
                    <w:tl2br w:val="nil"/>
                    <w:tr2bl w:val="nil"/>
                  </w:tcBorders>
                  <w:vAlign w:val="center"/>
                </w:tcPr>
                <w:p w14:paraId="0F76E0A3">
                  <w:pPr>
                    <w:pStyle w:val="18"/>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1045" w:type="pct"/>
                  <w:tcBorders>
                    <w:tl2br w:val="nil"/>
                    <w:tr2bl w:val="nil"/>
                  </w:tcBorders>
                  <w:vAlign w:val="center"/>
                </w:tcPr>
                <w:p w14:paraId="67359BF7">
                  <w:pPr>
                    <w:pStyle w:val="18"/>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生产线名称</w:t>
                  </w:r>
                </w:p>
              </w:tc>
              <w:tc>
                <w:tcPr>
                  <w:tcW w:w="559" w:type="pct"/>
                  <w:tcBorders>
                    <w:tl2br w:val="nil"/>
                    <w:tr2bl w:val="nil"/>
                  </w:tcBorders>
                  <w:vAlign w:val="center"/>
                </w:tcPr>
                <w:p w14:paraId="2592D7EF">
                  <w:pPr>
                    <w:pStyle w:val="18"/>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环保手续</w:t>
                  </w:r>
                </w:p>
              </w:tc>
              <w:tc>
                <w:tcPr>
                  <w:tcW w:w="609" w:type="pct"/>
                  <w:tcBorders>
                    <w:tl2br w:val="nil"/>
                    <w:tr2bl w:val="nil"/>
                  </w:tcBorders>
                  <w:vAlign w:val="center"/>
                </w:tcPr>
                <w:p w14:paraId="4FC9A605">
                  <w:pPr>
                    <w:pStyle w:val="18"/>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审批或核发部门</w:t>
                  </w:r>
                </w:p>
              </w:tc>
              <w:tc>
                <w:tcPr>
                  <w:tcW w:w="1271" w:type="pct"/>
                  <w:tcBorders>
                    <w:tl2br w:val="nil"/>
                    <w:tr2bl w:val="nil"/>
                  </w:tcBorders>
                  <w:vAlign w:val="center"/>
                </w:tcPr>
                <w:p w14:paraId="43AD8891">
                  <w:pPr>
                    <w:pStyle w:val="18"/>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审批文号或证书编号</w:t>
                  </w:r>
                </w:p>
              </w:tc>
              <w:tc>
                <w:tcPr>
                  <w:tcW w:w="899" w:type="pct"/>
                  <w:tcBorders>
                    <w:tl2br w:val="nil"/>
                    <w:tr2bl w:val="nil"/>
                  </w:tcBorders>
                  <w:vAlign w:val="center"/>
                </w:tcPr>
                <w:p w14:paraId="55092818">
                  <w:pPr>
                    <w:pStyle w:val="18"/>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审批或发证时间</w:t>
                  </w:r>
                </w:p>
              </w:tc>
              <w:tc>
                <w:tcPr>
                  <w:tcW w:w="379" w:type="pct"/>
                  <w:tcBorders>
                    <w:tl2br w:val="nil"/>
                    <w:tr2bl w:val="nil"/>
                  </w:tcBorders>
                  <w:vAlign w:val="center"/>
                </w:tcPr>
                <w:p w14:paraId="3B1EAAA8">
                  <w:pPr>
                    <w:pStyle w:val="18"/>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备注</w:t>
                  </w:r>
                </w:p>
              </w:tc>
            </w:tr>
            <w:tr w14:paraId="293DEA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6" w:type="pct"/>
                  <w:vMerge w:val="restart"/>
                  <w:tcBorders>
                    <w:tl2br w:val="nil"/>
                    <w:tr2bl w:val="nil"/>
                  </w:tcBorders>
                  <w:vAlign w:val="center"/>
                </w:tcPr>
                <w:p w14:paraId="297E5609">
                  <w:pPr>
                    <w:pStyle w:val="18"/>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045" w:type="pct"/>
                  <w:vMerge w:val="restart"/>
                  <w:tcBorders>
                    <w:tl2br w:val="nil"/>
                    <w:tr2bl w:val="nil"/>
                  </w:tcBorders>
                  <w:vAlign w:val="center"/>
                </w:tcPr>
                <w:p w14:paraId="1B574BEE">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通海南方不锈钢有限公司年产30万吨型钢连轧生产线技改项目</w:t>
                  </w:r>
                </w:p>
              </w:tc>
              <w:tc>
                <w:tcPr>
                  <w:tcW w:w="559" w:type="pct"/>
                  <w:tcBorders>
                    <w:tl2br w:val="nil"/>
                    <w:tr2bl w:val="nil"/>
                  </w:tcBorders>
                  <w:vAlign w:val="center"/>
                </w:tcPr>
                <w:p w14:paraId="52008C2D">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环评</w:t>
                  </w:r>
                </w:p>
              </w:tc>
              <w:tc>
                <w:tcPr>
                  <w:tcW w:w="609" w:type="pct"/>
                  <w:tcBorders>
                    <w:tl2br w:val="nil"/>
                    <w:tr2bl w:val="nil"/>
                  </w:tcBorders>
                  <w:vAlign w:val="center"/>
                </w:tcPr>
                <w:p w14:paraId="486593BC">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原通海县环境保护局</w:t>
                  </w:r>
                </w:p>
              </w:tc>
              <w:tc>
                <w:tcPr>
                  <w:tcW w:w="1271" w:type="pct"/>
                  <w:tcBorders>
                    <w:tl2br w:val="nil"/>
                    <w:tr2bl w:val="nil"/>
                  </w:tcBorders>
                  <w:vAlign w:val="center"/>
                </w:tcPr>
                <w:p w14:paraId="5990E847">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通环审〔2018〕20号</w:t>
                  </w:r>
                </w:p>
              </w:tc>
              <w:tc>
                <w:tcPr>
                  <w:tcW w:w="899" w:type="pct"/>
                  <w:tcBorders>
                    <w:tl2br w:val="nil"/>
                    <w:tr2bl w:val="nil"/>
                  </w:tcBorders>
                  <w:vAlign w:val="center"/>
                </w:tcPr>
                <w:p w14:paraId="29CAD666">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2018年12月20日</w:t>
                  </w:r>
                </w:p>
              </w:tc>
              <w:tc>
                <w:tcPr>
                  <w:tcW w:w="379" w:type="pct"/>
                  <w:vMerge w:val="restart"/>
                  <w:tcBorders>
                    <w:tl2br w:val="nil"/>
                    <w:tr2bl w:val="nil"/>
                  </w:tcBorders>
                  <w:vAlign w:val="center"/>
                </w:tcPr>
                <w:p w14:paraId="2A649D79">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正常生产</w:t>
                  </w:r>
                </w:p>
              </w:tc>
            </w:tr>
            <w:tr w14:paraId="755C38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6" w:type="pct"/>
                  <w:vMerge w:val="continue"/>
                  <w:tcBorders>
                    <w:tl2br w:val="nil"/>
                    <w:tr2bl w:val="nil"/>
                  </w:tcBorders>
                  <w:vAlign w:val="center"/>
                </w:tcPr>
                <w:p w14:paraId="2975A4FE">
                  <w:pPr>
                    <w:pStyle w:val="18"/>
                    <w:spacing w:line="240" w:lineRule="auto"/>
                    <w:jc w:val="center"/>
                    <w:rPr>
                      <w:rFonts w:hint="default" w:ascii="Times New Roman" w:hAnsi="Times New Roman" w:cs="Times New Roman"/>
                      <w:color w:val="auto"/>
                      <w:sz w:val="18"/>
                      <w:szCs w:val="18"/>
                    </w:rPr>
                  </w:pPr>
                </w:p>
              </w:tc>
              <w:tc>
                <w:tcPr>
                  <w:tcW w:w="1045" w:type="pct"/>
                  <w:vMerge w:val="continue"/>
                  <w:tcBorders>
                    <w:tl2br w:val="nil"/>
                    <w:tr2bl w:val="nil"/>
                  </w:tcBorders>
                  <w:vAlign w:val="center"/>
                </w:tcPr>
                <w:p w14:paraId="61CE236C">
                  <w:pPr>
                    <w:pStyle w:val="103"/>
                    <w:adjustRightInd/>
                    <w:snapToGrid/>
                    <w:spacing w:line="280" w:lineRule="exact"/>
                    <w:ind w:firstLine="0"/>
                    <w:jc w:val="center"/>
                    <w:rPr>
                      <w:rFonts w:hint="default" w:ascii="Times New Roman" w:hAnsi="Times New Roman" w:eastAsia="宋体" w:cs="Times New Roman"/>
                      <w:color w:val="auto"/>
                      <w:sz w:val="18"/>
                      <w:szCs w:val="18"/>
                    </w:rPr>
                  </w:pPr>
                </w:p>
              </w:tc>
              <w:tc>
                <w:tcPr>
                  <w:tcW w:w="559" w:type="pct"/>
                  <w:tcBorders>
                    <w:tl2br w:val="nil"/>
                    <w:tr2bl w:val="nil"/>
                  </w:tcBorders>
                  <w:vAlign w:val="center"/>
                </w:tcPr>
                <w:p w14:paraId="4140DDC3">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验收</w:t>
                  </w:r>
                </w:p>
              </w:tc>
              <w:tc>
                <w:tcPr>
                  <w:tcW w:w="609" w:type="pct"/>
                  <w:tcBorders>
                    <w:tl2br w:val="nil"/>
                    <w:tr2bl w:val="nil"/>
                  </w:tcBorders>
                  <w:vAlign w:val="center"/>
                </w:tcPr>
                <w:p w14:paraId="0B81165A">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自主验收</w:t>
                  </w:r>
                </w:p>
              </w:tc>
              <w:tc>
                <w:tcPr>
                  <w:tcW w:w="1271" w:type="pct"/>
                  <w:tcBorders>
                    <w:tl2br w:val="nil"/>
                    <w:tr2bl w:val="nil"/>
                  </w:tcBorders>
                  <w:vAlign w:val="center"/>
                </w:tcPr>
                <w:p w14:paraId="3C1A6722">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899" w:type="pct"/>
                  <w:tcBorders>
                    <w:tl2br w:val="nil"/>
                    <w:tr2bl w:val="nil"/>
                  </w:tcBorders>
                  <w:vAlign w:val="center"/>
                </w:tcPr>
                <w:p w14:paraId="7950F5E3">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2020年6月25日</w:t>
                  </w:r>
                </w:p>
              </w:tc>
              <w:tc>
                <w:tcPr>
                  <w:tcW w:w="379" w:type="pct"/>
                  <w:vMerge w:val="continue"/>
                  <w:tcBorders>
                    <w:tl2br w:val="nil"/>
                    <w:tr2bl w:val="nil"/>
                  </w:tcBorders>
                  <w:vAlign w:val="center"/>
                </w:tcPr>
                <w:p w14:paraId="6DAF2512">
                  <w:pPr>
                    <w:pStyle w:val="103"/>
                    <w:adjustRightInd/>
                    <w:snapToGrid/>
                    <w:spacing w:line="280" w:lineRule="exact"/>
                    <w:ind w:firstLine="0"/>
                    <w:jc w:val="center"/>
                    <w:rPr>
                      <w:rFonts w:hint="default" w:ascii="Times New Roman" w:hAnsi="Times New Roman" w:eastAsia="宋体" w:cs="Times New Roman"/>
                      <w:color w:val="auto"/>
                      <w:sz w:val="18"/>
                      <w:szCs w:val="18"/>
                    </w:rPr>
                  </w:pPr>
                </w:p>
              </w:tc>
            </w:tr>
            <w:tr w14:paraId="0D5B37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6" w:type="pct"/>
                  <w:tcBorders>
                    <w:tl2br w:val="nil"/>
                    <w:tr2bl w:val="nil"/>
                  </w:tcBorders>
                  <w:vAlign w:val="center"/>
                </w:tcPr>
                <w:p w14:paraId="11D593CE">
                  <w:pPr>
                    <w:pStyle w:val="18"/>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045" w:type="pct"/>
                  <w:tcBorders>
                    <w:tl2br w:val="nil"/>
                    <w:tr2bl w:val="nil"/>
                  </w:tcBorders>
                  <w:vAlign w:val="center"/>
                </w:tcPr>
                <w:p w14:paraId="79F5E563">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通海南方不锈钢有限公司技改30万吨型钢生产线项目</w:t>
                  </w:r>
                </w:p>
              </w:tc>
              <w:tc>
                <w:tcPr>
                  <w:tcW w:w="559" w:type="pct"/>
                  <w:tcBorders>
                    <w:tl2br w:val="nil"/>
                    <w:tr2bl w:val="nil"/>
                  </w:tcBorders>
                  <w:vAlign w:val="center"/>
                </w:tcPr>
                <w:p w14:paraId="55164507">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环评</w:t>
                  </w:r>
                </w:p>
              </w:tc>
              <w:tc>
                <w:tcPr>
                  <w:tcW w:w="609" w:type="pct"/>
                  <w:tcBorders>
                    <w:tl2br w:val="nil"/>
                    <w:tr2bl w:val="nil"/>
                  </w:tcBorders>
                  <w:vAlign w:val="center"/>
                </w:tcPr>
                <w:p w14:paraId="242B65ED">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玉溪市生态环境局通海分局</w:t>
                  </w:r>
                </w:p>
              </w:tc>
              <w:tc>
                <w:tcPr>
                  <w:tcW w:w="1271" w:type="pct"/>
                  <w:tcBorders>
                    <w:tl2br w:val="nil"/>
                    <w:tr2bl w:val="nil"/>
                  </w:tcBorders>
                  <w:vAlign w:val="center"/>
                </w:tcPr>
                <w:p w14:paraId="1D354DE8">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通环审[2022]12号</w:t>
                  </w:r>
                </w:p>
              </w:tc>
              <w:tc>
                <w:tcPr>
                  <w:tcW w:w="899" w:type="pct"/>
                  <w:tcBorders>
                    <w:tl2br w:val="nil"/>
                    <w:tr2bl w:val="nil"/>
                  </w:tcBorders>
                  <w:vAlign w:val="center"/>
                </w:tcPr>
                <w:p w14:paraId="2044AA5F">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2022年8月23日</w:t>
                  </w:r>
                </w:p>
              </w:tc>
              <w:tc>
                <w:tcPr>
                  <w:tcW w:w="379" w:type="pct"/>
                  <w:tcBorders>
                    <w:tl2br w:val="nil"/>
                    <w:tr2bl w:val="nil"/>
                  </w:tcBorders>
                  <w:vAlign w:val="center"/>
                </w:tcPr>
                <w:p w14:paraId="6D710A68">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在建</w:t>
                  </w:r>
                </w:p>
              </w:tc>
            </w:tr>
            <w:tr w14:paraId="1AFBD6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6" w:type="pct"/>
                  <w:tcBorders>
                    <w:tl2br w:val="nil"/>
                    <w:tr2bl w:val="nil"/>
                  </w:tcBorders>
                  <w:vAlign w:val="center"/>
                </w:tcPr>
                <w:p w14:paraId="72F890E8">
                  <w:pPr>
                    <w:pStyle w:val="18"/>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1045" w:type="pct"/>
                  <w:tcBorders>
                    <w:tl2br w:val="nil"/>
                    <w:tr2bl w:val="nil"/>
                  </w:tcBorders>
                  <w:vAlign w:val="center"/>
                </w:tcPr>
                <w:p w14:paraId="0BCD7C49">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关于通海南方钢铁有限公司年产35万吨环保镀锌型钢项目</w:t>
                  </w:r>
                </w:p>
              </w:tc>
              <w:tc>
                <w:tcPr>
                  <w:tcW w:w="559" w:type="pct"/>
                  <w:tcBorders>
                    <w:tl2br w:val="nil"/>
                    <w:tr2bl w:val="nil"/>
                  </w:tcBorders>
                  <w:vAlign w:val="center"/>
                </w:tcPr>
                <w:p w14:paraId="428A2D5C">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环评</w:t>
                  </w:r>
                </w:p>
              </w:tc>
              <w:tc>
                <w:tcPr>
                  <w:tcW w:w="609" w:type="pct"/>
                  <w:tcBorders>
                    <w:tl2br w:val="nil"/>
                    <w:tr2bl w:val="nil"/>
                  </w:tcBorders>
                  <w:vAlign w:val="center"/>
                </w:tcPr>
                <w:p w14:paraId="7743C265">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玉溪市生态环境局通海分局</w:t>
                  </w:r>
                </w:p>
              </w:tc>
              <w:tc>
                <w:tcPr>
                  <w:tcW w:w="1271" w:type="pct"/>
                  <w:tcBorders>
                    <w:tl2br w:val="nil"/>
                    <w:tr2bl w:val="nil"/>
                  </w:tcBorders>
                  <w:vAlign w:val="center"/>
                </w:tcPr>
                <w:p w14:paraId="293AE486">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通环审[2023]3号</w:t>
                  </w:r>
                </w:p>
              </w:tc>
              <w:tc>
                <w:tcPr>
                  <w:tcW w:w="899" w:type="pct"/>
                  <w:tcBorders>
                    <w:tl2br w:val="nil"/>
                    <w:tr2bl w:val="nil"/>
                  </w:tcBorders>
                  <w:vAlign w:val="center"/>
                </w:tcPr>
                <w:p w14:paraId="03F6F913">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2023年4月14日</w:t>
                  </w:r>
                </w:p>
              </w:tc>
              <w:tc>
                <w:tcPr>
                  <w:tcW w:w="379" w:type="pct"/>
                  <w:tcBorders>
                    <w:tl2br w:val="nil"/>
                    <w:tr2bl w:val="nil"/>
                  </w:tcBorders>
                  <w:vAlign w:val="center"/>
                </w:tcPr>
                <w:p w14:paraId="72148CD6">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尚未建设</w:t>
                  </w:r>
                </w:p>
              </w:tc>
            </w:tr>
            <w:tr w14:paraId="359C08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6" w:type="pct"/>
                  <w:tcBorders>
                    <w:tl2br w:val="nil"/>
                    <w:tr2bl w:val="nil"/>
                  </w:tcBorders>
                  <w:vAlign w:val="center"/>
                </w:tcPr>
                <w:p w14:paraId="291DB7C3">
                  <w:pPr>
                    <w:pStyle w:val="18"/>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604" w:type="pct"/>
                  <w:gridSpan w:val="2"/>
                  <w:tcBorders>
                    <w:tl2br w:val="nil"/>
                    <w:tr2bl w:val="nil"/>
                  </w:tcBorders>
                  <w:vAlign w:val="center"/>
                </w:tcPr>
                <w:p w14:paraId="166CF838">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排污许可证</w:t>
                  </w:r>
                </w:p>
              </w:tc>
              <w:tc>
                <w:tcPr>
                  <w:tcW w:w="609" w:type="pct"/>
                  <w:tcBorders>
                    <w:tl2br w:val="nil"/>
                    <w:tr2bl w:val="nil"/>
                  </w:tcBorders>
                  <w:vAlign w:val="center"/>
                </w:tcPr>
                <w:p w14:paraId="27E654A0">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玉溪市生态环境局</w:t>
                  </w:r>
                </w:p>
              </w:tc>
              <w:tc>
                <w:tcPr>
                  <w:tcW w:w="1271" w:type="pct"/>
                  <w:tcBorders>
                    <w:tl2br w:val="nil"/>
                    <w:tr2bl w:val="nil"/>
                  </w:tcBorders>
                  <w:vAlign w:val="center"/>
                </w:tcPr>
                <w:p w14:paraId="1A3BBFB6">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915304236736246431001P</w:t>
                  </w:r>
                </w:p>
              </w:tc>
              <w:tc>
                <w:tcPr>
                  <w:tcW w:w="899" w:type="pct"/>
                  <w:tcBorders>
                    <w:tl2br w:val="nil"/>
                    <w:tr2bl w:val="nil"/>
                  </w:tcBorders>
                  <w:vAlign w:val="center"/>
                </w:tcPr>
                <w:p w14:paraId="6B60DEF6">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2023年4月19日</w:t>
                  </w:r>
                </w:p>
              </w:tc>
              <w:tc>
                <w:tcPr>
                  <w:tcW w:w="379" w:type="pct"/>
                  <w:tcBorders>
                    <w:tl2br w:val="nil"/>
                    <w:tr2bl w:val="nil"/>
                  </w:tcBorders>
                  <w:vAlign w:val="center"/>
                </w:tcPr>
                <w:p w14:paraId="00554292">
                  <w:pPr>
                    <w:pStyle w:val="103"/>
                    <w:adjustRightInd/>
                    <w:snapToGrid/>
                    <w:spacing w:line="280" w:lineRule="exact"/>
                    <w:ind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bl>
          <w:p w14:paraId="108DC1D3">
            <w:pPr>
              <w:pStyle w:val="34"/>
              <w:adjustRightInd w:val="0"/>
              <w:snapToGrid w:val="0"/>
              <w:spacing w:line="360" w:lineRule="auto"/>
              <w:ind w:left="0" w:leftChars="0" w:firstLine="480"/>
              <w:rPr>
                <w:rFonts w:hint="default" w:ascii="Times New Roman" w:hAnsi="Times New Roman" w:cs="Times New Roman"/>
                <w:color w:val="auto"/>
              </w:rPr>
            </w:pPr>
            <w:r>
              <w:rPr>
                <w:rFonts w:hint="default" w:ascii="Times New Roman" w:hAnsi="Times New Roman" w:cs="Times New Roman"/>
                <w:color w:val="auto"/>
              </w:rPr>
              <w:t>因此本环评与项目有关的原有环境污染问题按现有（30万吨轧钢生产线）、在建（年产30万吨型钢连轧生产线技改项目）及拟建工程（年产35万吨环保镀锌型钢项目）分别进行分析，具体如下：</w:t>
            </w:r>
          </w:p>
          <w:p w14:paraId="29517101">
            <w:pPr>
              <w:adjustRightInd w:val="0"/>
              <w:snapToGrid w:val="0"/>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二、工程概况</w:t>
            </w:r>
          </w:p>
          <w:p w14:paraId="3468F36E">
            <w:pPr>
              <w:adjustRightInd w:val="0"/>
              <w:snapToGrid w:val="0"/>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1、现有工程概况（30万吨轧钢生产线）</w:t>
            </w:r>
          </w:p>
          <w:p w14:paraId="394F820D">
            <w:pPr>
              <w:adjustRightInd w:val="0"/>
              <w:snapToGrid w:val="0"/>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1.1现有已建工程建设情况</w:t>
            </w:r>
          </w:p>
          <w:p w14:paraId="3A3D0451">
            <w:pPr>
              <w:widowControl/>
              <w:adjustRightInd w:val="0"/>
              <w:snapToGrid w:val="0"/>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现有厂区内的30万吨轧钢生产线，由主体工程、辅助工程和环保工程组成。现有工程具体组成见下表：</w:t>
            </w:r>
          </w:p>
          <w:p w14:paraId="51DB57DD">
            <w:pPr>
              <w:spacing w:line="360" w:lineRule="auto"/>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表2-8   现有工程建设内容情况表</w:t>
            </w:r>
          </w:p>
          <w:tbl>
            <w:tblPr>
              <w:tblStyle w:val="35"/>
              <w:tblW w:w="499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1204"/>
              <w:gridCol w:w="4953"/>
              <w:gridCol w:w="1077"/>
            </w:tblGrid>
            <w:tr w14:paraId="2290F1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33" w:type="pct"/>
                  <w:tcBorders>
                    <w:tl2br w:val="nil"/>
                    <w:tr2bl w:val="nil"/>
                  </w:tcBorders>
                  <w:vAlign w:val="center"/>
                </w:tcPr>
                <w:p w14:paraId="66C69B3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工程类别</w:t>
                  </w:r>
                </w:p>
              </w:tc>
              <w:tc>
                <w:tcPr>
                  <w:tcW w:w="3716" w:type="pct"/>
                  <w:gridSpan w:val="2"/>
                  <w:tcBorders>
                    <w:tl2br w:val="nil"/>
                    <w:tr2bl w:val="nil"/>
                  </w:tcBorders>
                  <w:vAlign w:val="center"/>
                </w:tcPr>
                <w:p w14:paraId="6C3D765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工程内容</w:t>
                  </w:r>
                </w:p>
              </w:tc>
              <w:tc>
                <w:tcPr>
                  <w:tcW w:w="650" w:type="pct"/>
                  <w:tcBorders>
                    <w:tl2br w:val="nil"/>
                    <w:tr2bl w:val="nil"/>
                  </w:tcBorders>
                  <w:vAlign w:val="center"/>
                </w:tcPr>
                <w:p w14:paraId="0CF15D3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备注</w:t>
                  </w:r>
                </w:p>
              </w:tc>
            </w:tr>
            <w:tr w14:paraId="32CD40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33" w:type="pct"/>
                  <w:vMerge w:val="restart"/>
                  <w:tcBorders>
                    <w:tl2br w:val="nil"/>
                    <w:tr2bl w:val="nil"/>
                  </w:tcBorders>
                  <w:vAlign w:val="center"/>
                </w:tcPr>
                <w:p w14:paraId="2D82078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主体工程</w:t>
                  </w:r>
                </w:p>
              </w:tc>
              <w:tc>
                <w:tcPr>
                  <w:tcW w:w="727" w:type="pct"/>
                  <w:tcBorders>
                    <w:tl2br w:val="nil"/>
                    <w:tr2bl w:val="nil"/>
                  </w:tcBorders>
                  <w:vAlign w:val="center"/>
                </w:tcPr>
                <w:p w14:paraId="70684D6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原料车间</w:t>
                  </w:r>
                </w:p>
              </w:tc>
              <w:tc>
                <w:tcPr>
                  <w:tcW w:w="2988" w:type="pct"/>
                  <w:tcBorders>
                    <w:tl2br w:val="nil"/>
                    <w:tr2bl w:val="nil"/>
                  </w:tcBorders>
                  <w:vAlign w:val="center"/>
                </w:tcPr>
                <w:p w14:paraId="6C6EC741">
                  <w:pPr>
                    <w:widowControl/>
                    <w:jc w:val="left"/>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设置原料半封闭车间一个，主要用于堆存钢坯，占地150m</w:t>
                  </w:r>
                  <w:r>
                    <w:rPr>
                      <w:rFonts w:hint="default" w:ascii="Times New Roman" w:hAnsi="Times New Roman" w:cs="Times New Roman"/>
                      <w:color w:val="auto"/>
                      <w:kern w:val="0"/>
                      <w:sz w:val="18"/>
                      <w:szCs w:val="18"/>
                      <w:vertAlign w:val="superscript"/>
                      <w:lang w:bidi="ar"/>
                    </w:rPr>
                    <w:t>2</w:t>
                  </w:r>
                  <w:r>
                    <w:rPr>
                      <w:rFonts w:hint="default" w:ascii="Times New Roman" w:hAnsi="Times New Roman" w:cs="Times New Roman"/>
                      <w:color w:val="auto"/>
                      <w:kern w:val="0"/>
                      <w:sz w:val="18"/>
                      <w:szCs w:val="18"/>
                      <w:lang w:bidi="ar"/>
                    </w:rPr>
                    <w:t>。</w:t>
                  </w:r>
                </w:p>
              </w:tc>
              <w:tc>
                <w:tcPr>
                  <w:tcW w:w="650" w:type="pct"/>
                  <w:tcBorders>
                    <w:tl2br w:val="nil"/>
                    <w:tr2bl w:val="nil"/>
                  </w:tcBorders>
                  <w:vAlign w:val="center"/>
                </w:tcPr>
                <w:p w14:paraId="70DEEA3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保留</w:t>
                  </w:r>
                </w:p>
              </w:tc>
            </w:tr>
            <w:tr w14:paraId="2F4E8F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633" w:type="pct"/>
                  <w:vMerge w:val="continue"/>
                  <w:tcBorders>
                    <w:tl2br w:val="nil"/>
                    <w:tr2bl w:val="nil"/>
                  </w:tcBorders>
                  <w:vAlign w:val="center"/>
                </w:tcPr>
                <w:p w14:paraId="072DE288">
                  <w:pPr>
                    <w:jc w:val="center"/>
                    <w:rPr>
                      <w:rFonts w:hint="default" w:ascii="Times New Roman" w:hAnsi="Times New Roman" w:cs="Times New Roman"/>
                      <w:color w:val="auto"/>
                      <w:sz w:val="18"/>
                      <w:szCs w:val="18"/>
                    </w:rPr>
                  </w:pPr>
                </w:p>
              </w:tc>
              <w:tc>
                <w:tcPr>
                  <w:tcW w:w="727" w:type="pct"/>
                  <w:tcBorders>
                    <w:tl2br w:val="nil"/>
                    <w:tr2bl w:val="nil"/>
                  </w:tcBorders>
                  <w:vAlign w:val="center"/>
                </w:tcPr>
                <w:p w14:paraId="065826B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生产车间</w:t>
                  </w:r>
                </w:p>
              </w:tc>
              <w:tc>
                <w:tcPr>
                  <w:tcW w:w="2988" w:type="pct"/>
                  <w:tcBorders>
                    <w:tl2br w:val="nil"/>
                    <w:tr2bl w:val="nil"/>
                  </w:tcBorders>
                  <w:vAlign w:val="center"/>
                </w:tcPr>
                <w:p w14:paraId="7ED213DE">
                  <w:pPr>
                    <w:widowControl/>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占地面积3690m</w:t>
                  </w:r>
                  <w:r>
                    <w:rPr>
                      <w:rFonts w:hint="default" w:ascii="Times New Roman" w:hAnsi="Times New Roman" w:cs="Times New Roman"/>
                      <w:color w:val="auto"/>
                      <w:kern w:val="0"/>
                      <w:sz w:val="18"/>
                      <w:szCs w:val="18"/>
                      <w:vertAlign w:val="superscript"/>
                      <w:lang w:bidi="ar"/>
                    </w:rPr>
                    <w:t>2</w:t>
                  </w:r>
                  <w:r>
                    <w:rPr>
                      <w:rFonts w:hint="default" w:ascii="Times New Roman" w:hAnsi="Times New Roman" w:cs="Times New Roman"/>
                      <w:color w:val="auto"/>
                      <w:kern w:val="0"/>
                      <w:sz w:val="18"/>
                      <w:szCs w:val="18"/>
                      <w:lang w:bidi="ar"/>
                    </w:rPr>
                    <w:t>，主要包括加热炉区、轧机机组区及冷床，其中加热炉区占地1400m</w:t>
                  </w:r>
                  <w:r>
                    <w:rPr>
                      <w:rFonts w:hint="default" w:ascii="Times New Roman" w:hAnsi="Times New Roman" w:cs="Times New Roman"/>
                      <w:color w:val="auto"/>
                      <w:kern w:val="0"/>
                      <w:sz w:val="18"/>
                      <w:szCs w:val="18"/>
                      <w:vertAlign w:val="superscript"/>
                      <w:lang w:bidi="ar"/>
                    </w:rPr>
                    <w:t>2</w:t>
                  </w:r>
                  <w:r>
                    <w:rPr>
                      <w:rFonts w:hint="default" w:ascii="Times New Roman" w:hAnsi="Times New Roman" w:cs="Times New Roman"/>
                      <w:color w:val="auto"/>
                      <w:kern w:val="0"/>
                      <w:sz w:val="18"/>
                      <w:szCs w:val="18"/>
                      <w:lang w:bidi="ar"/>
                    </w:rPr>
                    <w:t>，轧机机组区占地820m</w:t>
                  </w:r>
                  <w:r>
                    <w:rPr>
                      <w:rFonts w:hint="default" w:ascii="Times New Roman" w:hAnsi="Times New Roman" w:cs="Times New Roman"/>
                      <w:color w:val="auto"/>
                      <w:kern w:val="0"/>
                      <w:sz w:val="18"/>
                      <w:szCs w:val="18"/>
                      <w:vertAlign w:val="superscript"/>
                      <w:lang w:bidi="ar"/>
                    </w:rPr>
                    <w:t>2</w:t>
                  </w:r>
                  <w:r>
                    <w:rPr>
                      <w:rFonts w:hint="default" w:ascii="Times New Roman" w:hAnsi="Times New Roman" w:cs="Times New Roman"/>
                      <w:color w:val="auto"/>
                      <w:kern w:val="0"/>
                      <w:sz w:val="18"/>
                      <w:szCs w:val="18"/>
                      <w:lang w:bidi="ar"/>
                    </w:rPr>
                    <w:t>，冷床区占地1470m</w:t>
                  </w:r>
                  <w:r>
                    <w:rPr>
                      <w:rFonts w:hint="default" w:ascii="Times New Roman" w:hAnsi="Times New Roman" w:cs="Times New Roman"/>
                      <w:color w:val="auto"/>
                      <w:kern w:val="0"/>
                      <w:sz w:val="18"/>
                      <w:szCs w:val="18"/>
                      <w:vertAlign w:val="superscript"/>
                      <w:lang w:bidi="ar"/>
                    </w:rPr>
                    <w:t>2</w:t>
                  </w:r>
                  <w:r>
                    <w:rPr>
                      <w:rFonts w:hint="default" w:ascii="Times New Roman" w:hAnsi="Times New Roman" w:cs="Times New Roman"/>
                      <w:color w:val="auto"/>
                      <w:kern w:val="0"/>
                      <w:sz w:val="18"/>
                      <w:szCs w:val="18"/>
                      <w:lang w:bidi="ar"/>
                    </w:rPr>
                    <w:t>。</w:t>
                  </w:r>
                </w:p>
              </w:tc>
              <w:tc>
                <w:tcPr>
                  <w:tcW w:w="650" w:type="pct"/>
                  <w:tcBorders>
                    <w:tl2br w:val="nil"/>
                    <w:tr2bl w:val="nil"/>
                  </w:tcBorders>
                  <w:vAlign w:val="center"/>
                </w:tcPr>
                <w:p w14:paraId="5C51203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保留</w:t>
                  </w:r>
                </w:p>
              </w:tc>
            </w:tr>
            <w:tr w14:paraId="0C5C62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33" w:type="pct"/>
                  <w:vMerge w:val="continue"/>
                  <w:tcBorders>
                    <w:tl2br w:val="nil"/>
                    <w:tr2bl w:val="nil"/>
                  </w:tcBorders>
                  <w:vAlign w:val="center"/>
                </w:tcPr>
                <w:p w14:paraId="73F3CFFB">
                  <w:pPr>
                    <w:jc w:val="center"/>
                    <w:rPr>
                      <w:rFonts w:hint="default" w:ascii="Times New Roman" w:hAnsi="Times New Roman" w:cs="Times New Roman"/>
                      <w:color w:val="auto"/>
                      <w:sz w:val="18"/>
                      <w:szCs w:val="18"/>
                    </w:rPr>
                  </w:pPr>
                </w:p>
              </w:tc>
              <w:tc>
                <w:tcPr>
                  <w:tcW w:w="727" w:type="pct"/>
                  <w:tcBorders>
                    <w:tl2br w:val="nil"/>
                    <w:tr2bl w:val="nil"/>
                  </w:tcBorders>
                  <w:vAlign w:val="center"/>
                </w:tcPr>
                <w:p w14:paraId="6B7ED76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包装车间</w:t>
                  </w:r>
                </w:p>
              </w:tc>
              <w:tc>
                <w:tcPr>
                  <w:tcW w:w="2988" w:type="pct"/>
                  <w:tcBorders>
                    <w:tl2br w:val="nil"/>
                    <w:tr2bl w:val="nil"/>
                  </w:tcBorders>
                  <w:vAlign w:val="center"/>
                </w:tcPr>
                <w:p w14:paraId="7C1B6B8D">
                  <w:pPr>
                    <w:widowControl/>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占地面积1100m</w:t>
                  </w:r>
                  <w:r>
                    <w:rPr>
                      <w:rFonts w:hint="default" w:ascii="Times New Roman" w:hAnsi="Times New Roman" w:cs="Times New Roman"/>
                      <w:color w:val="auto"/>
                      <w:kern w:val="0"/>
                      <w:sz w:val="18"/>
                      <w:szCs w:val="18"/>
                      <w:vertAlign w:val="superscript"/>
                      <w:lang w:bidi="ar"/>
                    </w:rPr>
                    <w:t>2</w:t>
                  </w:r>
                  <w:r>
                    <w:rPr>
                      <w:rFonts w:hint="default" w:ascii="Times New Roman" w:hAnsi="Times New Roman" w:cs="Times New Roman"/>
                      <w:color w:val="auto"/>
                      <w:kern w:val="0"/>
                      <w:sz w:val="18"/>
                      <w:szCs w:val="18"/>
                      <w:lang w:bidi="ar"/>
                    </w:rPr>
                    <w:t>，主要包括成品编组台架及打包台，其中成品编组台架占地280m</w:t>
                  </w:r>
                  <w:r>
                    <w:rPr>
                      <w:rFonts w:hint="default" w:ascii="Times New Roman" w:hAnsi="Times New Roman" w:cs="Times New Roman"/>
                      <w:color w:val="auto"/>
                      <w:kern w:val="0"/>
                      <w:sz w:val="18"/>
                      <w:szCs w:val="18"/>
                      <w:vertAlign w:val="superscript"/>
                      <w:lang w:bidi="ar"/>
                    </w:rPr>
                    <w:t>2</w:t>
                  </w:r>
                  <w:r>
                    <w:rPr>
                      <w:rFonts w:hint="default" w:ascii="Times New Roman" w:hAnsi="Times New Roman" w:cs="Times New Roman"/>
                      <w:color w:val="auto"/>
                      <w:kern w:val="0"/>
                      <w:sz w:val="18"/>
                      <w:szCs w:val="18"/>
                      <w:lang w:bidi="ar"/>
                    </w:rPr>
                    <w:t>，打包台占地820m</w:t>
                  </w:r>
                  <w:r>
                    <w:rPr>
                      <w:rFonts w:hint="default" w:ascii="Times New Roman" w:hAnsi="Times New Roman" w:cs="Times New Roman"/>
                      <w:color w:val="auto"/>
                      <w:kern w:val="0"/>
                      <w:sz w:val="18"/>
                      <w:szCs w:val="18"/>
                      <w:vertAlign w:val="superscript"/>
                      <w:lang w:bidi="ar"/>
                    </w:rPr>
                    <w:t>2</w:t>
                  </w:r>
                  <w:r>
                    <w:rPr>
                      <w:rFonts w:hint="default" w:ascii="Times New Roman" w:hAnsi="Times New Roman" w:cs="Times New Roman"/>
                      <w:color w:val="auto"/>
                      <w:kern w:val="0"/>
                      <w:sz w:val="18"/>
                      <w:szCs w:val="18"/>
                      <w:lang w:bidi="ar"/>
                    </w:rPr>
                    <w:t>（主要建有移动锯、固定锯及打包机）。</w:t>
                  </w:r>
                </w:p>
              </w:tc>
              <w:tc>
                <w:tcPr>
                  <w:tcW w:w="650" w:type="pct"/>
                  <w:tcBorders>
                    <w:tl2br w:val="nil"/>
                    <w:tr2bl w:val="nil"/>
                  </w:tcBorders>
                  <w:vAlign w:val="center"/>
                </w:tcPr>
                <w:p w14:paraId="42FA034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保留</w:t>
                  </w:r>
                </w:p>
              </w:tc>
            </w:tr>
            <w:tr w14:paraId="78B16B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33" w:type="pct"/>
                  <w:vMerge w:val="continue"/>
                  <w:tcBorders>
                    <w:tl2br w:val="nil"/>
                    <w:tr2bl w:val="nil"/>
                  </w:tcBorders>
                  <w:vAlign w:val="center"/>
                </w:tcPr>
                <w:p w14:paraId="4F38F32C">
                  <w:pPr>
                    <w:jc w:val="center"/>
                    <w:rPr>
                      <w:rFonts w:hint="default" w:ascii="Times New Roman" w:hAnsi="Times New Roman" w:cs="Times New Roman"/>
                      <w:color w:val="auto"/>
                      <w:sz w:val="18"/>
                      <w:szCs w:val="18"/>
                    </w:rPr>
                  </w:pPr>
                </w:p>
              </w:tc>
              <w:tc>
                <w:tcPr>
                  <w:tcW w:w="727" w:type="pct"/>
                  <w:tcBorders>
                    <w:tl2br w:val="nil"/>
                    <w:tr2bl w:val="nil"/>
                  </w:tcBorders>
                  <w:vAlign w:val="center"/>
                </w:tcPr>
                <w:p w14:paraId="56D5B75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成品库</w:t>
                  </w:r>
                </w:p>
              </w:tc>
              <w:tc>
                <w:tcPr>
                  <w:tcW w:w="2988" w:type="pct"/>
                  <w:tcBorders>
                    <w:tl2br w:val="nil"/>
                    <w:tr2bl w:val="nil"/>
                  </w:tcBorders>
                  <w:vAlign w:val="center"/>
                </w:tcPr>
                <w:p w14:paraId="5FE6CAE9">
                  <w:pPr>
                    <w:widowControl/>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用于堆存产品，占地面积2600m</w:t>
                  </w:r>
                  <w:r>
                    <w:rPr>
                      <w:rFonts w:hint="default" w:ascii="Times New Roman" w:hAnsi="Times New Roman" w:cs="Times New Roman"/>
                      <w:color w:val="auto"/>
                      <w:kern w:val="0"/>
                      <w:sz w:val="18"/>
                      <w:szCs w:val="18"/>
                      <w:vertAlign w:val="superscript"/>
                      <w:lang w:bidi="ar"/>
                    </w:rPr>
                    <w:t>2</w:t>
                  </w:r>
                  <w:r>
                    <w:rPr>
                      <w:rFonts w:hint="default" w:ascii="Times New Roman" w:hAnsi="Times New Roman" w:cs="Times New Roman"/>
                      <w:color w:val="auto"/>
                      <w:kern w:val="0"/>
                      <w:sz w:val="18"/>
                      <w:szCs w:val="18"/>
                      <w:lang w:bidi="ar"/>
                    </w:rPr>
                    <w:t>。</w:t>
                  </w:r>
                </w:p>
              </w:tc>
              <w:tc>
                <w:tcPr>
                  <w:tcW w:w="650" w:type="pct"/>
                  <w:tcBorders>
                    <w:tl2br w:val="nil"/>
                    <w:tr2bl w:val="nil"/>
                  </w:tcBorders>
                  <w:vAlign w:val="center"/>
                </w:tcPr>
                <w:p w14:paraId="34032BB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保留</w:t>
                  </w:r>
                </w:p>
              </w:tc>
            </w:tr>
            <w:tr w14:paraId="48CB65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33" w:type="pct"/>
                  <w:vMerge w:val="restart"/>
                  <w:tcBorders>
                    <w:tl2br w:val="nil"/>
                    <w:tr2bl w:val="nil"/>
                  </w:tcBorders>
                  <w:vAlign w:val="center"/>
                </w:tcPr>
                <w:p w14:paraId="497C449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辅助工程</w:t>
                  </w:r>
                </w:p>
              </w:tc>
              <w:tc>
                <w:tcPr>
                  <w:tcW w:w="727" w:type="pct"/>
                  <w:tcBorders>
                    <w:tl2br w:val="nil"/>
                    <w:tr2bl w:val="nil"/>
                  </w:tcBorders>
                  <w:vAlign w:val="center"/>
                </w:tcPr>
                <w:p w14:paraId="3F5FCA4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生活区</w:t>
                  </w:r>
                </w:p>
              </w:tc>
              <w:tc>
                <w:tcPr>
                  <w:tcW w:w="2988" w:type="pct"/>
                  <w:tcBorders>
                    <w:tl2br w:val="nil"/>
                    <w:tr2bl w:val="nil"/>
                  </w:tcBorders>
                  <w:vAlign w:val="center"/>
                </w:tcPr>
                <w:p w14:paraId="58E061A2">
                  <w:pPr>
                    <w:widowControl/>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总占地135m</w:t>
                  </w:r>
                  <w:r>
                    <w:rPr>
                      <w:rFonts w:hint="default" w:ascii="Times New Roman" w:hAnsi="Times New Roman" w:cs="Times New Roman"/>
                      <w:color w:val="auto"/>
                      <w:kern w:val="0"/>
                      <w:sz w:val="18"/>
                      <w:szCs w:val="18"/>
                      <w:vertAlign w:val="superscript"/>
                      <w:lang w:bidi="ar"/>
                    </w:rPr>
                    <w:t>2</w:t>
                  </w:r>
                  <w:r>
                    <w:rPr>
                      <w:rFonts w:hint="default" w:ascii="Times New Roman" w:hAnsi="Times New Roman" w:cs="Times New Roman"/>
                      <w:color w:val="auto"/>
                      <w:kern w:val="0"/>
                      <w:sz w:val="18"/>
                      <w:szCs w:val="18"/>
                      <w:lang w:bidi="ar"/>
                    </w:rPr>
                    <w:t>，为一层砖混结构。</w:t>
                  </w:r>
                </w:p>
              </w:tc>
              <w:tc>
                <w:tcPr>
                  <w:tcW w:w="650" w:type="pct"/>
                  <w:vMerge w:val="restart"/>
                  <w:tcBorders>
                    <w:tl2br w:val="nil"/>
                    <w:tr2bl w:val="nil"/>
                  </w:tcBorders>
                  <w:vAlign w:val="center"/>
                </w:tcPr>
                <w:p w14:paraId="330E5B2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保留</w:t>
                  </w:r>
                </w:p>
              </w:tc>
            </w:tr>
            <w:tr w14:paraId="348D79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33" w:type="pct"/>
                  <w:vMerge w:val="continue"/>
                  <w:tcBorders>
                    <w:tl2br w:val="nil"/>
                    <w:tr2bl w:val="nil"/>
                  </w:tcBorders>
                  <w:vAlign w:val="center"/>
                </w:tcPr>
                <w:p w14:paraId="3DFCB990">
                  <w:pPr>
                    <w:jc w:val="center"/>
                    <w:rPr>
                      <w:rFonts w:hint="default" w:ascii="Times New Roman" w:hAnsi="Times New Roman" w:cs="Times New Roman"/>
                      <w:color w:val="auto"/>
                      <w:sz w:val="18"/>
                      <w:szCs w:val="18"/>
                    </w:rPr>
                  </w:pPr>
                </w:p>
              </w:tc>
              <w:tc>
                <w:tcPr>
                  <w:tcW w:w="727" w:type="pct"/>
                  <w:tcBorders>
                    <w:tl2br w:val="nil"/>
                    <w:tr2bl w:val="nil"/>
                  </w:tcBorders>
                  <w:vAlign w:val="center"/>
                </w:tcPr>
                <w:p w14:paraId="2367B12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道路</w:t>
                  </w:r>
                </w:p>
              </w:tc>
              <w:tc>
                <w:tcPr>
                  <w:tcW w:w="2988" w:type="pct"/>
                  <w:tcBorders>
                    <w:tl2br w:val="nil"/>
                    <w:tr2bl w:val="nil"/>
                  </w:tcBorders>
                  <w:vAlign w:val="center"/>
                </w:tcPr>
                <w:p w14:paraId="5C0468A8">
                  <w:pPr>
                    <w:widowControl/>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总占地790m</w:t>
                  </w:r>
                  <w:r>
                    <w:rPr>
                      <w:rFonts w:hint="default" w:ascii="Times New Roman" w:hAnsi="Times New Roman" w:cs="Times New Roman"/>
                      <w:color w:val="auto"/>
                      <w:kern w:val="0"/>
                      <w:sz w:val="18"/>
                      <w:szCs w:val="18"/>
                      <w:vertAlign w:val="superscript"/>
                      <w:lang w:bidi="ar"/>
                    </w:rPr>
                    <w:t>2</w:t>
                  </w:r>
                  <w:r>
                    <w:rPr>
                      <w:rFonts w:hint="default" w:ascii="Times New Roman" w:hAnsi="Times New Roman" w:cs="Times New Roman"/>
                      <w:color w:val="auto"/>
                      <w:kern w:val="0"/>
                      <w:sz w:val="18"/>
                      <w:szCs w:val="18"/>
                      <w:lang w:bidi="ar"/>
                    </w:rPr>
                    <w:t>，为混凝土铺砌地面。</w:t>
                  </w:r>
                </w:p>
              </w:tc>
              <w:tc>
                <w:tcPr>
                  <w:tcW w:w="650" w:type="pct"/>
                  <w:vMerge w:val="continue"/>
                  <w:tcBorders>
                    <w:tl2br w:val="nil"/>
                    <w:tr2bl w:val="nil"/>
                  </w:tcBorders>
                  <w:vAlign w:val="center"/>
                </w:tcPr>
                <w:p w14:paraId="302FCB0D">
                  <w:pPr>
                    <w:jc w:val="center"/>
                    <w:rPr>
                      <w:rFonts w:hint="default" w:ascii="Times New Roman" w:hAnsi="Times New Roman" w:cs="Times New Roman"/>
                      <w:color w:val="auto"/>
                      <w:sz w:val="18"/>
                      <w:szCs w:val="18"/>
                    </w:rPr>
                  </w:pPr>
                </w:p>
              </w:tc>
            </w:tr>
            <w:tr w14:paraId="614C24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33" w:type="pct"/>
                  <w:vMerge w:val="continue"/>
                  <w:tcBorders>
                    <w:tl2br w:val="nil"/>
                    <w:tr2bl w:val="nil"/>
                  </w:tcBorders>
                  <w:vAlign w:val="center"/>
                </w:tcPr>
                <w:p w14:paraId="3272848A">
                  <w:pPr>
                    <w:jc w:val="center"/>
                    <w:rPr>
                      <w:rFonts w:hint="default" w:ascii="Times New Roman" w:hAnsi="Times New Roman" w:cs="Times New Roman"/>
                      <w:color w:val="auto"/>
                      <w:sz w:val="18"/>
                      <w:szCs w:val="18"/>
                    </w:rPr>
                  </w:pPr>
                </w:p>
              </w:tc>
              <w:tc>
                <w:tcPr>
                  <w:tcW w:w="727" w:type="pct"/>
                  <w:tcBorders>
                    <w:tl2br w:val="nil"/>
                    <w:tr2bl w:val="nil"/>
                  </w:tcBorders>
                  <w:vAlign w:val="center"/>
                </w:tcPr>
                <w:p w14:paraId="6E53839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机电控制室</w:t>
                  </w:r>
                </w:p>
              </w:tc>
              <w:tc>
                <w:tcPr>
                  <w:tcW w:w="2988" w:type="pct"/>
                  <w:tcBorders>
                    <w:tl2br w:val="nil"/>
                    <w:tr2bl w:val="nil"/>
                  </w:tcBorders>
                  <w:vAlign w:val="center"/>
                </w:tcPr>
                <w:p w14:paraId="14ED03F1">
                  <w:pPr>
                    <w:widowControl/>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生产线旁建设机电控制室，总占地45m</w:t>
                  </w:r>
                  <w:r>
                    <w:rPr>
                      <w:rFonts w:hint="default" w:ascii="Times New Roman" w:hAnsi="Times New Roman" w:cs="Times New Roman"/>
                      <w:color w:val="auto"/>
                      <w:kern w:val="0"/>
                      <w:sz w:val="18"/>
                      <w:szCs w:val="18"/>
                      <w:vertAlign w:val="superscript"/>
                      <w:lang w:bidi="ar"/>
                    </w:rPr>
                    <w:t>2</w:t>
                  </w:r>
                  <w:r>
                    <w:rPr>
                      <w:rFonts w:hint="default" w:ascii="Times New Roman" w:hAnsi="Times New Roman" w:cs="Times New Roman"/>
                      <w:color w:val="auto"/>
                      <w:kern w:val="0"/>
                      <w:sz w:val="18"/>
                      <w:szCs w:val="18"/>
                      <w:lang w:bidi="ar"/>
                    </w:rPr>
                    <w:t>。</w:t>
                  </w:r>
                </w:p>
              </w:tc>
              <w:tc>
                <w:tcPr>
                  <w:tcW w:w="650" w:type="pct"/>
                  <w:vMerge w:val="restart"/>
                  <w:tcBorders>
                    <w:tl2br w:val="nil"/>
                    <w:tr2bl w:val="nil"/>
                  </w:tcBorders>
                  <w:vAlign w:val="center"/>
                </w:tcPr>
                <w:p w14:paraId="63BCE93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保留</w:t>
                  </w:r>
                </w:p>
              </w:tc>
            </w:tr>
            <w:tr w14:paraId="36BA63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33" w:type="pct"/>
                  <w:vMerge w:val="continue"/>
                  <w:tcBorders>
                    <w:tl2br w:val="nil"/>
                    <w:tr2bl w:val="nil"/>
                  </w:tcBorders>
                  <w:vAlign w:val="center"/>
                </w:tcPr>
                <w:p w14:paraId="4113839F">
                  <w:pPr>
                    <w:jc w:val="center"/>
                    <w:rPr>
                      <w:rFonts w:hint="default" w:ascii="Times New Roman" w:hAnsi="Times New Roman" w:cs="Times New Roman"/>
                      <w:color w:val="auto"/>
                      <w:sz w:val="18"/>
                      <w:szCs w:val="18"/>
                    </w:rPr>
                  </w:pPr>
                </w:p>
              </w:tc>
              <w:tc>
                <w:tcPr>
                  <w:tcW w:w="727" w:type="pct"/>
                  <w:tcBorders>
                    <w:tl2br w:val="nil"/>
                    <w:tr2bl w:val="nil"/>
                  </w:tcBorders>
                  <w:vAlign w:val="center"/>
                </w:tcPr>
                <w:p w14:paraId="24AD3EF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连轧机稀油站</w:t>
                  </w:r>
                </w:p>
              </w:tc>
              <w:tc>
                <w:tcPr>
                  <w:tcW w:w="2988" w:type="pct"/>
                  <w:tcBorders>
                    <w:tl2br w:val="nil"/>
                    <w:tr2bl w:val="nil"/>
                  </w:tcBorders>
                  <w:vAlign w:val="center"/>
                </w:tcPr>
                <w:p w14:paraId="25560352">
                  <w:pPr>
                    <w:widowControl/>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在轧线北面建设稀油站，占地面积60m</w:t>
                  </w:r>
                  <w:r>
                    <w:rPr>
                      <w:rFonts w:hint="default" w:ascii="Times New Roman" w:hAnsi="Times New Roman" w:cs="Times New Roman"/>
                      <w:color w:val="auto"/>
                      <w:kern w:val="0"/>
                      <w:sz w:val="18"/>
                      <w:szCs w:val="18"/>
                      <w:vertAlign w:val="superscript"/>
                      <w:lang w:bidi="ar"/>
                    </w:rPr>
                    <w:t>2</w:t>
                  </w:r>
                  <w:r>
                    <w:rPr>
                      <w:rFonts w:hint="default" w:ascii="Times New Roman" w:hAnsi="Times New Roman" w:cs="Times New Roman"/>
                      <w:color w:val="auto"/>
                      <w:kern w:val="0"/>
                      <w:sz w:val="18"/>
                      <w:szCs w:val="18"/>
                      <w:lang w:bidi="ar"/>
                    </w:rPr>
                    <w:t>。</w:t>
                  </w:r>
                </w:p>
              </w:tc>
              <w:tc>
                <w:tcPr>
                  <w:tcW w:w="650" w:type="pct"/>
                  <w:vMerge w:val="continue"/>
                  <w:tcBorders>
                    <w:tl2br w:val="nil"/>
                    <w:tr2bl w:val="nil"/>
                  </w:tcBorders>
                  <w:vAlign w:val="center"/>
                </w:tcPr>
                <w:p w14:paraId="6FCA15FC">
                  <w:pPr>
                    <w:jc w:val="center"/>
                    <w:rPr>
                      <w:rFonts w:hint="default" w:ascii="Times New Roman" w:hAnsi="Times New Roman" w:cs="Times New Roman"/>
                      <w:color w:val="auto"/>
                      <w:sz w:val="18"/>
                      <w:szCs w:val="18"/>
                    </w:rPr>
                  </w:pPr>
                </w:p>
              </w:tc>
            </w:tr>
            <w:tr w14:paraId="13D85D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33" w:type="pct"/>
                  <w:vMerge w:val="continue"/>
                  <w:tcBorders>
                    <w:tl2br w:val="nil"/>
                    <w:tr2bl w:val="nil"/>
                  </w:tcBorders>
                  <w:vAlign w:val="center"/>
                </w:tcPr>
                <w:p w14:paraId="27842DD4">
                  <w:pPr>
                    <w:jc w:val="center"/>
                    <w:rPr>
                      <w:rFonts w:hint="default" w:ascii="Times New Roman" w:hAnsi="Times New Roman" w:cs="Times New Roman"/>
                      <w:color w:val="auto"/>
                      <w:sz w:val="18"/>
                      <w:szCs w:val="18"/>
                    </w:rPr>
                  </w:pPr>
                </w:p>
              </w:tc>
              <w:tc>
                <w:tcPr>
                  <w:tcW w:w="727" w:type="pct"/>
                  <w:tcBorders>
                    <w:tl2br w:val="nil"/>
                    <w:tr2bl w:val="nil"/>
                  </w:tcBorders>
                  <w:vAlign w:val="center"/>
                </w:tcPr>
                <w:p w14:paraId="14DED57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循环水池</w:t>
                  </w:r>
                </w:p>
              </w:tc>
              <w:tc>
                <w:tcPr>
                  <w:tcW w:w="2988" w:type="pct"/>
                  <w:tcBorders>
                    <w:tl2br w:val="nil"/>
                    <w:tr2bl w:val="nil"/>
                  </w:tcBorders>
                  <w:vAlign w:val="center"/>
                </w:tcPr>
                <w:p w14:paraId="43AFF997">
                  <w:pPr>
                    <w:widowControl/>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容积1000m</w:t>
                  </w:r>
                  <w:r>
                    <w:rPr>
                      <w:rFonts w:hint="default" w:ascii="Times New Roman" w:hAnsi="Times New Roman" w:cs="Times New Roman"/>
                      <w:color w:val="auto"/>
                      <w:kern w:val="0"/>
                      <w:sz w:val="18"/>
                      <w:szCs w:val="18"/>
                      <w:vertAlign w:val="superscript"/>
                      <w:lang w:bidi="ar"/>
                    </w:rPr>
                    <w:t>3</w:t>
                  </w:r>
                  <w:r>
                    <w:rPr>
                      <w:rFonts w:hint="default" w:ascii="Times New Roman" w:hAnsi="Times New Roman" w:cs="Times New Roman"/>
                      <w:color w:val="auto"/>
                      <w:kern w:val="0"/>
                      <w:sz w:val="18"/>
                      <w:szCs w:val="18"/>
                      <w:lang w:bidi="ar"/>
                    </w:rPr>
                    <w:t>。</w:t>
                  </w:r>
                </w:p>
              </w:tc>
              <w:tc>
                <w:tcPr>
                  <w:tcW w:w="650" w:type="pct"/>
                  <w:vMerge w:val="continue"/>
                  <w:tcBorders>
                    <w:tl2br w:val="nil"/>
                    <w:tr2bl w:val="nil"/>
                  </w:tcBorders>
                  <w:vAlign w:val="center"/>
                </w:tcPr>
                <w:p w14:paraId="5106FB02">
                  <w:pPr>
                    <w:jc w:val="center"/>
                    <w:rPr>
                      <w:rFonts w:hint="default" w:ascii="Times New Roman" w:hAnsi="Times New Roman" w:cs="Times New Roman"/>
                      <w:color w:val="auto"/>
                      <w:sz w:val="18"/>
                      <w:szCs w:val="18"/>
                    </w:rPr>
                  </w:pPr>
                </w:p>
              </w:tc>
            </w:tr>
            <w:tr w14:paraId="4A1EEB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33" w:type="pct"/>
                  <w:tcBorders>
                    <w:tl2br w:val="nil"/>
                    <w:tr2bl w:val="nil"/>
                  </w:tcBorders>
                  <w:vAlign w:val="center"/>
                </w:tcPr>
                <w:p w14:paraId="6E939F1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公用工程</w:t>
                  </w:r>
                </w:p>
              </w:tc>
              <w:tc>
                <w:tcPr>
                  <w:tcW w:w="3716" w:type="pct"/>
                  <w:gridSpan w:val="2"/>
                  <w:tcBorders>
                    <w:tl2br w:val="nil"/>
                    <w:tr2bl w:val="nil"/>
                  </w:tcBorders>
                  <w:vAlign w:val="center"/>
                </w:tcPr>
                <w:p w14:paraId="304C48B2">
                  <w:pPr>
                    <w:widowControl/>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给、排水管网，供电线路。</w:t>
                  </w:r>
                </w:p>
              </w:tc>
              <w:tc>
                <w:tcPr>
                  <w:tcW w:w="650" w:type="pct"/>
                  <w:vMerge w:val="restart"/>
                  <w:tcBorders>
                    <w:tl2br w:val="nil"/>
                    <w:tr2bl w:val="nil"/>
                  </w:tcBorders>
                  <w:vAlign w:val="center"/>
                </w:tcPr>
                <w:p w14:paraId="798DA5C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保留</w:t>
                  </w:r>
                </w:p>
              </w:tc>
            </w:tr>
            <w:tr w14:paraId="069D8D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33" w:type="pct"/>
                  <w:vMerge w:val="restart"/>
                  <w:tcBorders>
                    <w:tl2br w:val="nil"/>
                    <w:tr2bl w:val="nil"/>
                  </w:tcBorders>
                  <w:vAlign w:val="center"/>
                </w:tcPr>
                <w:p w14:paraId="1F3ED1F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环保工程</w:t>
                  </w:r>
                </w:p>
              </w:tc>
              <w:tc>
                <w:tcPr>
                  <w:tcW w:w="3716" w:type="pct"/>
                  <w:gridSpan w:val="2"/>
                  <w:tcBorders>
                    <w:tl2br w:val="nil"/>
                    <w:tr2bl w:val="nil"/>
                  </w:tcBorders>
                  <w:vAlign w:val="center"/>
                </w:tcPr>
                <w:p w14:paraId="480AD457">
                  <w:pPr>
                    <w:widowControl/>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办公生活区内建有1个10m</w:t>
                  </w:r>
                  <w:r>
                    <w:rPr>
                      <w:rFonts w:hint="default" w:ascii="Times New Roman" w:hAnsi="Times New Roman" w:cs="Times New Roman"/>
                      <w:color w:val="auto"/>
                      <w:kern w:val="0"/>
                      <w:sz w:val="18"/>
                      <w:szCs w:val="18"/>
                      <w:vertAlign w:val="superscript"/>
                      <w:lang w:bidi="ar"/>
                    </w:rPr>
                    <w:t>3</w:t>
                  </w:r>
                  <w:r>
                    <w:rPr>
                      <w:rFonts w:hint="default" w:ascii="Times New Roman" w:hAnsi="Times New Roman" w:cs="Times New Roman"/>
                      <w:color w:val="auto"/>
                      <w:kern w:val="0"/>
                      <w:sz w:val="18"/>
                      <w:szCs w:val="18"/>
                      <w:lang w:bidi="ar"/>
                    </w:rPr>
                    <w:t>的化粪池，生活污水经化粪池预处理后排入工业园区污水管网。</w:t>
                  </w:r>
                </w:p>
              </w:tc>
              <w:tc>
                <w:tcPr>
                  <w:tcW w:w="650" w:type="pct"/>
                  <w:vMerge w:val="continue"/>
                  <w:tcBorders>
                    <w:tl2br w:val="nil"/>
                    <w:tr2bl w:val="nil"/>
                  </w:tcBorders>
                  <w:vAlign w:val="center"/>
                </w:tcPr>
                <w:p w14:paraId="6280E9FE">
                  <w:pPr>
                    <w:jc w:val="center"/>
                    <w:rPr>
                      <w:rFonts w:hint="default" w:ascii="Times New Roman" w:hAnsi="Times New Roman" w:cs="Times New Roman"/>
                      <w:color w:val="auto"/>
                      <w:sz w:val="18"/>
                      <w:szCs w:val="18"/>
                    </w:rPr>
                  </w:pPr>
                </w:p>
              </w:tc>
            </w:tr>
            <w:tr w14:paraId="17BAD4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33" w:type="pct"/>
                  <w:vMerge w:val="continue"/>
                  <w:tcBorders>
                    <w:tl2br w:val="nil"/>
                    <w:tr2bl w:val="nil"/>
                  </w:tcBorders>
                  <w:vAlign w:val="center"/>
                </w:tcPr>
                <w:p w14:paraId="65517FAA">
                  <w:pPr>
                    <w:jc w:val="center"/>
                    <w:rPr>
                      <w:rFonts w:hint="default" w:ascii="Times New Roman" w:hAnsi="Times New Roman" w:cs="Times New Roman"/>
                      <w:color w:val="auto"/>
                      <w:sz w:val="18"/>
                      <w:szCs w:val="18"/>
                    </w:rPr>
                  </w:pPr>
                </w:p>
              </w:tc>
              <w:tc>
                <w:tcPr>
                  <w:tcW w:w="3716" w:type="pct"/>
                  <w:gridSpan w:val="2"/>
                  <w:tcBorders>
                    <w:tl2br w:val="nil"/>
                    <w:tr2bl w:val="nil"/>
                  </w:tcBorders>
                  <w:vAlign w:val="center"/>
                </w:tcPr>
                <w:p w14:paraId="029B77BA">
                  <w:pPr>
                    <w:widowControl/>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在办公生活区和生产区设置垃圾桶若干。</w:t>
                  </w:r>
                </w:p>
              </w:tc>
              <w:tc>
                <w:tcPr>
                  <w:tcW w:w="650" w:type="pct"/>
                  <w:vMerge w:val="continue"/>
                  <w:tcBorders>
                    <w:tl2br w:val="nil"/>
                    <w:tr2bl w:val="nil"/>
                  </w:tcBorders>
                  <w:vAlign w:val="center"/>
                </w:tcPr>
                <w:p w14:paraId="214CBB51">
                  <w:pPr>
                    <w:jc w:val="center"/>
                    <w:rPr>
                      <w:rFonts w:hint="default" w:ascii="Times New Roman" w:hAnsi="Times New Roman" w:cs="Times New Roman"/>
                      <w:color w:val="auto"/>
                      <w:sz w:val="18"/>
                      <w:szCs w:val="18"/>
                    </w:rPr>
                  </w:pPr>
                </w:p>
              </w:tc>
            </w:tr>
            <w:tr w14:paraId="71993D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33" w:type="pct"/>
                  <w:vMerge w:val="continue"/>
                  <w:tcBorders>
                    <w:tl2br w:val="nil"/>
                    <w:tr2bl w:val="nil"/>
                  </w:tcBorders>
                  <w:vAlign w:val="center"/>
                </w:tcPr>
                <w:p w14:paraId="7571DEA1">
                  <w:pPr>
                    <w:jc w:val="center"/>
                    <w:rPr>
                      <w:rFonts w:hint="default" w:ascii="Times New Roman" w:hAnsi="Times New Roman" w:cs="Times New Roman"/>
                      <w:color w:val="auto"/>
                      <w:sz w:val="18"/>
                      <w:szCs w:val="18"/>
                    </w:rPr>
                  </w:pPr>
                </w:p>
              </w:tc>
              <w:tc>
                <w:tcPr>
                  <w:tcW w:w="3716" w:type="pct"/>
                  <w:gridSpan w:val="2"/>
                  <w:tcBorders>
                    <w:tl2br w:val="nil"/>
                    <w:tr2bl w:val="nil"/>
                  </w:tcBorders>
                  <w:vAlign w:val="center"/>
                </w:tcPr>
                <w:p w14:paraId="2C76C771">
                  <w:pPr>
                    <w:widowControl/>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厂区内1个5m</w:t>
                  </w:r>
                  <w:r>
                    <w:rPr>
                      <w:rFonts w:hint="default" w:ascii="Times New Roman" w:hAnsi="Times New Roman" w:cs="Times New Roman"/>
                      <w:color w:val="auto"/>
                      <w:kern w:val="0"/>
                      <w:sz w:val="18"/>
                      <w:szCs w:val="18"/>
                      <w:vertAlign w:val="superscript"/>
                      <w:lang w:bidi="ar"/>
                    </w:rPr>
                    <w:t>2</w:t>
                  </w:r>
                  <w:r>
                    <w:rPr>
                      <w:rFonts w:hint="default" w:ascii="Times New Roman" w:hAnsi="Times New Roman" w:cs="Times New Roman"/>
                      <w:color w:val="auto"/>
                      <w:kern w:val="0"/>
                      <w:sz w:val="18"/>
                      <w:szCs w:val="18"/>
                      <w:lang w:bidi="ar"/>
                    </w:rPr>
                    <w:t>危险废物贮存库，主要用于储存废机油。</w:t>
                  </w:r>
                </w:p>
              </w:tc>
              <w:tc>
                <w:tcPr>
                  <w:tcW w:w="650" w:type="pct"/>
                  <w:tcBorders>
                    <w:tl2br w:val="nil"/>
                    <w:tr2bl w:val="nil"/>
                  </w:tcBorders>
                  <w:vAlign w:val="center"/>
                </w:tcPr>
                <w:p w14:paraId="63CE04C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保留</w:t>
                  </w:r>
                </w:p>
              </w:tc>
            </w:tr>
            <w:tr w14:paraId="504D6D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33" w:type="pct"/>
                  <w:vMerge w:val="continue"/>
                  <w:tcBorders>
                    <w:tl2br w:val="nil"/>
                    <w:tr2bl w:val="nil"/>
                  </w:tcBorders>
                  <w:vAlign w:val="center"/>
                </w:tcPr>
                <w:p w14:paraId="1EDDF0FA">
                  <w:pPr>
                    <w:jc w:val="center"/>
                    <w:rPr>
                      <w:rFonts w:hint="default" w:ascii="Times New Roman" w:hAnsi="Times New Roman" w:cs="Times New Roman"/>
                      <w:color w:val="auto"/>
                      <w:sz w:val="18"/>
                      <w:szCs w:val="18"/>
                    </w:rPr>
                  </w:pPr>
                </w:p>
              </w:tc>
              <w:tc>
                <w:tcPr>
                  <w:tcW w:w="3716" w:type="pct"/>
                  <w:gridSpan w:val="2"/>
                  <w:tcBorders>
                    <w:tl2br w:val="nil"/>
                    <w:tr2bl w:val="nil"/>
                  </w:tcBorders>
                  <w:vAlign w:val="center"/>
                </w:tcPr>
                <w:p w14:paraId="4372762B">
                  <w:pPr>
                    <w:widowControl/>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厂区内浊循环水池建设有一座200m</w:t>
                  </w:r>
                  <w:r>
                    <w:rPr>
                      <w:rFonts w:hint="default" w:ascii="Times New Roman" w:hAnsi="Times New Roman" w:cs="Times New Roman"/>
                      <w:color w:val="auto"/>
                      <w:kern w:val="0"/>
                      <w:sz w:val="18"/>
                      <w:szCs w:val="18"/>
                      <w:vertAlign w:val="superscript"/>
                      <w:lang w:bidi="ar"/>
                    </w:rPr>
                    <w:t>3</w:t>
                  </w:r>
                  <w:r>
                    <w:rPr>
                      <w:rFonts w:hint="default" w:ascii="Times New Roman" w:hAnsi="Times New Roman" w:cs="Times New Roman"/>
                      <w:color w:val="auto"/>
                      <w:kern w:val="0"/>
                      <w:sz w:val="18"/>
                      <w:szCs w:val="18"/>
                      <w:lang w:bidi="ar"/>
                    </w:rPr>
                    <w:t>沉淀池。</w:t>
                  </w:r>
                </w:p>
              </w:tc>
              <w:tc>
                <w:tcPr>
                  <w:tcW w:w="650" w:type="pct"/>
                  <w:tcBorders>
                    <w:tl2br w:val="nil"/>
                    <w:tr2bl w:val="nil"/>
                  </w:tcBorders>
                  <w:vAlign w:val="center"/>
                </w:tcPr>
                <w:p w14:paraId="192C372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保留</w:t>
                  </w:r>
                </w:p>
              </w:tc>
            </w:tr>
            <w:tr w14:paraId="7EFED3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33" w:type="pct"/>
                  <w:vMerge w:val="continue"/>
                  <w:tcBorders>
                    <w:tl2br w:val="nil"/>
                    <w:tr2bl w:val="nil"/>
                  </w:tcBorders>
                  <w:vAlign w:val="center"/>
                </w:tcPr>
                <w:p w14:paraId="457CEA83">
                  <w:pPr>
                    <w:jc w:val="center"/>
                    <w:rPr>
                      <w:rFonts w:hint="default" w:ascii="Times New Roman" w:hAnsi="Times New Roman" w:cs="Times New Roman"/>
                      <w:color w:val="auto"/>
                      <w:sz w:val="18"/>
                      <w:szCs w:val="18"/>
                    </w:rPr>
                  </w:pPr>
                </w:p>
              </w:tc>
              <w:tc>
                <w:tcPr>
                  <w:tcW w:w="3716" w:type="pct"/>
                  <w:gridSpan w:val="2"/>
                  <w:tcBorders>
                    <w:tl2br w:val="nil"/>
                    <w:tr2bl w:val="nil"/>
                  </w:tcBorders>
                  <w:vAlign w:val="center"/>
                </w:tcPr>
                <w:p w14:paraId="643D9002">
                  <w:pPr>
                    <w:widowControl/>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绿化面积300m</w:t>
                  </w:r>
                  <w:r>
                    <w:rPr>
                      <w:rFonts w:hint="default" w:ascii="Times New Roman" w:hAnsi="Times New Roman" w:cs="Times New Roman"/>
                      <w:color w:val="auto"/>
                      <w:kern w:val="0"/>
                      <w:sz w:val="18"/>
                      <w:szCs w:val="18"/>
                      <w:vertAlign w:val="superscript"/>
                      <w:lang w:bidi="ar"/>
                    </w:rPr>
                    <w:t>2</w:t>
                  </w:r>
                  <w:r>
                    <w:rPr>
                      <w:rFonts w:hint="default" w:ascii="Times New Roman" w:hAnsi="Times New Roman" w:cs="Times New Roman"/>
                      <w:color w:val="auto"/>
                      <w:kern w:val="0"/>
                      <w:sz w:val="18"/>
                      <w:szCs w:val="18"/>
                      <w:lang w:bidi="ar"/>
                    </w:rPr>
                    <w:t>。</w:t>
                  </w:r>
                </w:p>
              </w:tc>
              <w:tc>
                <w:tcPr>
                  <w:tcW w:w="650" w:type="pct"/>
                  <w:tcBorders>
                    <w:tl2br w:val="nil"/>
                    <w:tr2bl w:val="nil"/>
                  </w:tcBorders>
                  <w:vAlign w:val="center"/>
                </w:tcPr>
                <w:p w14:paraId="28CA969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保留</w:t>
                  </w:r>
                </w:p>
              </w:tc>
            </w:tr>
          </w:tbl>
          <w:p w14:paraId="10F6510A">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1.2现有工程建设规模及产品方案</w:t>
            </w:r>
          </w:p>
          <w:p w14:paraId="548F9B03">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根据现有工程的实际情况，现有厂区内的型钢生产线，主要生产工字钢，生产能力约30万吨。</w:t>
            </w:r>
          </w:p>
          <w:p w14:paraId="243AACA4">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1.3现有设备情况</w:t>
            </w:r>
          </w:p>
          <w:p w14:paraId="79FDCE4A">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现有工字钢生产工程设备具体见下表：</w:t>
            </w:r>
          </w:p>
          <w:p w14:paraId="18DFEE5D">
            <w:pPr>
              <w:spacing w:line="360" w:lineRule="auto"/>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表2-9    现有工程型钢生产线生产设备明细单</w:t>
            </w:r>
          </w:p>
          <w:tbl>
            <w:tblPr>
              <w:tblStyle w:val="35"/>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5"/>
              <w:gridCol w:w="2321"/>
              <w:gridCol w:w="2650"/>
              <w:gridCol w:w="1327"/>
              <w:gridCol w:w="1169"/>
            </w:tblGrid>
            <w:tr w14:paraId="6B21D2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2" w:type="pct"/>
                  <w:tcBorders>
                    <w:tl2br w:val="nil"/>
                    <w:tr2bl w:val="nil"/>
                  </w:tcBorders>
                  <w:vAlign w:val="center"/>
                </w:tcPr>
                <w:p w14:paraId="61C8147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1400" w:type="pct"/>
                  <w:tcBorders>
                    <w:tl2br w:val="nil"/>
                    <w:tr2bl w:val="nil"/>
                  </w:tcBorders>
                  <w:vAlign w:val="center"/>
                </w:tcPr>
                <w:p w14:paraId="53C5F94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设备名称</w:t>
                  </w:r>
                </w:p>
              </w:tc>
              <w:tc>
                <w:tcPr>
                  <w:tcW w:w="1599" w:type="pct"/>
                  <w:tcBorders>
                    <w:tl2br w:val="nil"/>
                    <w:tr2bl w:val="nil"/>
                  </w:tcBorders>
                  <w:vAlign w:val="center"/>
                </w:tcPr>
                <w:p w14:paraId="6CF9607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规格型号</w:t>
                  </w:r>
                </w:p>
              </w:tc>
              <w:tc>
                <w:tcPr>
                  <w:tcW w:w="801" w:type="pct"/>
                  <w:tcBorders>
                    <w:tl2br w:val="nil"/>
                    <w:tr2bl w:val="nil"/>
                  </w:tcBorders>
                  <w:vAlign w:val="center"/>
                </w:tcPr>
                <w:p w14:paraId="35F704E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数量</w:t>
                  </w:r>
                </w:p>
              </w:tc>
              <w:tc>
                <w:tcPr>
                  <w:tcW w:w="706" w:type="pct"/>
                  <w:tcBorders>
                    <w:tl2br w:val="nil"/>
                    <w:tr2bl w:val="nil"/>
                  </w:tcBorders>
                  <w:vAlign w:val="center"/>
                </w:tcPr>
                <w:p w14:paraId="60850BC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备注</w:t>
                  </w:r>
                </w:p>
              </w:tc>
            </w:tr>
            <w:tr w14:paraId="0B84C6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2" w:type="pct"/>
                  <w:tcBorders>
                    <w:tl2br w:val="nil"/>
                    <w:tr2bl w:val="nil"/>
                  </w:tcBorders>
                  <w:vAlign w:val="center"/>
                </w:tcPr>
                <w:p w14:paraId="0B82E5E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400" w:type="pct"/>
                  <w:tcBorders>
                    <w:tl2br w:val="nil"/>
                    <w:tr2bl w:val="nil"/>
                  </w:tcBorders>
                  <w:vAlign w:val="center"/>
                </w:tcPr>
                <w:p w14:paraId="37BAB1E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步进式加热炉</w:t>
                  </w:r>
                </w:p>
              </w:tc>
              <w:tc>
                <w:tcPr>
                  <w:tcW w:w="1599" w:type="pct"/>
                  <w:tcBorders>
                    <w:tl2br w:val="nil"/>
                    <w:tr2bl w:val="nil"/>
                  </w:tcBorders>
                  <w:vAlign w:val="center"/>
                </w:tcPr>
                <w:p w14:paraId="10479C6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6.5m×32m推钢蓄能式加热炉</w:t>
                  </w:r>
                </w:p>
              </w:tc>
              <w:tc>
                <w:tcPr>
                  <w:tcW w:w="801" w:type="pct"/>
                  <w:tcBorders>
                    <w:tl2br w:val="nil"/>
                    <w:tr2bl w:val="nil"/>
                  </w:tcBorders>
                  <w:vAlign w:val="center"/>
                </w:tcPr>
                <w:p w14:paraId="2646BDD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1座</w:t>
                  </w:r>
                </w:p>
              </w:tc>
              <w:tc>
                <w:tcPr>
                  <w:tcW w:w="706" w:type="pct"/>
                  <w:tcBorders>
                    <w:tl2br w:val="nil"/>
                    <w:tr2bl w:val="nil"/>
                  </w:tcBorders>
                  <w:vAlign w:val="center"/>
                </w:tcPr>
                <w:p w14:paraId="02EE502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保留</w:t>
                  </w:r>
                </w:p>
              </w:tc>
            </w:tr>
            <w:tr w14:paraId="1D7540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2" w:type="pct"/>
                  <w:tcBorders>
                    <w:tl2br w:val="nil"/>
                    <w:tr2bl w:val="nil"/>
                  </w:tcBorders>
                  <w:vAlign w:val="center"/>
                </w:tcPr>
                <w:p w14:paraId="7FB08B3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400" w:type="pct"/>
                  <w:tcBorders>
                    <w:tl2br w:val="nil"/>
                    <w:tr2bl w:val="nil"/>
                  </w:tcBorders>
                  <w:vAlign w:val="center"/>
                </w:tcPr>
                <w:p w14:paraId="32D8CD0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除磷设备</w:t>
                  </w:r>
                </w:p>
              </w:tc>
              <w:tc>
                <w:tcPr>
                  <w:tcW w:w="1599" w:type="pct"/>
                  <w:tcBorders>
                    <w:tl2br w:val="nil"/>
                    <w:tr2bl w:val="nil"/>
                  </w:tcBorders>
                  <w:vAlign w:val="center"/>
                </w:tcPr>
                <w:p w14:paraId="423E686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801" w:type="pct"/>
                  <w:tcBorders>
                    <w:tl2br w:val="nil"/>
                    <w:tr2bl w:val="nil"/>
                  </w:tcBorders>
                  <w:vAlign w:val="center"/>
                </w:tcPr>
                <w:p w14:paraId="6F36F4C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1套</w:t>
                  </w:r>
                </w:p>
              </w:tc>
              <w:tc>
                <w:tcPr>
                  <w:tcW w:w="706" w:type="pct"/>
                  <w:tcBorders>
                    <w:tl2br w:val="nil"/>
                    <w:tr2bl w:val="nil"/>
                  </w:tcBorders>
                  <w:vAlign w:val="center"/>
                </w:tcPr>
                <w:p w14:paraId="2A586DB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保留</w:t>
                  </w:r>
                </w:p>
              </w:tc>
            </w:tr>
            <w:tr w14:paraId="4E07B0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2" w:type="pct"/>
                  <w:tcBorders>
                    <w:tl2br w:val="nil"/>
                    <w:tr2bl w:val="nil"/>
                  </w:tcBorders>
                  <w:vAlign w:val="center"/>
                </w:tcPr>
                <w:p w14:paraId="36486FD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1400" w:type="pct"/>
                  <w:tcBorders>
                    <w:tl2br w:val="nil"/>
                    <w:tr2bl w:val="nil"/>
                  </w:tcBorders>
                  <w:vAlign w:val="center"/>
                </w:tcPr>
                <w:p w14:paraId="13F8016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顶钢机</w:t>
                  </w:r>
                </w:p>
              </w:tc>
              <w:tc>
                <w:tcPr>
                  <w:tcW w:w="1599" w:type="pct"/>
                  <w:tcBorders>
                    <w:tl2br w:val="nil"/>
                    <w:tr2bl w:val="nil"/>
                  </w:tcBorders>
                  <w:vAlign w:val="center"/>
                </w:tcPr>
                <w:p w14:paraId="2C5A5B8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液压式</w:t>
                  </w:r>
                </w:p>
              </w:tc>
              <w:tc>
                <w:tcPr>
                  <w:tcW w:w="801" w:type="pct"/>
                  <w:tcBorders>
                    <w:tl2br w:val="nil"/>
                    <w:tr2bl w:val="nil"/>
                  </w:tcBorders>
                  <w:vAlign w:val="center"/>
                </w:tcPr>
                <w:p w14:paraId="2177249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1台</w:t>
                  </w:r>
                </w:p>
              </w:tc>
              <w:tc>
                <w:tcPr>
                  <w:tcW w:w="706" w:type="pct"/>
                  <w:tcBorders>
                    <w:tl2br w:val="nil"/>
                    <w:tr2bl w:val="nil"/>
                  </w:tcBorders>
                  <w:vAlign w:val="center"/>
                </w:tcPr>
                <w:p w14:paraId="72C36BB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保留</w:t>
                  </w:r>
                </w:p>
              </w:tc>
            </w:tr>
            <w:tr w14:paraId="52D19F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2" w:type="pct"/>
                  <w:tcBorders>
                    <w:tl2br w:val="nil"/>
                    <w:tr2bl w:val="nil"/>
                  </w:tcBorders>
                  <w:vAlign w:val="center"/>
                </w:tcPr>
                <w:p w14:paraId="1813D5C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400" w:type="pct"/>
                  <w:tcBorders>
                    <w:tl2br w:val="nil"/>
                    <w:tr2bl w:val="nil"/>
                  </w:tcBorders>
                  <w:vAlign w:val="center"/>
                </w:tcPr>
                <w:p w14:paraId="4BFCA64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粗轧机</w:t>
                  </w:r>
                </w:p>
              </w:tc>
              <w:tc>
                <w:tcPr>
                  <w:tcW w:w="1599" w:type="pct"/>
                  <w:tcBorders>
                    <w:tl2br w:val="nil"/>
                    <w:tr2bl w:val="nil"/>
                  </w:tcBorders>
                  <w:vAlign w:val="center"/>
                </w:tcPr>
                <w:p w14:paraId="3682F49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Φ550×1-1700</w:t>
                  </w:r>
                </w:p>
              </w:tc>
              <w:tc>
                <w:tcPr>
                  <w:tcW w:w="801" w:type="pct"/>
                  <w:tcBorders>
                    <w:tl2br w:val="nil"/>
                    <w:tr2bl w:val="nil"/>
                  </w:tcBorders>
                  <w:vAlign w:val="center"/>
                </w:tcPr>
                <w:p w14:paraId="58EE0AB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2列</w:t>
                  </w:r>
                </w:p>
              </w:tc>
              <w:tc>
                <w:tcPr>
                  <w:tcW w:w="706" w:type="pct"/>
                  <w:tcBorders>
                    <w:tl2br w:val="nil"/>
                    <w:tr2bl w:val="nil"/>
                  </w:tcBorders>
                  <w:vAlign w:val="center"/>
                </w:tcPr>
                <w:p w14:paraId="3F1CE6D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保留</w:t>
                  </w:r>
                </w:p>
              </w:tc>
            </w:tr>
            <w:tr w14:paraId="04F700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2" w:type="pct"/>
                  <w:tcBorders>
                    <w:tl2br w:val="nil"/>
                    <w:tr2bl w:val="nil"/>
                  </w:tcBorders>
                  <w:vAlign w:val="center"/>
                </w:tcPr>
                <w:p w14:paraId="4EED3EF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400" w:type="pct"/>
                  <w:tcBorders>
                    <w:tl2br w:val="nil"/>
                    <w:tr2bl w:val="nil"/>
                  </w:tcBorders>
                  <w:vAlign w:val="center"/>
                </w:tcPr>
                <w:p w14:paraId="7E945C7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电机</w:t>
                  </w:r>
                </w:p>
              </w:tc>
              <w:tc>
                <w:tcPr>
                  <w:tcW w:w="1599" w:type="pct"/>
                  <w:tcBorders>
                    <w:tl2br w:val="nil"/>
                    <w:tr2bl w:val="nil"/>
                  </w:tcBorders>
                  <w:vAlign w:val="center"/>
                </w:tcPr>
                <w:p w14:paraId="1CAD4FC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YR2200-12  10KV</w:t>
                  </w:r>
                </w:p>
              </w:tc>
              <w:tc>
                <w:tcPr>
                  <w:tcW w:w="801" w:type="pct"/>
                  <w:tcBorders>
                    <w:tl2br w:val="nil"/>
                    <w:tr2bl w:val="nil"/>
                  </w:tcBorders>
                  <w:vAlign w:val="center"/>
                </w:tcPr>
                <w:p w14:paraId="3FDA3E7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1台</w:t>
                  </w:r>
                </w:p>
              </w:tc>
              <w:tc>
                <w:tcPr>
                  <w:tcW w:w="706" w:type="pct"/>
                  <w:tcBorders>
                    <w:tl2br w:val="nil"/>
                    <w:tr2bl w:val="nil"/>
                  </w:tcBorders>
                  <w:vAlign w:val="center"/>
                </w:tcPr>
                <w:p w14:paraId="329B256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保留</w:t>
                  </w:r>
                </w:p>
              </w:tc>
            </w:tr>
            <w:tr w14:paraId="65CCBC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2" w:type="pct"/>
                  <w:tcBorders>
                    <w:tl2br w:val="nil"/>
                    <w:tr2bl w:val="nil"/>
                  </w:tcBorders>
                  <w:vAlign w:val="center"/>
                </w:tcPr>
                <w:p w14:paraId="12D10ED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1400" w:type="pct"/>
                  <w:tcBorders>
                    <w:tl2br w:val="nil"/>
                    <w:tr2bl w:val="nil"/>
                  </w:tcBorders>
                  <w:vAlign w:val="center"/>
                </w:tcPr>
                <w:p w14:paraId="7933DA9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水平轧机</w:t>
                  </w:r>
                </w:p>
              </w:tc>
              <w:tc>
                <w:tcPr>
                  <w:tcW w:w="1599" w:type="pct"/>
                  <w:tcBorders>
                    <w:tl2br w:val="nil"/>
                    <w:tr2bl w:val="nil"/>
                  </w:tcBorders>
                  <w:vAlign w:val="center"/>
                </w:tcPr>
                <w:p w14:paraId="55550C4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Φ450×8</w:t>
                  </w:r>
                </w:p>
              </w:tc>
              <w:tc>
                <w:tcPr>
                  <w:tcW w:w="801" w:type="pct"/>
                  <w:tcBorders>
                    <w:tl2br w:val="nil"/>
                    <w:tr2bl w:val="nil"/>
                  </w:tcBorders>
                  <w:vAlign w:val="center"/>
                </w:tcPr>
                <w:p w14:paraId="3AC4AF6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8列</w:t>
                  </w:r>
                </w:p>
              </w:tc>
              <w:tc>
                <w:tcPr>
                  <w:tcW w:w="706" w:type="pct"/>
                  <w:tcBorders>
                    <w:tl2br w:val="nil"/>
                    <w:tr2bl w:val="nil"/>
                  </w:tcBorders>
                  <w:vAlign w:val="center"/>
                </w:tcPr>
                <w:p w14:paraId="2688B67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保留</w:t>
                  </w:r>
                </w:p>
              </w:tc>
            </w:tr>
            <w:tr w14:paraId="196C5D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2" w:type="pct"/>
                  <w:tcBorders>
                    <w:tl2br w:val="nil"/>
                    <w:tr2bl w:val="nil"/>
                  </w:tcBorders>
                  <w:vAlign w:val="center"/>
                </w:tcPr>
                <w:p w14:paraId="7A71596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1400" w:type="pct"/>
                  <w:tcBorders>
                    <w:tl2br w:val="nil"/>
                    <w:tr2bl w:val="nil"/>
                  </w:tcBorders>
                  <w:vAlign w:val="center"/>
                </w:tcPr>
                <w:p w14:paraId="697FADD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立轧机</w:t>
                  </w:r>
                </w:p>
              </w:tc>
              <w:tc>
                <w:tcPr>
                  <w:tcW w:w="1599" w:type="pct"/>
                  <w:tcBorders>
                    <w:tl2br w:val="nil"/>
                    <w:tr2bl w:val="nil"/>
                  </w:tcBorders>
                  <w:vAlign w:val="center"/>
                </w:tcPr>
                <w:p w14:paraId="623D00D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Φ450×2</w:t>
                  </w:r>
                </w:p>
              </w:tc>
              <w:tc>
                <w:tcPr>
                  <w:tcW w:w="801" w:type="pct"/>
                  <w:tcBorders>
                    <w:tl2br w:val="nil"/>
                    <w:tr2bl w:val="nil"/>
                  </w:tcBorders>
                  <w:vAlign w:val="center"/>
                </w:tcPr>
                <w:p w14:paraId="595571D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2列</w:t>
                  </w:r>
                </w:p>
              </w:tc>
              <w:tc>
                <w:tcPr>
                  <w:tcW w:w="706" w:type="pct"/>
                  <w:tcBorders>
                    <w:tl2br w:val="nil"/>
                    <w:tr2bl w:val="nil"/>
                  </w:tcBorders>
                  <w:vAlign w:val="center"/>
                </w:tcPr>
                <w:p w14:paraId="3DFC76F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保留</w:t>
                  </w:r>
                </w:p>
              </w:tc>
            </w:tr>
            <w:tr w14:paraId="6E9098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2" w:type="pct"/>
                  <w:tcBorders>
                    <w:tl2br w:val="nil"/>
                    <w:tr2bl w:val="nil"/>
                  </w:tcBorders>
                  <w:vAlign w:val="center"/>
                </w:tcPr>
                <w:p w14:paraId="6D4D240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w:t>
                  </w:r>
                </w:p>
              </w:tc>
              <w:tc>
                <w:tcPr>
                  <w:tcW w:w="1400" w:type="pct"/>
                  <w:tcBorders>
                    <w:tl2br w:val="nil"/>
                    <w:tr2bl w:val="nil"/>
                  </w:tcBorders>
                  <w:vAlign w:val="center"/>
                </w:tcPr>
                <w:p w14:paraId="436B7FB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精轧电机</w:t>
                  </w:r>
                </w:p>
              </w:tc>
              <w:tc>
                <w:tcPr>
                  <w:tcW w:w="1599" w:type="pct"/>
                  <w:tcBorders>
                    <w:tl2br w:val="nil"/>
                    <w:tr2bl w:val="nil"/>
                  </w:tcBorders>
                  <w:vAlign w:val="center"/>
                </w:tcPr>
                <w:p w14:paraId="0E0FC72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直流800kW</w:t>
                  </w:r>
                </w:p>
              </w:tc>
              <w:tc>
                <w:tcPr>
                  <w:tcW w:w="801" w:type="pct"/>
                  <w:tcBorders>
                    <w:tl2br w:val="nil"/>
                    <w:tr2bl w:val="nil"/>
                  </w:tcBorders>
                  <w:vAlign w:val="center"/>
                </w:tcPr>
                <w:p w14:paraId="0E571E8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10台</w:t>
                  </w:r>
                </w:p>
              </w:tc>
              <w:tc>
                <w:tcPr>
                  <w:tcW w:w="706" w:type="pct"/>
                  <w:tcBorders>
                    <w:tl2br w:val="nil"/>
                    <w:tr2bl w:val="nil"/>
                  </w:tcBorders>
                  <w:vAlign w:val="center"/>
                </w:tcPr>
                <w:p w14:paraId="3F3BA75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保留</w:t>
                  </w:r>
                </w:p>
              </w:tc>
            </w:tr>
            <w:tr w14:paraId="5DC84C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2" w:type="pct"/>
                  <w:tcBorders>
                    <w:tl2br w:val="nil"/>
                    <w:tr2bl w:val="nil"/>
                  </w:tcBorders>
                  <w:vAlign w:val="center"/>
                </w:tcPr>
                <w:p w14:paraId="3C2692A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1400" w:type="pct"/>
                  <w:tcBorders>
                    <w:tl2br w:val="nil"/>
                    <w:tr2bl w:val="nil"/>
                  </w:tcBorders>
                  <w:vAlign w:val="center"/>
                </w:tcPr>
                <w:p w14:paraId="2ED3E4D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升降台</w:t>
                  </w:r>
                </w:p>
              </w:tc>
              <w:tc>
                <w:tcPr>
                  <w:tcW w:w="1599" w:type="pct"/>
                  <w:tcBorders>
                    <w:tl2br w:val="nil"/>
                    <w:tr2bl w:val="nil"/>
                  </w:tcBorders>
                  <w:vAlign w:val="center"/>
                </w:tcPr>
                <w:p w14:paraId="11FF928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气动式</w:t>
                  </w:r>
                </w:p>
              </w:tc>
              <w:tc>
                <w:tcPr>
                  <w:tcW w:w="801" w:type="pct"/>
                  <w:tcBorders>
                    <w:tl2br w:val="nil"/>
                    <w:tr2bl w:val="nil"/>
                  </w:tcBorders>
                  <w:vAlign w:val="center"/>
                </w:tcPr>
                <w:p w14:paraId="14A43CC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1套</w:t>
                  </w:r>
                </w:p>
              </w:tc>
              <w:tc>
                <w:tcPr>
                  <w:tcW w:w="706" w:type="pct"/>
                  <w:tcBorders>
                    <w:tl2br w:val="nil"/>
                    <w:tr2bl w:val="nil"/>
                  </w:tcBorders>
                  <w:vAlign w:val="center"/>
                </w:tcPr>
                <w:p w14:paraId="7BBB5C1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保留</w:t>
                  </w:r>
                </w:p>
              </w:tc>
            </w:tr>
            <w:tr w14:paraId="67BD09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2" w:type="pct"/>
                  <w:tcBorders>
                    <w:tl2br w:val="nil"/>
                    <w:tr2bl w:val="nil"/>
                  </w:tcBorders>
                  <w:vAlign w:val="center"/>
                </w:tcPr>
                <w:p w14:paraId="6823E22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1400" w:type="pct"/>
                  <w:tcBorders>
                    <w:tl2br w:val="nil"/>
                    <w:tr2bl w:val="nil"/>
                  </w:tcBorders>
                  <w:vAlign w:val="center"/>
                </w:tcPr>
                <w:p w14:paraId="43A7537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辊道</w:t>
                  </w:r>
                </w:p>
              </w:tc>
              <w:tc>
                <w:tcPr>
                  <w:tcW w:w="1599" w:type="pct"/>
                  <w:tcBorders>
                    <w:tl2br w:val="nil"/>
                    <w:tr2bl w:val="nil"/>
                  </w:tcBorders>
                  <w:vAlign w:val="center"/>
                </w:tcPr>
                <w:p w14:paraId="05392A7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车间各种辊道</w:t>
                  </w:r>
                </w:p>
              </w:tc>
              <w:tc>
                <w:tcPr>
                  <w:tcW w:w="801" w:type="pct"/>
                  <w:tcBorders>
                    <w:tl2br w:val="nil"/>
                    <w:tr2bl w:val="nil"/>
                  </w:tcBorders>
                  <w:vAlign w:val="center"/>
                </w:tcPr>
                <w:p w14:paraId="7D1FAA5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1套</w:t>
                  </w:r>
                </w:p>
              </w:tc>
              <w:tc>
                <w:tcPr>
                  <w:tcW w:w="706" w:type="pct"/>
                  <w:tcBorders>
                    <w:tl2br w:val="nil"/>
                    <w:tr2bl w:val="nil"/>
                  </w:tcBorders>
                  <w:vAlign w:val="center"/>
                </w:tcPr>
                <w:p w14:paraId="42D7B16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保留</w:t>
                  </w:r>
                </w:p>
              </w:tc>
            </w:tr>
            <w:tr w14:paraId="0BA632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2" w:type="pct"/>
                  <w:tcBorders>
                    <w:tl2br w:val="nil"/>
                    <w:tr2bl w:val="nil"/>
                  </w:tcBorders>
                  <w:vAlign w:val="center"/>
                </w:tcPr>
                <w:p w14:paraId="5A29A64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w:t>
                  </w:r>
                </w:p>
              </w:tc>
              <w:tc>
                <w:tcPr>
                  <w:tcW w:w="1400" w:type="pct"/>
                  <w:tcBorders>
                    <w:tl2br w:val="nil"/>
                    <w:tr2bl w:val="nil"/>
                  </w:tcBorders>
                  <w:vAlign w:val="center"/>
                </w:tcPr>
                <w:p w14:paraId="0ADC45D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型钢全自动飞剪</w:t>
                  </w:r>
                </w:p>
              </w:tc>
              <w:tc>
                <w:tcPr>
                  <w:tcW w:w="1599" w:type="pct"/>
                  <w:tcBorders>
                    <w:tl2br w:val="nil"/>
                    <w:tr2bl w:val="nil"/>
                  </w:tcBorders>
                  <w:vAlign w:val="center"/>
                </w:tcPr>
                <w:p w14:paraId="3F6EFE8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#剪</w:t>
                  </w:r>
                </w:p>
              </w:tc>
              <w:tc>
                <w:tcPr>
                  <w:tcW w:w="801" w:type="pct"/>
                  <w:tcBorders>
                    <w:tl2br w:val="nil"/>
                    <w:tr2bl w:val="nil"/>
                  </w:tcBorders>
                  <w:vAlign w:val="center"/>
                </w:tcPr>
                <w:p w14:paraId="2026485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1台</w:t>
                  </w:r>
                </w:p>
              </w:tc>
              <w:tc>
                <w:tcPr>
                  <w:tcW w:w="706" w:type="pct"/>
                  <w:tcBorders>
                    <w:tl2br w:val="nil"/>
                    <w:tr2bl w:val="nil"/>
                  </w:tcBorders>
                  <w:vAlign w:val="center"/>
                </w:tcPr>
                <w:p w14:paraId="77B23B9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保留</w:t>
                  </w:r>
                </w:p>
              </w:tc>
            </w:tr>
            <w:tr w14:paraId="2749E0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2" w:type="pct"/>
                  <w:tcBorders>
                    <w:tl2br w:val="nil"/>
                    <w:tr2bl w:val="nil"/>
                  </w:tcBorders>
                  <w:vAlign w:val="center"/>
                </w:tcPr>
                <w:p w14:paraId="01FCAB2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1400" w:type="pct"/>
                  <w:tcBorders>
                    <w:tl2br w:val="nil"/>
                    <w:tr2bl w:val="nil"/>
                  </w:tcBorders>
                  <w:vAlign w:val="center"/>
                </w:tcPr>
                <w:p w14:paraId="553ED71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型钢自动冷床</w:t>
                  </w:r>
                </w:p>
              </w:tc>
              <w:tc>
                <w:tcPr>
                  <w:tcW w:w="1599" w:type="pct"/>
                  <w:tcBorders>
                    <w:tl2br w:val="nil"/>
                    <w:tr2bl w:val="nil"/>
                  </w:tcBorders>
                  <w:vAlign w:val="center"/>
                </w:tcPr>
                <w:p w14:paraId="66CDE0E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75M×18M</w:t>
                  </w:r>
                </w:p>
              </w:tc>
              <w:tc>
                <w:tcPr>
                  <w:tcW w:w="801" w:type="pct"/>
                  <w:tcBorders>
                    <w:tl2br w:val="nil"/>
                    <w:tr2bl w:val="nil"/>
                  </w:tcBorders>
                  <w:vAlign w:val="center"/>
                </w:tcPr>
                <w:p w14:paraId="033AB99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1套</w:t>
                  </w:r>
                </w:p>
              </w:tc>
              <w:tc>
                <w:tcPr>
                  <w:tcW w:w="706" w:type="pct"/>
                  <w:tcBorders>
                    <w:tl2br w:val="nil"/>
                    <w:tr2bl w:val="nil"/>
                  </w:tcBorders>
                  <w:vAlign w:val="center"/>
                </w:tcPr>
                <w:p w14:paraId="7EEEB95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保留</w:t>
                  </w:r>
                </w:p>
              </w:tc>
            </w:tr>
            <w:tr w14:paraId="6C44E4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2" w:type="pct"/>
                  <w:tcBorders>
                    <w:tl2br w:val="nil"/>
                    <w:tr2bl w:val="nil"/>
                  </w:tcBorders>
                  <w:vAlign w:val="center"/>
                </w:tcPr>
                <w:p w14:paraId="583C5C8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13</w:t>
                  </w:r>
                </w:p>
              </w:tc>
              <w:tc>
                <w:tcPr>
                  <w:tcW w:w="1400" w:type="pct"/>
                  <w:tcBorders>
                    <w:tl2br w:val="nil"/>
                    <w:tr2bl w:val="nil"/>
                  </w:tcBorders>
                  <w:vAlign w:val="center"/>
                </w:tcPr>
                <w:p w14:paraId="1EB69C8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矫直机</w:t>
                  </w:r>
                </w:p>
              </w:tc>
              <w:tc>
                <w:tcPr>
                  <w:tcW w:w="1599" w:type="pct"/>
                  <w:tcBorders>
                    <w:tl2br w:val="nil"/>
                    <w:tr2bl w:val="nil"/>
                  </w:tcBorders>
                  <w:vAlign w:val="center"/>
                </w:tcPr>
                <w:p w14:paraId="5E9FE00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Φ600×11</w:t>
                  </w:r>
                </w:p>
              </w:tc>
              <w:tc>
                <w:tcPr>
                  <w:tcW w:w="801" w:type="pct"/>
                  <w:tcBorders>
                    <w:tl2br w:val="nil"/>
                    <w:tr2bl w:val="nil"/>
                  </w:tcBorders>
                  <w:vAlign w:val="center"/>
                </w:tcPr>
                <w:p w14:paraId="366339F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2台</w:t>
                  </w:r>
                </w:p>
              </w:tc>
              <w:tc>
                <w:tcPr>
                  <w:tcW w:w="706" w:type="pct"/>
                  <w:tcBorders>
                    <w:tl2br w:val="nil"/>
                    <w:tr2bl w:val="nil"/>
                  </w:tcBorders>
                  <w:vAlign w:val="center"/>
                </w:tcPr>
                <w:p w14:paraId="17B3EAD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保留</w:t>
                  </w:r>
                </w:p>
              </w:tc>
            </w:tr>
            <w:tr w14:paraId="4DA8D0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2" w:type="pct"/>
                  <w:tcBorders>
                    <w:tl2br w:val="nil"/>
                    <w:tr2bl w:val="nil"/>
                  </w:tcBorders>
                  <w:vAlign w:val="center"/>
                </w:tcPr>
                <w:p w14:paraId="29F9AEB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w:t>
                  </w:r>
                </w:p>
              </w:tc>
              <w:tc>
                <w:tcPr>
                  <w:tcW w:w="1400" w:type="pct"/>
                  <w:tcBorders>
                    <w:tl2br w:val="nil"/>
                    <w:tr2bl w:val="nil"/>
                  </w:tcBorders>
                  <w:vAlign w:val="center"/>
                </w:tcPr>
                <w:p w14:paraId="6AB0376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变压器6300kva</w:t>
                  </w:r>
                </w:p>
              </w:tc>
              <w:tc>
                <w:tcPr>
                  <w:tcW w:w="1599" w:type="pct"/>
                  <w:tcBorders>
                    <w:tl2br w:val="nil"/>
                    <w:tr2bl w:val="nil"/>
                  </w:tcBorders>
                  <w:vAlign w:val="center"/>
                </w:tcPr>
                <w:p w14:paraId="05499E7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电压比35000/28000</w:t>
                  </w:r>
                </w:p>
              </w:tc>
              <w:tc>
                <w:tcPr>
                  <w:tcW w:w="801" w:type="pct"/>
                  <w:tcBorders>
                    <w:tl2br w:val="nil"/>
                    <w:tr2bl w:val="nil"/>
                  </w:tcBorders>
                  <w:vAlign w:val="center"/>
                </w:tcPr>
                <w:p w14:paraId="745027D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1台</w:t>
                  </w:r>
                </w:p>
              </w:tc>
              <w:tc>
                <w:tcPr>
                  <w:tcW w:w="706" w:type="pct"/>
                  <w:tcBorders>
                    <w:tl2br w:val="nil"/>
                    <w:tr2bl w:val="nil"/>
                  </w:tcBorders>
                  <w:vAlign w:val="center"/>
                </w:tcPr>
                <w:p w14:paraId="42157EA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保留</w:t>
                  </w:r>
                </w:p>
              </w:tc>
            </w:tr>
            <w:tr w14:paraId="333040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2" w:type="pct"/>
                  <w:tcBorders>
                    <w:tl2br w:val="nil"/>
                    <w:tr2bl w:val="nil"/>
                  </w:tcBorders>
                  <w:vAlign w:val="center"/>
                </w:tcPr>
                <w:p w14:paraId="6046D2F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1400" w:type="pct"/>
                  <w:tcBorders>
                    <w:tl2br w:val="nil"/>
                    <w:tr2bl w:val="nil"/>
                  </w:tcBorders>
                  <w:vAlign w:val="center"/>
                </w:tcPr>
                <w:p w14:paraId="18193E2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变压器2700KVA</w:t>
                  </w:r>
                </w:p>
              </w:tc>
              <w:tc>
                <w:tcPr>
                  <w:tcW w:w="1599" w:type="pct"/>
                  <w:tcBorders>
                    <w:tl2br w:val="nil"/>
                    <w:tr2bl w:val="nil"/>
                  </w:tcBorders>
                  <w:vAlign w:val="center"/>
                </w:tcPr>
                <w:p w14:paraId="1B723CE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电压比35000/10000</w:t>
                  </w:r>
                </w:p>
              </w:tc>
              <w:tc>
                <w:tcPr>
                  <w:tcW w:w="801" w:type="pct"/>
                  <w:tcBorders>
                    <w:tl2br w:val="nil"/>
                    <w:tr2bl w:val="nil"/>
                  </w:tcBorders>
                  <w:vAlign w:val="center"/>
                </w:tcPr>
                <w:p w14:paraId="08964DF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1台</w:t>
                  </w:r>
                </w:p>
              </w:tc>
              <w:tc>
                <w:tcPr>
                  <w:tcW w:w="706" w:type="pct"/>
                  <w:tcBorders>
                    <w:tl2br w:val="nil"/>
                    <w:tr2bl w:val="nil"/>
                  </w:tcBorders>
                  <w:vAlign w:val="center"/>
                </w:tcPr>
                <w:p w14:paraId="093AE35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保留</w:t>
                  </w:r>
                </w:p>
              </w:tc>
            </w:tr>
          </w:tbl>
          <w:p w14:paraId="5D338550">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1.4现有劳动定员及工作制度</w:t>
            </w:r>
          </w:p>
          <w:p w14:paraId="1C8E43C7">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根据现有工程实际生产时长及生产工序情况，因加热和轧制前需要备料、吊装和机修等工序，加热炉及轧机的生产时间为单班12h/d</w:t>
            </w:r>
            <w:r>
              <w:rPr>
                <w:rFonts w:hint="default" w:ascii="Times New Roman" w:hAnsi="Times New Roman" w:cs="Times New Roman"/>
                <w:color w:val="auto"/>
                <w:sz w:val="30"/>
                <w:szCs w:val="30"/>
              </w:rPr>
              <w:t>，</w:t>
            </w:r>
            <w:r>
              <w:rPr>
                <w:rFonts w:hint="default" w:ascii="Times New Roman" w:hAnsi="Times New Roman" w:cs="Times New Roman"/>
                <w:color w:val="auto"/>
                <w:sz w:val="24"/>
              </w:rPr>
              <w:t>经建设方统计，按满班计划，其每年生产按最长时间292d计，年生产总时间在4000h以内，约3504h/a。其他生产工段如机修、备料、吊装、加工等生产工作人员实行两班制，每班12h。管理人员实行单班制。</w:t>
            </w:r>
          </w:p>
          <w:p w14:paraId="18CAEA7C">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现有工程共设有职工168人，其中管理人员28人，技术及生产人员140人，均不在厂内住宿。</w:t>
            </w:r>
          </w:p>
          <w:p w14:paraId="3B924B92">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1.5现有工程原辅料消耗</w:t>
            </w:r>
          </w:p>
          <w:p w14:paraId="766A068A">
            <w:pPr>
              <w:pStyle w:val="76"/>
              <w:ind w:firstLine="480"/>
              <w:rPr>
                <w:rFonts w:hint="default" w:ascii="Times New Roman" w:hAnsi="Times New Roman" w:cs="Times New Roman"/>
                <w:color w:val="auto"/>
              </w:rPr>
            </w:pPr>
            <w:r>
              <w:rPr>
                <w:rFonts w:hint="default" w:ascii="Times New Roman" w:hAnsi="Times New Roman" w:cs="Times New Roman"/>
                <w:color w:val="auto"/>
              </w:rPr>
              <w:t>根据建设方提供，厂区现有一座蓄热式天然气加热炉（目前停用，采用电加热），加热能力30万t/a钢坯。项目所用钢坯均外购，本项目和现有工程的主要原辅材料消耗情况见下表：</w:t>
            </w:r>
          </w:p>
          <w:p w14:paraId="5C89C88D">
            <w:pPr>
              <w:pStyle w:val="10"/>
              <w:spacing w:before="0" w:line="360" w:lineRule="auto"/>
              <w:ind w:firstLine="420" w:firstLineChars="20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表2-10   现有型钢主要原、燃料和辅材料用量表</w:t>
            </w:r>
          </w:p>
          <w:tbl>
            <w:tblPr>
              <w:tblStyle w:val="35"/>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96"/>
              <w:gridCol w:w="1265"/>
              <w:gridCol w:w="1320"/>
              <w:gridCol w:w="3528"/>
            </w:tblGrid>
            <w:tr w14:paraId="13FD86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tcBorders>
                    <w:tl2br w:val="nil"/>
                    <w:tr2bl w:val="nil"/>
                  </w:tcBorders>
                  <w:vAlign w:val="center"/>
                </w:tcPr>
                <w:p w14:paraId="2CDFC32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1496" w:type="dxa"/>
                  <w:tcBorders>
                    <w:tl2br w:val="nil"/>
                    <w:tr2bl w:val="nil"/>
                  </w:tcBorders>
                  <w:vAlign w:val="center"/>
                </w:tcPr>
                <w:p w14:paraId="1F4DB72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原材料名称</w:t>
                  </w:r>
                </w:p>
              </w:tc>
              <w:tc>
                <w:tcPr>
                  <w:tcW w:w="1265" w:type="dxa"/>
                  <w:tcBorders>
                    <w:tl2br w:val="nil"/>
                    <w:tr2bl w:val="nil"/>
                  </w:tcBorders>
                  <w:vAlign w:val="center"/>
                </w:tcPr>
                <w:p w14:paraId="03776DA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单位</w:t>
                  </w:r>
                </w:p>
              </w:tc>
              <w:tc>
                <w:tcPr>
                  <w:tcW w:w="1320" w:type="dxa"/>
                  <w:tcBorders>
                    <w:tl2br w:val="nil"/>
                    <w:tr2bl w:val="nil"/>
                  </w:tcBorders>
                  <w:vAlign w:val="center"/>
                </w:tcPr>
                <w:p w14:paraId="17B601B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数量</w:t>
                  </w:r>
                </w:p>
              </w:tc>
              <w:tc>
                <w:tcPr>
                  <w:tcW w:w="3528" w:type="dxa"/>
                  <w:tcBorders>
                    <w:tl2br w:val="nil"/>
                    <w:tr2bl w:val="nil"/>
                  </w:tcBorders>
                  <w:vAlign w:val="center"/>
                </w:tcPr>
                <w:p w14:paraId="3C6BF0B1">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产地及供应情况</w:t>
                  </w:r>
                </w:p>
              </w:tc>
            </w:tr>
            <w:tr w14:paraId="5314F3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tcBorders>
                    <w:tl2br w:val="nil"/>
                    <w:tr2bl w:val="nil"/>
                  </w:tcBorders>
                  <w:vAlign w:val="center"/>
                </w:tcPr>
                <w:p w14:paraId="002836E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496" w:type="dxa"/>
                  <w:tcBorders>
                    <w:tl2br w:val="nil"/>
                    <w:tr2bl w:val="nil"/>
                  </w:tcBorders>
                  <w:vAlign w:val="center"/>
                </w:tcPr>
                <w:p w14:paraId="21CF98C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连铸钢坯</w:t>
                  </w:r>
                </w:p>
              </w:tc>
              <w:tc>
                <w:tcPr>
                  <w:tcW w:w="1265" w:type="dxa"/>
                  <w:tcBorders>
                    <w:tl2br w:val="nil"/>
                    <w:tr2bl w:val="nil"/>
                  </w:tcBorders>
                  <w:vAlign w:val="center"/>
                </w:tcPr>
                <w:p w14:paraId="342602F6">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万t</w:t>
                  </w:r>
                  <w:r>
                    <w:rPr>
                      <w:rFonts w:hint="default" w:ascii="Times New Roman" w:hAnsi="Times New Roman" w:cs="Times New Roman"/>
                      <w:color w:val="auto"/>
                      <w:sz w:val="18"/>
                      <w:szCs w:val="18"/>
                    </w:rPr>
                    <w:t>/a</w:t>
                  </w:r>
                </w:p>
              </w:tc>
              <w:tc>
                <w:tcPr>
                  <w:tcW w:w="1320" w:type="dxa"/>
                  <w:tcBorders>
                    <w:tl2br w:val="nil"/>
                    <w:tr2bl w:val="nil"/>
                  </w:tcBorders>
                  <w:vAlign w:val="center"/>
                </w:tcPr>
                <w:p w14:paraId="314C5D5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30.21</w:t>
                  </w:r>
                </w:p>
              </w:tc>
              <w:tc>
                <w:tcPr>
                  <w:tcW w:w="3528" w:type="dxa"/>
                  <w:tcBorders>
                    <w:tl2br w:val="nil"/>
                    <w:tr2bl w:val="nil"/>
                  </w:tcBorders>
                  <w:vAlign w:val="center"/>
                </w:tcPr>
                <w:p w14:paraId="59A6123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玉钢集团</w:t>
                  </w:r>
                </w:p>
              </w:tc>
            </w:tr>
            <w:tr w14:paraId="6B2C38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tcBorders>
                    <w:tl2br w:val="nil"/>
                    <w:tr2bl w:val="nil"/>
                  </w:tcBorders>
                  <w:vAlign w:val="center"/>
                </w:tcPr>
                <w:p w14:paraId="65CCD3E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496" w:type="dxa"/>
                  <w:tcBorders>
                    <w:tl2br w:val="nil"/>
                    <w:tr2bl w:val="nil"/>
                  </w:tcBorders>
                  <w:vAlign w:val="center"/>
                </w:tcPr>
                <w:p w14:paraId="7DEA1D2E">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天然气</w:t>
                  </w:r>
                </w:p>
              </w:tc>
              <w:tc>
                <w:tcPr>
                  <w:tcW w:w="1265" w:type="dxa"/>
                  <w:tcBorders>
                    <w:tl2br w:val="nil"/>
                    <w:tr2bl w:val="nil"/>
                  </w:tcBorders>
                  <w:vAlign w:val="center"/>
                </w:tcPr>
                <w:p w14:paraId="196E6CDE">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万m</w:t>
                  </w:r>
                  <w:r>
                    <w:rPr>
                      <w:rFonts w:hint="default" w:ascii="Times New Roman" w:hAnsi="Times New Roman" w:cs="Times New Roman"/>
                      <w:color w:val="auto"/>
                      <w:kern w:val="0"/>
                      <w:sz w:val="18"/>
                      <w:szCs w:val="18"/>
                      <w:vertAlign w:val="superscript"/>
                    </w:rPr>
                    <w:t>3</w:t>
                  </w:r>
                  <w:r>
                    <w:rPr>
                      <w:rFonts w:hint="default" w:ascii="Times New Roman" w:hAnsi="Times New Roman" w:cs="Times New Roman"/>
                      <w:color w:val="auto"/>
                      <w:sz w:val="18"/>
                      <w:szCs w:val="18"/>
                    </w:rPr>
                    <w:t>/a</w:t>
                  </w:r>
                </w:p>
              </w:tc>
              <w:tc>
                <w:tcPr>
                  <w:tcW w:w="1320" w:type="dxa"/>
                  <w:tcBorders>
                    <w:tl2br w:val="nil"/>
                    <w:tr2bl w:val="nil"/>
                  </w:tcBorders>
                  <w:vAlign w:val="center"/>
                </w:tcPr>
                <w:p w14:paraId="3C533D91">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1195.96</w:t>
                  </w:r>
                </w:p>
              </w:tc>
              <w:tc>
                <w:tcPr>
                  <w:tcW w:w="3528" w:type="dxa"/>
                  <w:tcBorders>
                    <w:tl2br w:val="nil"/>
                    <w:tr2bl w:val="nil"/>
                  </w:tcBorders>
                  <w:vAlign w:val="center"/>
                </w:tcPr>
                <w:p w14:paraId="606DB10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园区天然气管道</w:t>
                  </w:r>
                </w:p>
              </w:tc>
            </w:tr>
            <w:tr w14:paraId="1C7461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tcBorders>
                    <w:tl2br w:val="nil"/>
                    <w:tr2bl w:val="nil"/>
                  </w:tcBorders>
                  <w:vAlign w:val="center"/>
                </w:tcPr>
                <w:p w14:paraId="1A75B9C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1496" w:type="dxa"/>
                  <w:tcBorders>
                    <w:tl2br w:val="nil"/>
                    <w:tr2bl w:val="nil"/>
                  </w:tcBorders>
                  <w:vAlign w:val="center"/>
                </w:tcPr>
                <w:p w14:paraId="3164BD78">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用电</w:t>
                  </w:r>
                </w:p>
              </w:tc>
              <w:tc>
                <w:tcPr>
                  <w:tcW w:w="1265" w:type="dxa"/>
                  <w:tcBorders>
                    <w:tl2br w:val="nil"/>
                    <w:tr2bl w:val="nil"/>
                  </w:tcBorders>
                  <w:vAlign w:val="center"/>
                </w:tcPr>
                <w:p w14:paraId="00C56496">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万kWh</w:t>
                  </w:r>
                </w:p>
              </w:tc>
              <w:tc>
                <w:tcPr>
                  <w:tcW w:w="1320" w:type="dxa"/>
                  <w:tcBorders>
                    <w:tl2br w:val="nil"/>
                    <w:tr2bl w:val="nil"/>
                  </w:tcBorders>
                  <w:vAlign w:val="center"/>
                </w:tcPr>
                <w:p w14:paraId="2FB0869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1559.1</w:t>
                  </w:r>
                </w:p>
              </w:tc>
              <w:tc>
                <w:tcPr>
                  <w:tcW w:w="3528" w:type="dxa"/>
                  <w:tcBorders>
                    <w:tl2br w:val="nil"/>
                    <w:tr2bl w:val="nil"/>
                  </w:tcBorders>
                  <w:vAlign w:val="center"/>
                </w:tcPr>
                <w:p w14:paraId="222910C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园区供电线路</w:t>
                  </w:r>
                </w:p>
              </w:tc>
            </w:tr>
            <w:tr w14:paraId="0604C8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tcBorders>
                    <w:tl2br w:val="nil"/>
                    <w:tr2bl w:val="nil"/>
                  </w:tcBorders>
                  <w:vAlign w:val="center"/>
                </w:tcPr>
                <w:p w14:paraId="37C62E2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496" w:type="dxa"/>
                  <w:tcBorders>
                    <w:tl2br w:val="nil"/>
                    <w:tr2bl w:val="nil"/>
                  </w:tcBorders>
                  <w:vAlign w:val="center"/>
                </w:tcPr>
                <w:p w14:paraId="48E5D943">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润滑油</w:t>
                  </w:r>
                </w:p>
              </w:tc>
              <w:tc>
                <w:tcPr>
                  <w:tcW w:w="1265" w:type="dxa"/>
                  <w:tcBorders>
                    <w:tl2br w:val="nil"/>
                    <w:tr2bl w:val="nil"/>
                  </w:tcBorders>
                  <w:vAlign w:val="center"/>
                </w:tcPr>
                <w:p w14:paraId="34CCB2F6">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t</w:t>
                  </w:r>
                  <w:r>
                    <w:rPr>
                      <w:rFonts w:hint="default" w:ascii="Times New Roman" w:hAnsi="Times New Roman" w:cs="Times New Roman"/>
                      <w:color w:val="auto"/>
                      <w:sz w:val="18"/>
                      <w:szCs w:val="18"/>
                    </w:rPr>
                    <w:t>/a</w:t>
                  </w:r>
                </w:p>
              </w:tc>
              <w:tc>
                <w:tcPr>
                  <w:tcW w:w="1320" w:type="dxa"/>
                  <w:tcBorders>
                    <w:tl2br w:val="nil"/>
                    <w:tr2bl w:val="nil"/>
                  </w:tcBorders>
                  <w:vAlign w:val="center"/>
                </w:tcPr>
                <w:p w14:paraId="2BFA561E">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4.5</w:t>
                  </w:r>
                </w:p>
              </w:tc>
              <w:tc>
                <w:tcPr>
                  <w:tcW w:w="3528" w:type="dxa"/>
                  <w:tcBorders>
                    <w:tl2br w:val="nil"/>
                    <w:tr2bl w:val="nil"/>
                  </w:tcBorders>
                  <w:vAlign w:val="center"/>
                </w:tcPr>
                <w:p w14:paraId="3DC69311">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昆明</w:t>
                  </w:r>
                </w:p>
              </w:tc>
            </w:tr>
            <w:tr w14:paraId="187742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tcBorders>
                    <w:tl2br w:val="nil"/>
                    <w:tr2bl w:val="nil"/>
                  </w:tcBorders>
                  <w:vAlign w:val="center"/>
                </w:tcPr>
                <w:p w14:paraId="00932BA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496" w:type="dxa"/>
                  <w:tcBorders>
                    <w:tl2br w:val="nil"/>
                    <w:tr2bl w:val="nil"/>
                  </w:tcBorders>
                  <w:vAlign w:val="center"/>
                </w:tcPr>
                <w:p w14:paraId="28FD7B5C">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用水量</w:t>
                  </w:r>
                </w:p>
              </w:tc>
              <w:tc>
                <w:tcPr>
                  <w:tcW w:w="1265" w:type="dxa"/>
                  <w:tcBorders>
                    <w:tl2br w:val="nil"/>
                    <w:tr2bl w:val="nil"/>
                  </w:tcBorders>
                  <w:vAlign w:val="center"/>
                </w:tcPr>
                <w:p w14:paraId="1F7230EC">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m</w:t>
                  </w:r>
                  <w:r>
                    <w:rPr>
                      <w:rFonts w:hint="default" w:ascii="Times New Roman" w:hAnsi="Times New Roman" w:cs="Times New Roman"/>
                      <w:color w:val="auto"/>
                      <w:kern w:val="0"/>
                      <w:sz w:val="18"/>
                      <w:szCs w:val="18"/>
                      <w:vertAlign w:val="superscript"/>
                    </w:rPr>
                    <w:t>3</w:t>
                  </w:r>
                  <w:r>
                    <w:rPr>
                      <w:rFonts w:hint="default" w:ascii="Times New Roman" w:hAnsi="Times New Roman" w:cs="Times New Roman"/>
                      <w:color w:val="auto"/>
                      <w:sz w:val="18"/>
                      <w:szCs w:val="18"/>
                    </w:rPr>
                    <w:t>/a</w:t>
                  </w:r>
                </w:p>
              </w:tc>
              <w:tc>
                <w:tcPr>
                  <w:tcW w:w="1320" w:type="dxa"/>
                  <w:tcBorders>
                    <w:tl2br w:val="nil"/>
                    <w:tr2bl w:val="nil"/>
                  </w:tcBorders>
                  <w:vAlign w:val="center"/>
                </w:tcPr>
                <w:p w14:paraId="7ACB8B0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22770</w:t>
                  </w:r>
                </w:p>
              </w:tc>
              <w:tc>
                <w:tcPr>
                  <w:tcW w:w="3528" w:type="dxa"/>
                  <w:tcBorders>
                    <w:tl2br w:val="nil"/>
                    <w:tr2bl w:val="nil"/>
                  </w:tcBorders>
                  <w:vAlign w:val="center"/>
                </w:tcPr>
                <w:p w14:paraId="6DA2C548">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厂区现有供水管网，为全厂设备用水量</w:t>
                  </w:r>
                </w:p>
              </w:tc>
            </w:tr>
          </w:tbl>
          <w:p w14:paraId="324F9454">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1.6现有工程水平衡分析</w:t>
            </w:r>
          </w:p>
          <w:p w14:paraId="31FA3BA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经核实，厂区内已建设了1座软水站，设计最大处理规模为20m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/h，主要</w:t>
            </w:r>
            <w:r>
              <w:rPr>
                <w:rFonts w:hint="default" w:ascii="Times New Roman" w:hAnsi="Times New Roman" w:cs="Times New Roman"/>
                <w:snapToGrid w:val="0"/>
                <w:color w:val="auto"/>
                <w:sz w:val="24"/>
              </w:rPr>
              <w:t>对</w:t>
            </w:r>
            <w:r>
              <w:rPr>
                <w:rFonts w:hint="default" w:ascii="Times New Roman" w:hAnsi="Times New Roman" w:cs="Times New Roman"/>
                <w:color w:val="auto"/>
                <w:sz w:val="24"/>
              </w:rPr>
              <w:t>加热炉区域设备、液压站、稀油润滑站、水箱和电机等用水，均为间接冷却，为闭路冷却系统。根据项目的用水情况，软水站每天约产生2</w:t>
            </w:r>
            <w:r>
              <w:rPr>
                <w:rFonts w:hint="default" w:ascii="Times New Roman" w:hAnsi="Times New Roman" w:cs="Times New Roman"/>
                <w:snapToGrid w:val="0"/>
                <w:color w:val="auto"/>
                <w:sz w:val="24"/>
              </w:rPr>
              <w:t>m</w:t>
            </w:r>
            <w:r>
              <w:rPr>
                <w:rFonts w:hint="default" w:ascii="Times New Roman" w:hAnsi="Times New Roman" w:cs="Times New Roman"/>
                <w:snapToGrid w:val="0"/>
                <w:color w:val="auto"/>
                <w:sz w:val="24"/>
                <w:vertAlign w:val="superscript"/>
              </w:rPr>
              <w:t>3</w:t>
            </w:r>
            <w:r>
              <w:rPr>
                <w:rFonts w:hint="default" w:ascii="Times New Roman" w:hAnsi="Times New Roman" w:cs="Times New Roman"/>
                <w:snapToGrid w:val="0"/>
                <w:color w:val="auto"/>
                <w:sz w:val="24"/>
              </w:rPr>
              <w:t>/d含盐水，补充到现有轧钢的浊循环水池。生活污水产生量为</w:t>
            </w:r>
            <w:r>
              <w:rPr>
                <w:rFonts w:hint="default" w:ascii="Times New Roman" w:hAnsi="Times New Roman" w:cs="Times New Roman"/>
                <w:color w:val="auto"/>
                <w:sz w:val="24"/>
              </w:rPr>
              <w:t>5.15m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/d，1700m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/a。生活污水经化粪池处理后排入园区污水处理厂。</w:t>
            </w:r>
          </w:p>
          <w:p w14:paraId="67CE2C2F">
            <w:pPr>
              <w:spacing w:line="360" w:lineRule="auto"/>
              <w:ind w:firstLine="480"/>
              <w:rPr>
                <w:rFonts w:hint="default" w:ascii="Times New Roman" w:hAnsi="Times New Roman" w:cs="Times New Roman"/>
                <w:bCs/>
                <w:color w:val="auto"/>
                <w:sz w:val="24"/>
              </w:rPr>
            </w:pPr>
            <w:r>
              <w:rPr>
                <w:rFonts w:hint="default" w:ascii="Times New Roman" w:hAnsi="Times New Roman" w:cs="Times New Roman"/>
                <w:color w:val="auto"/>
                <w:sz w:val="24"/>
              </w:rPr>
              <w:t>现有工程中实际的水平衡详见下图</w:t>
            </w:r>
            <w:r>
              <w:rPr>
                <w:rFonts w:hint="default" w:ascii="Times New Roman" w:hAnsi="Times New Roman" w:cs="Times New Roman"/>
                <w:bCs/>
                <w:color w:val="auto"/>
                <w:sz w:val="24"/>
              </w:rPr>
              <w:t>：</w:t>
            </w:r>
          </w:p>
          <w:p w14:paraId="6B81F6B7">
            <w:pPr>
              <w:pStyle w:val="18"/>
              <w:spacing w:line="360" w:lineRule="auto"/>
              <w:jc w:val="center"/>
              <w:rPr>
                <w:rFonts w:hint="default" w:ascii="Times New Roman" w:hAnsi="Times New Roman" w:eastAsia="黑体" w:cs="Times New Roman"/>
                <w:color w:val="auto"/>
                <w:sz w:val="21"/>
              </w:rPr>
            </w:pPr>
            <w:r>
              <w:rPr>
                <w:rFonts w:hint="default" w:ascii="Times New Roman" w:hAnsi="Times New Roman" w:eastAsia="黑体" w:cs="Times New Roman"/>
                <w:color w:val="auto"/>
                <w:sz w:val="21"/>
              </w:rPr>
              <w:object>
                <v:shape id="_x0000_i1030" o:spt="75" type="#_x0000_t75" style="height:393pt;width:390.8pt;" o:ole="t" filled="f" o:preferrelative="t" stroked="f" coordsize="21600,21600">
                  <v:path/>
                  <v:fill on="f" focussize="0,0"/>
                  <v:stroke on="f" joinstyle="miter"/>
                  <v:imagedata r:id="rId21" o:title=""/>
                  <o:lock v:ext="edit" aspectratio="f"/>
                  <w10:wrap type="none"/>
                  <w10:anchorlock/>
                </v:shape>
                <o:OLEObject Type="Embed" ProgID="Visio.Drawing.11" ShapeID="_x0000_i1030" DrawAspect="Content" ObjectID="_1468075730" r:id="rId20">
                  <o:LockedField>false</o:LockedField>
                </o:OLEObject>
              </w:object>
            </w:r>
          </w:p>
          <w:p w14:paraId="73E2BD0B">
            <w:pPr>
              <w:pStyle w:val="18"/>
              <w:spacing w:line="360" w:lineRule="auto"/>
              <w:jc w:val="center"/>
              <w:rPr>
                <w:rFonts w:hint="default" w:ascii="Times New Roman" w:hAnsi="Times New Roman" w:cs="Times New Roman"/>
                <w:b/>
                <w:color w:val="auto"/>
                <w:sz w:val="24"/>
              </w:rPr>
            </w:pPr>
            <w:r>
              <w:rPr>
                <w:rFonts w:hint="default" w:ascii="Times New Roman" w:hAnsi="Times New Roman" w:eastAsia="黑体" w:cs="Times New Roman"/>
                <w:color w:val="auto"/>
                <w:sz w:val="21"/>
              </w:rPr>
              <w:t>图2-6    现有工程水量平衡图 单位m</w:t>
            </w:r>
            <w:r>
              <w:rPr>
                <w:rFonts w:hint="default" w:ascii="Times New Roman" w:hAnsi="Times New Roman" w:eastAsia="黑体" w:cs="Times New Roman"/>
                <w:color w:val="auto"/>
                <w:sz w:val="21"/>
                <w:vertAlign w:val="superscript"/>
              </w:rPr>
              <w:t>3</w:t>
            </w:r>
            <w:r>
              <w:rPr>
                <w:rFonts w:hint="default" w:ascii="Times New Roman" w:hAnsi="Times New Roman" w:eastAsia="黑体" w:cs="Times New Roman"/>
                <w:color w:val="auto"/>
                <w:sz w:val="21"/>
              </w:rPr>
              <w:t>/d</w:t>
            </w:r>
          </w:p>
          <w:p w14:paraId="5C7B44DB">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1.7现有工程平面布置</w:t>
            </w:r>
          </w:p>
          <w:p w14:paraId="000D7B2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根据现有的30万吨型钢生产线布置，加热炉位于厂区西北面，从西向东依次布设轧机、矫直机、打包区和冷床等现有的生产设备，稀油润滑站和净循环位于轧线北面，工艺分区明确，布局明确。</w:t>
            </w:r>
          </w:p>
          <w:p w14:paraId="20392DE1">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现有工程总平面布置图详见附图3。</w:t>
            </w:r>
          </w:p>
          <w:p w14:paraId="4CA1CD82">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1.8现有工程污染物产排情况</w:t>
            </w:r>
          </w:p>
          <w:p w14:paraId="7655C140">
            <w:pPr>
              <w:pStyle w:val="34"/>
              <w:spacing w:line="360" w:lineRule="auto"/>
              <w:ind w:left="0" w:leftChars="0" w:firstLine="480"/>
              <w:rPr>
                <w:rFonts w:hint="default" w:ascii="Times New Roman" w:hAnsi="Times New Roman" w:cs="Times New Roman"/>
                <w:color w:val="auto"/>
              </w:rPr>
            </w:pPr>
            <w:r>
              <w:rPr>
                <w:rFonts w:hint="default" w:ascii="Times New Roman" w:hAnsi="Times New Roman" w:cs="Times New Roman"/>
                <w:color w:val="auto"/>
              </w:rPr>
              <w:t>与本项目有关的原有工程为现有的型钢连轧生产线，污染物排放情况采用建设单位提供的自行监测数据，具体核算如下。</w:t>
            </w:r>
          </w:p>
          <w:p w14:paraId="52E3A9F6">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1.8.1废气</w:t>
            </w:r>
          </w:p>
          <w:p w14:paraId="02FC29FF">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（1）有组织排放</w:t>
            </w:r>
          </w:p>
          <w:p w14:paraId="1EE3D722">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本次有组织废气核算采用建设单位提供的2024年第一季度自行监测结果数据核算，其监测结果见下表：</w:t>
            </w:r>
          </w:p>
          <w:p w14:paraId="25C0EF60">
            <w:pPr>
              <w:pStyle w:val="102"/>
              <w:ind w:firstLine="42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表2-11     天然气加热炉（企业2024年第一季度）自行监测结果一览表</w:t>
            </w:r>
          </w:p>
          <w:tbl>
            <w:tblPr>
              <w:tblStyle w:val="36"/>
              <w:tblW w:w="8346"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1"/>
              <w:gridCol w:w="834"/>
              <w:gridCol w:w="1501"/>
              <w:gridCol w:w="1049"/>
              <w:gridCol w:w="1533"/>
              <w:gridCol w:w="1039"/>
              <w:gridCol w:w="1469"/>
            </w:tblGrid>
            <w:tr w14:paraId="5FADED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46" w:type="dxa"/>
                  <w:gridSpan w:val="7"/>
                  <w:tcBorders>
                    <w:tl2br w:val="nil"/>
                    <w:tr2bl w:val="nil"/>
                  </w:tcBorders>
                  <w:vAlign w:val="center"/>
                </w:tcPr>
                <w:p w14:paraId="75ABECF2">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污染源基本情况</w:t>
                  </w:r>
                </w:p>
              </w:tc>
            </w:tr>
            <w:tr w14:paraId="3F863C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5" w:type="dxa"/>
                  <w:gridSpan w:val="4"/>
                  <w:tcBorders>
                    <w:tl2br w:val="nil"/>
                    <w:tr2bl w:val="nil"/>
                  </w:tcBorders>
                  <w:vAlign w:val="center"/>
                </w:tcPr>
                <w:p w14:paraId="2E701171">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污染源设备</w:t>
                  </w:r>
                </w:p>
              </w:tc>
              <w:tc>
                <w:tcPr>
                  <w:tcW w:w="4041" w:type="dxa"/>
                  <w:gridSpan w:val="3"/>
                  <w:tcBorders>
                    <w:tl2br w:val="nil"/>
                    <w:tr2bl w:val="nil"/>
                  </w:tcBorders>
                  <w:vAlign w:val="center"/>
                </w:tcPr>
                <w:p w14:paraId="1C59E3D6">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净化设施：直排</w:t>
                  </w:r>
                </w:p>
              </w:tc>
            </w:tr>
            <w:tr w14:paraId="09EB0C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5" w:type="dxa"/>
                  <w:gridSpan w:val="2"/>
                  <w:tcBorders>
                    <w:tl2br w:val="nil"/>
                    <w:tr2bl w:val="nil"/>
                  </w:tcBorders>
                  <w:vAlign w:val="center"/>
                </w:tcPr>
                <w:p w14:paraId="1BD2413E">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名称型号规格</w:t>
                  </w:r>
                </w:p>
              </w:tc>
              <w:tc>
                <w:tcPr>
                  <w:tcW w:w="2550" w:type="dxa"/>
                  <w:gridSpan w:val="2"/>
                  <w:tcBorders>
                    <w:tl2br w:val="nil"/>
                    <w:tr2bl w:val="nil"/>
                  </w:tcBorders>
                  <w:vAlign w:val="center"/>
                </w:tcPr>
                <w:p w14:paraId="6C1DA82F">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热处理炉（36m×6.5m）</w:t>
                  </w:r>
                </w:p>
              </w:tc>
              <w:tc>
                <w:tcPr>
                  <w:tcW w:w="4041" w:type="dxa"/>
                  <w:gridSpan w:val="3"/>
                  <w:tcBorders>
                    <w:tl2br w:val="nil"/>
                    <w:tr2bl w:val="nil"/>
                  </w:tcBorders>
                  <w:vAlign w:val="center"/>
                </w:tcPr>
                <w:p w14:paraId="48CA09E9">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名称型号规格：/</w:t>
                  </w:r>
                </w:p>
              </w:tc>
            </w:tr>
            <w:tr w14:paraId="06C64C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55" w:type="dxa"/>
                  <w:gridSpan w:val="2"/>
                  <w:tcBorders>
                    <w:tl2br w:val="nil"/>
                    <w:tr2bl w:val="nil"/>
                  </w:tcBorders>
                  <w:vAlign w:val="center"/>
                </w:tcPr>
                <w:p w14:paraId="19562608">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燃料：天然气</w:t>
                  </w:r>
                </w:p>
              </w:tc>
              <w:tc>
                <w:tcPr>
                  <w:tcW w:w="2550" w:type="dxa"/>
                  <w:gridSpan w:val="2"/>
                  <w:tcBorders>
                    <w:tl2br w:val="nil"/>
                    <w:tr2bl w:val="nil"/>
                  </w:tcBorders>
                  <w:vAlign w:val="center"/>
                </w:tcPr>
                <w:p w14:paraId="18FDBE6D">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燃烧方式：气化燃烧</w:t>
                  </w:r>
                </w:p>
              </w:tc>
              <w:tc>
                <w:tcPr>
                  <w:tcW w:w="1533" w:type="dxa"/>
                  <w:tcBorders>
                    <w:tl2br w:val="nil"/>
                    <w:tr2bl w:val="nil"/>
                  </w:tcBorders>
                  <w:vAlign w:val="center"/>
                </w:tcPr>
                <w:p w14:paraId="597F13F1">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设计效率：/%</w:t>
                  </w:r>
                </w:p>
              </w:tc>
              <w:tc>
                <w:tcPr>
                  <w:tcW w:w="2508" w:type="dxa"/>
                  <w:gridSpan w:val="2"/>
                  <w:tcBorders>
                    <w:tl2br w:val="nil"/>
                    <w:tr2bl w:val="nil"/>
                  </w:tcBorders>
                  <w:vAlign w:val="center"/>
                </w:tcPr>
                <w:p w14:paraId="7B2CF52A">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排气筒高度：20m</w:t>
                  </w:r>
                </w:p>
              </w:tc>
            </w:tr>
            <w:tr w14:paraId="32DCB0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46" w:type="dxa"/>
                  <w:gridSpan w:val="7"/>
                  <w:tcBorders>
                    <w:tl2br w:val="nil"/>
                    <w:tr2bl w:val="nil"/>
                  </w:tcBorders>
                  <w:vAlign w:val="center"/>
                </w:tcPr>
                <w:p w14:paraId="0078BC4E">
                  <w:pPr>
                    <w:jc w:val="center"/>
                    <w:rPr>
                      <w:rFonts w:hint="default" w:ascii="Times New Roman" w:hAnsi="Times New Roman" w:cs="Times New Roman"/>
                      <w:bCs/>
                      <w:color w:val="auto"/>
                      <w:sz w:val="18"/>
                      <w:szCs w:val="18"/>
                      <w:highlight w:val="yellow"/>
                    </w:rPr>
                  </w:pPr>
                  <w:r>
                    <w:rPr>
                      <w:rFonts w:hint="default" w:ascii="Times New Roman" w:hAnsi="Times New Roman" w:cs="Times New Roman"/>
                      <w:bCs/>
                      <w:color w:val="auto"/>
                      <w:sz w:val="18"/>
                      <w:szCs w:val="18"/>
                    </w:rPr>
                    <w:t>检测结果（2024年1月14日）</w:t>
                  </w:r>
                </w:p>
              </w:tc>
            </w:tr>
            <w:tr w14:paraId="197919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5" w:type="dxa"/>
                  <w:gridSpan w:val="4"/>
                  <w:tcBorders>
                    <w:tl2br w:val="nil"/>
                    <w:tr2bl w:val="nil"/>
                  </w:tcBorders>
                  <w:vAlign w:val="center"/>
                </w:tcPr>
                <w:p w14:paraId="577CAE4B">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烟(尾）气平均静压：-0.05kPa</w:t>
                  </w:r>
                </w:p>
              </w:tc>
              <w:tc>
                <w:tcPr>
                  <w:tcW w:w="4041" w:type="dxa"/>
                  <w:gridSpan w:val="3"/>
                  <w:tcBorders>
                    <w:tl2br w:val="nil"/>
                    <w:tr2bl w:val="nil"/>
                  </w:tcBorders>
                  <w:vAlign w:val="center"/>
                </w:tcPr>
                <w:p w14:paraId="6537670C">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烟（尾）气平均动压：40Pa</w:t>
                  </w:r>
                </w:p>
              </w:tc>
            </w:tr>
            <w:tr w14:paraId="774B70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5" w:type="dxa"/>
                  <w:gridSpan w:val="4"/>
                  <w:tcBorders>
                    <w:tl2br w:val="nil"/>
                    <w:tr2bl w:val="nil"/>
                  </w:tcBorders>
                  <w:vAlign w:val="center"/>
                </w:tcPr>
                <w:p w14:paraId="55E03453">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烟（尾）气平均温度：87.6℃</w:t>
                  </w:r>
                </w:p>
              </w:tc>
              <w:tc>
                <w:tcPr>
                  <w:tcW w:w="4041" w:type="dxa"/>
                  <w:gridSpan w:val="3"/>
                  <w:tcBorders>
                    <w:tl2br w:val="nil"/>
                    <w:tr2bl w:val="nil"/>
                  </w:tcBorders>
                  <w:vAlign w:val="center"/>
                </w:tcPr>
                <w:p w14:paraId="15444659">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平均烟（尾）气流速：8.5m/s</w:t>
                  </w:r>
                </w:p>
              </w:tc>
            </w:tr>
            <w:tr w14:paraId="647637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5" w:type="dxa"/>
                  <w:gridSpan w:val="4"/>
                  <w:tcBorders>
                    <w:tl2br w:val="nil"/>
                    <w:tr2bl w:val="nil"/>
                  </w:tcBorders>
                  <w:vAlign w:val="center"/>
                </w:tcPr>
                <w:p w14:paraId="24379DC5">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烟（尾）气平均含湿量：7.5%</w:t>
                  </w:r>
                </w:p>
              </w:tc>
              <w:tc>
                <w:tcPr>
                  <w:tcW w:w="4041" w:type="dxa"/>
                  <w:gridSpan w:val="3"/>
                  <w:tcBorders>
                    <w:tl2br w:val="nil"/>
                    <w:tr2bl w:val="nil"/>
                  </w:tcBorders>
                  <w:vAlign w:val="center"/>
                </w:tcPr>
                <w:p w14:paraId="04AC639D">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基准氧含量：15%</w:t>
                  </w:r>
                </w:p>
              </w:tc>
            </w:tr>
            <w:tr w14:paraId="27E18B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5" w:type="dxa"/>
                  <w:gridSpan w:val="4"/>
                  <w:tcBorders>
                    <w:tl2br w:val="nil"/>
                    <w:tr2bl w:val="nil"/>
                  </w:tcBorders>
                  <w:vAlign w:val="center"/>
                </w:tcPr>
                <w:p w14:paraId="2644D588">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烟道尺寸：直径1m</w:t>
                  </w:r>
                </w:p>
              </w:tc>
              <w:tc>
                <w:tcPr>
                  <w:tcW w:w="4041" w:type="dxa"/>
                  <w:gridSpan w:val="3"/>
                  <w:tcBorders>
                    <w:tl2br w:val="nil"/>
                    <w:tr2bl w:val="nil"/>
                  </w:tcBorders>
                  <w:vAlign w:val="center"/>
                </w:tcPr>
                <w:p w14:paraId="39C078A8">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烟道截面积：0.785m</w:t>
                  </w:r>
                  <w:r>
                    <w:rPr>
                      <w:rFonts w:hint="default" w:ascii="Times New Roman" w:hAnsi="Times New Roman" w:cs="Times New Roman"/>
                      <w:bCs/>
                      <w:color w:val="auto"/>
                      <w:sz w:val="18"/>
                      <w:szCs w:val="18"/>
                      <w:vertAlign w:val="superscript"/>
                    </w:rPr>
                    <w:t>2</w:t>
                  </w:r>
                </w:p>
              </w:tc>
            </w:tr>
            <w:tr w14:paraId="028ACE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56" w:type="dxa"/>
                  <w:gridSpan w:val="3"/>
                  <w:tcBorders>
                    <w:tl2br w:val="nil"/>
                    <w:tr2bl w:val="nil"/>
                  </w:tcBorders>
                  <w:vAlign w:val="center"/>
                </w:tcPr>
                <w:p w14:paraId="12C44347">
                  <w:pPr>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 xml:space="preserve">                        时间</w:t>
                  </w:r>
                </w:p>
                <w:p w14:paraId="0E55B085">
                  <w:pPr>
                    <w:snapToGrid w:val="0"/>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指标</w:t>
                  </w:r>
                </w:p>
              </w:tc>
              <w:tc>
                <w:tcPr>
                  <w:tcW w:w="1049" w:type="dxa"/>
                  <w:tcBorders>
                    <w:tl2br w:val="nil"/>
                    <w:tr2bl w:val="nil"/>
                  </w:tcBorders>
                  <w:vAlign w:val="center"/>
                </w:tcPr>
                <w:p w14:paraId="08619ADD">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01：13</w:t>
                  </w:r>
                </w:p>
              </w:tc>
              <w:tc>
                <w:tcPr>
                  <w:tcW w:w="1533" w:type="dxa"/>
                  <w:tcBorders>
                    <w:tl2br w:val="nil"/>
                    <w:tr2bl w:val="nil"/>
                  </w:tcBorders>
                  <w:vAlign w:val="center"/>
                </w:tcPr>
                <w:p w14:paraId="237EBAC6">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01：41</w:t>
                  </w:r>
                </w:p>
              </w:tc>
              <w:tc>
                <w:tcPr>
                  <w:tcW w:w="1039" w:type="dxa"/>
                  <w:tcBorders>
                    <w:tl2br w:val="nil"/>
                    <w:tr2bl w:val="nil"/>
                  </w:tcBorders>
                  <w:vAlign w:val="center"/>
                </w:tcPr>
                <w:p w14:paraId="4FCFF108">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02：35</w:t>
                  </w:r>
                </w:p>
              </w:tc>
              <w:tc>
                <w:tcPr>
                  <w:tcW w:w="1469" w:type="dxa"/>
                  <w:tcBorders>
                    <w:tl2br w:val="nil"/>
                    <w:tr2bl w:val="nil"/>
                  </w:tcBorders>
                  <w:vAlign w:val="center"/>
                </w:tcPr>
                <w:p w14:paraId="775E9519">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平均值</w:t>
                  </w:r>
                </w:p>
              </w:tc>
            </w:tr>
            <w:tr w14:paraId="135D08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56" w:type="dxa"/>
                  <w:gridSpan w:val="3"/>
                  <w:tcBorders>
                    <w:tl2br w:val="nil"/>
                    <w:tr2bl w:val="nil"/>
                  </w:tcBorders>
                  <w:vAlign w:val="center"/>
                </w:tcPr>
                <w:p w14:paraId="2210A19F">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实测氧含量（%）</w:t>
                  </w:r>
                </w:p>
              </w:tc>
              <w:tc>
                <w:tcPr>
                  <w:tcW w:w="1049" w:type="dxa"/>
                  <w:tcBorders>
                    <w:tl2br w:val="nil"/>
                    <w:tr2bl w:val="nil"/>
                  </w:tcBorders>
                  <w:vAlign w:val="center"/>
                </w:tcPr>
                <w:p w14:paraId="731507C2">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3.8</w:t>
                  </w:r>
                </w:p>
              </w:tc>
              <w:tc>
                <w:tcPr>
                  <w:tcW w:w="1533" w:type="dxa"/>
                  <w:tcBorders>
                    <w:tl2br w:val="nil"/>
                    <w:tr2bl w:val="nil"/>
                  </w:tcBorders>
                  <w:vAlign w:val="center"/>
                </w:tcPr>
                <w:p w14:paraId="08D79AC3">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4.1</w:t>
                  </w:r>
                </w:p>
              </w:tc>
              <w:tc>
                <w:tcPr>
                  <w:tcW w:w="1039" w:type="dxa"/>
                  <w:tcBorders>
                    <w:tl2br w:val="nil"/>
                    <w:tr2bl w:val="nil"/>
                  </w:tcBorders>
                  <w:vAlign w:val="center"/>
                </w:tcPr>
                <w:p w14:paraId="5258D2ED">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4.2</w:t>
                  </w:r>
                </w:p>
              </w:tc>
              <w:tc>
                <w:tcPr>
                  <w:tcW w:w="1469" w:type="dxa"/>
                  <w:tcBorders>
                    <w:tl2br w:val="nil"/>
                    <w:tr2bl w:val="nil"/>
                  </w:tcBorders>
                  <w:vAlign w:val="center"/>
                </w:tcPr>
                <w:p w14:paraId="34A0AEC2">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4.0</w:t>
                  </w:r>
                </w:p>
              </w:tc>
            </w:tr>
            <w:tr w14:paraId="58CFCC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56" w:type="dxa"/>
                  <w:gridSpan w:val="3"/>
                  <w:tcBorders>
                    <w:tl2br w:val="nil"/>
                    <w:tr2bl w:val="nil"/>
                  </w:tcBorders>
                  <w:vAlign w:val="center"/>
                </w:tcPr>
                <w:p w14:paraId="730C3C5C">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标干烟气量Nm</w:t>
                  </w:r>
                  <w:r>
                    <w:rPr>
                      <w:rFonts w:hint="default" w:ascii="Times New Roman" w:hAnsi="Times New Roman" w:cs="Times New Roman"/>
                      <w:bCs/>
                      <w:color w:val="auto"/>
                      <w:sz w:val="18"/>
                      <w:szCs w:val="18"/>
                      <w:vertAlign w:val="superscript"/>
                    </w:rPr>
                    <w:t>3</w:t>
                  </w:r>
                  <w:r>
                    <w:rPr>
                      <w:rFonts w:hint="default" w:ascii="Times New Roman" w:hAnsi="Times New Roman" w:cs="Times New Roman"/>
                      <w:bCs/>
                      <w:color w:val="auto"/>
                      <w:sz w:val="18"/>
                      <w:szCs w:val="18"/>
                    </w:rPr>
                    <w:t>/h</w:t>
                  </w:r>
                </w:p>
              </w:tc>
              <w:tc>
                <w:tcPr>
                  <w:tcW w:w="1049" w:type="dxa"/>
                  <w:tcBorders>
                    <w:tl2br w:val="nil"/>
                    <w:tr2bl w:val="nil"/>
                  </w:tcBorders>
                  <w:vAlign w:val="center"/>
                </w:tcPr>
                <w:p w14:paraId="377485BE">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13163</w:t>
                  </w:r>
                </w:p>
              </w:tc>
              <w:tc>
                <w:tcPr>
                  <w:tcW w:w="1533" w:type="dxa"/>
                  <w:tcBorders>
                    <w:tl2br w:val="nil"/>
                    <w:tr2bl w:val="nil"/>
                  </w:tcBorders>
                  <w:vAlign w:val="center"/>
                </w:tcPr>
                <w:p w14:paraId="0C3B884B">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13529</w:t>
                  </w:r>
                </w:p>
              </w:tc>
              <w:tc>
                <w:tcPr>
                  <w:tcW w:w="1039" w:type="dxa"/>
                  <w:tcBorders>
                    <w:tl2br w:val="nil"/>
                    <w:tr2bl w:val="nil"/>
                  </w:tcBorders>
                  <w:vAlign w:val="center"/>
                </w:tcPr>
                <w:p w14:paraId="62E8568C">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13673</w:t>
                  </w:r>
                </w:p>
              </w:tc>
              <w:tc>
                <w:tcPr>
                  <w:tcW w:w="1469" w:type="dxa"/>
                  <w:tcBorders>
                    <w:tl2br w:val="nil"/>
                    <w:tr2bl w:val="nil"/>
                  </w:tcBorders>
                  <w:vAlign w:val="center"/>
                </w:tcPr>
                <w:p w14:paraId="064D26A2">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13455</w:t>
                  </w:r>
                </w:p>
              </w:tc>
            </w:tr>
            <w:tr w14:paraId="6A0C55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vMerge w:val="restart"/>
                  <w:tcBorders>
                    <w:tl2br w:val="nil"/>
                    <w:tr2bl w:val="nil"/>
                  </w:tcBorders>
                  <w:vAlign w:val="center"/>
                </w:tcPr>
                <w:p w14:paraId="36DD6956">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低浓度颗粒物</w:t>
                  </w:r>
                </w:p>
              </w:tc>
              <w:tc>
                <w:tcPr>
                  <w:tcW w:w="2335" w:type="dxa"/>
                  <w:gridSpan w:val="2"/>
                  <w:tcBorders>
                    <w:tl2br w:val="nil"/>
                    <w:tr2bl w:val="nil"/>
                  </w:tcBorders>
                  <w:vAlign w:val="center"/>
                </w:tcPr>
                <w:p w14:paraId="671EC708">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实测浓度（mg/Nm</w:t>
                  </w:r>
                  <w:r>
                    <w:rPr>
                      <w:rFonts w:hint="default" w:ascii="Times New Roman" w:hAnsi="Times New Roman" w:cs="Times New Roman"/>
                      <w:bCs/>
                      <w:color w:val="auto"/>
                      <w:sz w:val="18"/>
                      <w:szCs w:val="18"/>
                      <w:vertAlign w:val="superscript"/>
                    </w:rPr>
                    <w:t>3</w:t>
                  </w:r>
                  <w:r>
                    <w:rPr>
                      <w:rFonts w:hint="default" w:ascii="Times New Roman" w:hAnsi="Times New Roman" w:cs="Times New Roman"/>
                      <w:bCs/>
                      <w:color w:val="auto"/>
                      <w:sz w:val="18"/>
                      <w:szCs w:val="18"/>
                    </w:rPr>
                    <w:t>）</w:t>
                  </w:r>
                </w:p>
              </w:tc>
              <w:tc>
                <w:tcPr>
                  <w:tcW w:w="1049" w:type="dxa"/>
                  <w:tcBorders>
                    <w:tl2br w:val="nil"/>
                    <w:tr2bl w:val="nil"/>
                  </w:tcBorders>
                  <w:vAlign w:val="center"/>
                </w:tcPr>
                <w:p w14:paraId="22C65FFD">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15.1</w:t>
                  </w:r>
                </w:p>
              </w:tc>
              <w:tc>
                <w:tcPr>
                  <w:tcW w:w="1533" w:type="dxa"/>
                  <w:tcBorders>
                    <w:tl2br w:val="nil"/>
                    <w:tr2bl w:val="nil"/>
                  </w:tcBorders>
                  <w:vAlign w:val="center"/>
                </w:tcPr>
                <w:p w14:paraId="2F5D3DD6">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15.9</w:t>
                  </w:r>
                </w:p>
              </w:tc>
              <w:tc>
                <w:tcPr>
                  <w:tcW w:w="1039" w:type="dxa"/>
                  <w:tcBorders>
                    <w:tl2br w:val="nil"/>
                    <w:tr2bl w:val="nil"/>
                  </w:tcBorders>
                  <w:vAlign w:val="center"/>
                </w:tcPr>
                <w:p w14:paraId="2719F4D0">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16.6</w:t>
                  </w:r>
                </w:p>
              </w:tc>
              <w:tc>
                <w:tcPr>
                  <w:tcW w:w="1469" w:type="dxa"/>
                  <w:tcBorders>
                    <w:tl2br w:val="nil"/>
                    <w:tr2bl w:val="nil"/>
                  </w:tcBorders>
                  <w:vAlign w:val="center"/>
                </w:tcPr>
                <w:p w14:paraId="29D1A0A3">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15.9</w:t>
                  </w:r>
                </w:p>
              </w:tc>
            </w:tr>
            <w:tr w14:paraId="63D007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vMerge w:val="continue"/>
                  <w:tcBorders>
                    <w:tl2br w:val="nil"/>
                    <w:tr2bl w:val="nil"/>
                  </w:tcBorders>
                  <w:vAlign w:val="center"/>
                </w:tcPr>
                <w:p w14:paraId="762E3489">
                  <w:pPr>
                    <w:jc w:val="center"/>
                    <w:rPr>
                      <w:rFonts w:hint="default" w:ascii="Times New Roman" w:hAnsi="Times New Roman" w:cs="Times New Roman"/>
                      <w:bCs/>
                      <w:color w:val="auto"/>
                      <w:sz w:val="18"/>
                      <w:szCs w:val="18"/>
                    </w:rPr>
                  </w:pPr>
                </w:p>
              </w:tc>
              <w:tc>
                <w:tcPr>
                  <w:tcW w:w="2335" w:type="dxa"/>
                  <w:gridSpan w:val="2"/>
                  <w:tcBorders>
                    <w:tl2br w:val="nil"/>
                    <w:tr2bl w:val="nil"/>
                  </w:tcBorders>
                  <w:vAlign w:val="center"/>
                </w:tcPr>
                <w:p w14:paraId="65A25AE3">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排放浓度（mg/Nm</w:t>
                  </w:r>
                  <w:r>
                    <w:rPr>
                      <w:rFonts w:hint="default" w:ascii="Times New Roman" w:hAnsi="Times New Roman" w:cs="Times New Roman"/>
                      <w:bCs/>
                      <w:color w:val="auto"/>
                      <w:sz w:val="18"/>
                      <w:szCs w:val="18"/>
                      <w:vertAlign w:val="superscript"/>
                    </w:rPr>
                    <w:t>3</w:t>
                  </w:r>
                  <w:r>
                    <w:rPr>
                      <w:rFonts w:hint="default" w:ascii="Times New Roman" w:hAnsi="Times New Roman" w:cs="Times New Roman"/>
                      <w:bCs/>
                      <w:color w:val="auto"/>
                      <w:sz w:val="18"/>
                      <w:szCs w:val="18"/>
                    </w:rPr>
                    <w:t>）</w:t>
                  </w:r>
                </w:p>
              </w:tc>
              <w:tc>
                <w:tcPr>
                  <w:tcW w:w="1049" w:type="dxa"/>
                  <w:tcBorders>
                    <w:tl2br w:val="nil"/>
                    <w:tr2bl w:val="nil"/>
                  </w:tcBorders>
                  <w:vAlign w:val="center"/>
                </w:tcPr>
                <w:p w14:paraId="20859EB1">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5.3</w:t>
                  </w:r>
                </w:p>
              </w:tc>
              <w:tc>
                <w:tcPr>
                  <w:tcW w:w="1533" w:type="dxa"/>
                  <w:tcBorders>
                    <w:tl2br w:val="nil"/>
                    <w:tr2bl w:val="nil"/>
                  </w:tcBorders>
                  <w:vAlign w:val="center"/>
                </w:tcPr>
                <w:p w14:paraId="4125B92D">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5.6</w:t>
                  </w:r>
                </w:p>
              </w:tc>
              <w:tc>
                <w:tcPr>
                  <w:tcW w:w="1039" w:type="dxa"/>
                  <w:tcBorders>
                    <w:tl2br w:val="nil"/>
                    <w:tr2bl w:val="nil"/>
                  </w:tcBorders>
                  <w:vAlign w:val="center"/>
                </w:tcPr>
                <w:p w14:paraId="5F3DDB1F">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5.9</w:t>
                  </w:r>
                </w:p>
              </w:tc>
              <w:tc>
                <w:tcPr>
                  <w:tcW w:w="1469" w:type="dxa"/>
                  <w:tcBorders>
                    <w:tl2br w:val="nil"/>
                    <w:tr2bl w:val="nil"/>
                  </w:tcBorders>
                  <w:vAlign w:val="center"/>
                </w:tcPr>
                <w:p w14:paraId="630C240E">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5.6</w:t>
                  </w:r>
                </w:p>
              </w:tc>
            </w:tr>
            <w:tr w14:paraId="53E855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vMerge w:val="continue"/>
                  <w:tcBorders>
                    <w:tl2br w:val="nil"/>
                    <w:tr2bl w:val="nil"/>
                  </w:tcBorders>
                  <w:vAlign w:val="center"/>
                </w:tcPr>
                <w:p w14:paraId="3EB20341">
                  <w:pPr>
                    <w:jc w:val="center"/>
                    <w:rPr>
                      <w:rFonts w:hint="default" w:ascii="Times New Roman" w:hAnsi="Times New Roman" w:cs="Times New Roman"/>
                      <w:bCs/>
                      <w:color w:val="auto"/>
                      <w:sz w:val="18"/>
                      <w:szCs w:val="18"/>
                    </w:rPr>
                  </w:pPr>
                </w:p>
              </w:tc>
              <w:tc>
                <w:tcPr>
                  <w:tcW w:w="2335" w:type="dxa"/>
                  <w:gridSpan w:val="2"/>
                  <w:tcBorders>
                    <w:tl2br w:val="nil"/>
                    <w:tr2bl w:val="nil"/>
                  </w:tcBorders>
                  <w:vAlign w:val="center"/>
                </w:tcPr>
                <w:p w14:paraId="4E339D85">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排放速率（kg/h）</w:t>
                  </w:r>
                </w:p>
              </w:tc>
              <w:tc>
                <w:tcPr>
                  <w:tcW w:w="1049" w:type="dxa"/>
                  <w:tcBorders>
                    <w:tl2br w:val="nil"/>
                    <w:tr2bl w:val="nil"/>
                  </w:tcBorders>
                  <w:vAlign w:val="center"/>
                </w:tcPr>
                <w:p w14:paraId="2D2EC70B">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0.199</w:t>
                  </w:r>
                </w:p>
              </w:tc>
              <w:tc>
                <w:tcPr>
                  <w:tcW w:w="1533" w:type="dxa"/>
                  <w:tcBorders>
                    <w:tl2br w:val="nil"/>
                    <w:tr2bl w:val="nil"/>
                  </w:tcBorders>
                  <w:vAlign w:val="center"/>
                </w:tcPr>
                <w:p w14:paraId="7696AEA9">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0.215</w:t>
                  </w:r>
                </w:p>
              </w:tc>
              <w:tc>
                <w:tcPr>
                  <w:tcW w:w="1039" w:type="dxa"/>
                  <w:tcBorders>
                    <w:tl2br w:val="nil"/>
                    <w:tr2bl w:val="nil"/>
                  </w:tcBorders>
                  <w:vAlign w:val="center"/>
                </w:tcPr>
                <w:p w14:paraId="0DB7760B">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0.227</w:t>
                  </w:r>
                </w:p>
              </w:tc>
              <w:tc>
                <w:tcPr>
                  <w:tcW w:w="1469" w:type="dxa"/>
                  <w:tcBorders>
                    <w:tl2br w:val="nil"/>
                    <w:tr2bl w:val="nil"/>
                  </w:tcBorders>
                  <w:vAlign w:val="center"/>
                </w:tcPr>
                <w:p w14:paraId="52384628">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0.214</w:t>
                  </w:r>
                </w:p>
              </w:tc>
            </w:tr>
            <w:tr w14:paraId="05F183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vMerge w:val="restart"/>
                  <w:tcBorders>
                    <w:tl2br w:val="nil"/>
                    <w:tr2bl w:val="nil"/>
                  </w:tcBorders>
                  <w:vAlign w:val="center"/>
                </w:tcPr>
                <w:p w14:paraId="131C8273">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SO</w:t>
                  </w:r>
                  <w:r>
                    <w:rPr>
                      <w:rFonts w:hint="default" w:ascii="Times New Roman" w:hAnsi="Times New Roman" w:cs="Times New Roman"/>
                      <w:bCs/>
                      <w:color w:val="auto"/>
                      <w:sz w:val="18"/>
                      <w:szCs w:val="18"/>
                      <w:vertAlign w:val="subscript"/>
                    </w:rPr>
                    <w:t>2</w:t>
                  </w:r>
                </w:p>
              </w:tc>
              <w:tc>
                <w:tcPr>
                  <w:tcW w:w="2335" w:type="dxa"/>
                  <w:gridSpan w:val="2"/>
                  <w:tcBorders>
                    <w:tl2br w:val="nil"/>
                    <w:tr2bl w:val="nil"/>
                  </w:tcBorders>
                  <w:vAlign w:val="center"/>
                </w:tcPr>
                <w:p w14:paraId="47C540B5">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实测浓度（mg/Nm</w:t>
                  </w:r>
                  <w:r>
                    <w:rPr>
                      <w:rFonts w:hint="default" w:ascii="Times New Roman" w:hAnsi="Times New Roman" w:cs="Times New Roman"/>
                      <w:bCs/>
                      <w:color w:val="auto"/>
                      <w:sz w:val="18"/>
                      <w:szCs w:val="18"/>
                      <w:vertAlign w:val="superscript"/>
                    </w:rPr>
                    <w:t>3</w:t>
                  </w:r>
                  <w:r>
                    <w:rPr>
                      <w:rFonts w:hint="default" w:ascii="Times New Roman" w:hAnsi="Times New Roman" w:cs="Times New Roman"/>
                      <w:bCs/>
                      <w:color w:val="auto"/>
                      <w:sz w:val="18"/>
                      <w:szCs w:val="18"/>
                    </w:rPr>
                    <w:t>）</w:t>
                  </w:r>
                </w:p>
              </w:tc>
              <w:tc>
                <w:tcPr>
                  <w:tcW w:w="1049" w:type="dxa"/>
                  <w:tcBorders>
                    <w:tl2br w:val="nil"/>
                    <w:tr2bl w:val="nil"/>
                  </w:tcBorders>
                  <w:vAlign w:val="center"/>
                </w:tcPr>
                <w:p w14:paraId="75502BCE">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10</w:t>
                  </w:r>
                </w:p>
              </w:tc>
              <w:tc>
                <w:tcPr>
                  <w:tcW w:w="1533" w:type="dxa"/>
                  <w:tcBorders>
                    <w:tl2br w:val="nil"/>
                    <w:tr2bl w:val="nil"/>
                  </w:tcBorders>
                  <w:vAlign w:val="center"/>
                </w:tcPr>
                <w:p w14:paraId="1FAD65B0">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15</w:t>
                  </w:r>
                </w:p>
              </w:tc>
              <w:tc>
                <w:tcPr>
                  <w:tcW w:w="1039" w:type="dxa"/>
                  <w:tcBorders>
                    <w:tl2br w:val="nil"/>
                    <w:tr2bl w:val="nil"/>
                  </w:tcBorders>
                  <w:vAlign w:val="center"/>
                </w:tcPr>
                <w:p w14:paraId="5A22E17C">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20</w:t>
                  </w:r>
                </w:p>
              </w:tc>
              <w:tc>
                <w:tcPr>
                  <w:tcW w:w="1469" w:type="dxa"/>
                  <w:tcBorders>
                    <w:tl2br w:val="nil"/>
                    <w:tr2bl w:val="nil"/>
                  </w:tcBorders>
                  <w:vAlign w:val="center"/>
                </w:tcPr>
                <w:p w14:paraId="07313601">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15</w:t>
                  </w:r>
                </w:p>
              </w:tc>
            </w:tr>
            <w:tr w14:paraId="7DC61F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vMerge w:val="continue"/>
                  <w:tcBorders>
                    <w:tl2br w:val="nil"/>
                    <w:tr2bl w:val="nil"/>
                  </w:tcBorders>
                  <w:vAlign w:val="center"/>
                </w:tcPr>
                <w:p w14:paraId="1D557059">
                  <w:pPr>
                    <w:jc w:val="center"/>
                    <w:rPr>
                      <w:rFonts w:hint="default" w:ascii="Times New Roman" w:hAnsi="Times New Roman" w:cs="Times New Roman"/>
                      <w:bCs/>
                      <w:color w:val="auto"/>
                      <w:sz w:val="18"/>
                      <w:szCs w:val="18"/>
                    </w:rPr>
                  </w:pPr>
                </w:p>
              </w:tc>
              <w:tc>
                <w:tcPr>
                  <w:tcW w:w="2335" w:type="dxa"/>
                  <w:gridSpan w:val="2"/>
                  <w:tcBorders>
                    <w:tl2br w:val="nil"/>
                    <w:tr2bl w:val="nil"/>
                  </w:tcBorders>
                  <w:vAlign w:val="center"/>
                </w:tcPr>
                <w:p w14:paraId="71C3BA68">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排放浓度（mg/Nm</w:t>
                  </w:r>
                  <w:r>
                    <w:rPr>
                      <w:rFonts w:hint="default" w:ascii="Times New Roman" w:hAnsi="Times New Roman" w:cs="Times New Roman"/>
                      <w:bCs/>
                      <w:color w:val="auto"/>
                      <w:sz w:val="18"/>
                      <w:szCs w:val="18"/>
                      <w:vertAlign w:val="superscript"/>
                    </w:rPr>
                    <w:t>3</w:t>
                  </w:r>
                  <w:r>
                    <w:rPr>
                      <w:rFonts w:hint="default" w:ascii="Times New Roman" w:hAnsi="Times New Roman" w:cs="Times New Roman"/>
                      <w:bCs/>
                      <w:color w:val="auto"/>
                      <w:sz w:val="18"/>
                      <w:szCs w:val="18"/>
                    </w:rPr>
                    <w:t>）</w:t>
                  </w:r>
                </w:p>
              </w:tc>
              <w:tc>
                <w:tcPr>
                  <w:tcW w:w="1049" w:type="dxa"/>
                  <w:tcBorders>
                    <w:tl2br w:val="nil"/>
                    <w:tr2bl w:val="nil"/>
                  </w:tcBorders>
                  <w:vAlign w:val="center"/>
                </w:tcPr>
                <w:p w14:paraId="7CD30AD5">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w:t>
                  </w:r>
                </w:p>
              </w:tc>
              <w:tc>
                <w:tcPr>
                  <w:tcW w:w="1533" w:type="dxa"/>
                  <w:tcBorders>
                    <w:tl2br w:val="nil"/>
                    <w:tr2bl w:val="nil"/>
                  </w:tcBorders>
                  <w:vAlign w:val="center"/>
                </w:tcPr>
                <w:p w14:paraId="475392AD">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5</w:t>
                  </w:r>
                </w:p>
              </w:tc>
              <w:tc>
                <w:tcPr>
                  <w:tcW w:w="1039" w:type="dxa"/>
                  <w:tcBorders>
                    <w:tl2br w:val="nil"/>
                    <w:tr2bl w:val="nil"/>
                  </w:tcBorders>
                  <w:vAlign w:val="center"/>
                </w:tcPr>
                <w:p w14:paraId="6C2ED614">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7</w:t>
                  </w:r>
                </w:p>
              </w:tc>
              <w:tc>
                <w:tcPr>
                  <w:tcW w:w="1469" w:type="dxa"/>
                  <w:tcBorders>
                    <w:tl2br w:val="nil"/>
                    <w:tr2bl w:val="nil"/>
                  </w:tcBorders>
                  <w:vAlign w:val="center"/>
                </w:tcPr>
                <w:p w14:paraId="5BD7B84C">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5</w:t>
                  </w:r>
                </w:p>
              </w:tc>
            </w:tr>
            <w:tr w14:paraId="3BCE7C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vMerge w:val="continue"/>
                  <w:tcBorders>
                    <w:tl2br w:val="nil"/>
                    <w:tr2bl w:val="nil"/>
                  </w:tcBorders>
                  <w:vAlign w:val="center"/>
                </w:tcPr>
                <w:p w14:paraId="34AD1D61">
                  <w:pPr>
                    <w:jc w:val="center"/>
                    <w:rPr>
                      <w:rFonts w:hint="default" w:ascii="Times New Roman" w:hAnsi="Times New Roman" w:cs="Times New Roman"/>
                      <w:bCs/>
                      <w:color w:val="auto"/>
                      <w:sz w:val="18"/>
                      <w:szCs w:val="18"/>
                    </w:rPr>
                  </w:pPr>
                </w:p>
              </w:tc>
              <w:tc>
                <w:tcPr>
                  <w:tcW w:w="2335" w:type="dxa"/>
                  <w:gridSpan w:val="2"/>
                  <w:tcBorders>
                    <w:tl2br w:val="nil"/>
                    <w:tr2bl w:val="nil"/>
                  </w:tcBorders>
                  <w:vAlign w:val="center"/>
                </w:tcPr>
                <w:p w14:paraId="704CE4E2">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排放速率（kg/h）</w:t>
                  </w:r>
                </w:p>
              </w:tc>
              <w:tc>
                <w:tcPr>
                  <w:tcW w:w="1049" w:type="dxa"/>
                  <w:tcBorders>
                    <w:tl2br w:val="nil"/>
                    <w:tr2bl w:val="nil"/>
                  </w:tcBorders>
                  <w:vAlign w:val="center"/>
                </w:tcPr>
                <w:p w14:paraId="50F5995A">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0.132</w:t>
                  </w:r>
                </w:p>
              </w:tc>
              <w:tc>
                <w:tcPr>
                  <w:tcW w:w="1533" w:type="dxa"/>
                  <w:tcBorders>
                    <w:tl2br w:val="nil"/>
                    <w:tr2bl w:val="nil"/>
                  </w:tcBorders>
                  <w:vAlign w:val="center"/>
                </w:tcPr>
                <w:p w14:paraId="7908F738">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0.203</w:t>
                  </w:r>
                </w:p>
              </w:tc>
              <w:tc>
                <w:tcPr>
                  <w:tcW w:w="1039" w:type="dxa"/>
                  <w:tcBorders>
                    <w:tl2br w:val="nil"/>
                    <w:tr2bl w:val="nil"/>
                  </w:tcBorders>
                  <w:vAlign w:val="center"/>
                </w:tcPr>
                <w:p w14:paraId="68012444">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0.273</w:t>
                  </w:r>
                </w:p>
              </w:tc>
              <w:tc>
                <w:tcPr>
                  <w:tcW w:w="1469" w:type="dxa"/>
                  <w:tcBorders>
                    <w:tl2br w:val="nil"/>
                    <w:tr2bl w:val="nil"/>
                  </w:tcBorders>
                  <w:vAlign w:val="center"/>
                </w:tcPr>
                <w:p w14:paraId="0ED92789">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0.202</w:t>
                  </w:r>
                </w:p>
              </w:tc>
            </w:tr>
            <w:tr w14:paraId="588749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vMerge w:val="restart"/>
                  <w:tcBorders>
                    <w:tl2br w:val="nil"/>
                    <w:tr2bl w:val="nil"/>
                  </w:tcBorders>
                  <w:vAlign w:val="center"/>
                </w:tcPr>
                <w:p w14:paraId="7B90C9E3">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NOx</w:t>
                  </w:r>
                </w:p>
              </w:tc>
              <w:tc>
                <w:tcPr>
                  <w:tcW w:w="2335" w:type="dxa"/>
                  <w:gridSpan w:val="2"/>
                  <w:tcBorders>
                    <w:tl2br w:val="nil"/>
                    <w:tr2bl w:val="nil"/>
                  </w:tcBorders>
                  <w:vAlign w:val="center"/>
                </w:tcPr>
                <w:p w14:paraId="7C9E04A5">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实测浓度（mg/Nm</w:t>
                  </w:r>
                  <w:r>
                    <w:rPr>
                      <w:rFonts w:hint="default" w:ascii="Times New Roman" w:hAnsi="Times New Roman" w:cs="Times New Roman"/>
                      <w:bCs/>
                      <w:color w:val="auto"/>
                      <w:sz w:val="18"/>
                      <w:szCs w:val="18"/>
                      <w:vertAlign w:val="superscript"/>
                    </w:rPr>
                    <w:t>3</w:t>
                  </w:r>
                  <w:r>
                    <w:rPr>
                      <w:rFonts w:hint="default" w:ascii="Times New Roman" w:hAnsi="Times New Roman" w:cs="Times New Roman"/>
                      <w:bCs/>
                      <w:color w:val="auto"/>
                      <w:sz w:val="18"/>
                      <w:szCs w:val="18"/>
                    </w:rPr>
                    <w:t>）</w:t>
                  </w:r>
                </w:p>
              </w:tc>
              <w:tc>
                <w:tcPr>
                  <w:tcW w:w="1049" w:type="dxa"/>
                  <w:tcBorders>
                    <w:tl2br w:val="nil"/>
                    <w:tr2bl w:val="nil"/>
                  </w:tcBorders>
                  <w:vAlign w:val="center"/>
                </w:tcPr>
                <w:p w14:paraId="55251F75">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98</w:t>
                  </w:r>
                </w:p>
              </w:tc>
              <w:tc>
                <w:tcPr>
                  <w:tcW w:w="1533" w:type="dxa"/>
                  <w:tcBorders>
                    <w:tl2br w:val="nil"/>
                    <w:tr2bl w:val="nil"/>
                  </w:tcBorders>
                  <w:vAlign w:val="center"/>
                </w:tcPr>
                <w:p w14:paraId="0C34AC8A">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103</w:t>
                  </w:r>
                </w:p>
              </w:tc>
              <w:tc>
                <w:tcPr>
                  <w:tcW w:w="1039" w:type="dxa"/>
                  <w:tcBorders>
                    <w:tl2br w:val="nil"/>
                    <w:tr2bl w:val="nil"/>
                  </w:tcBorders>
                  <w:vAlign w:val="center"/>
                </w:tcPr>
                <w:p w14:paraId="5BCBE639">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110</w:t>
                  </w:r>
                </w:p>
              </w:tc>
              <w:tc>
                <w:tcPr>
                  <w:tcW w:w="1469" w:type="dxa"/>
                  <w:tcBorders>
                    <w:tl2br w:val="nil"/>
                    <w:tr2bl w:val="nil"/>
                  </w:tcBorders>
                  <w:vAlign w:val="center"/>
                </w:tcPr>
                <w:p w14:paraId="384C0C79">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104</w:t>
                  </w:r>
                </w:p>
              </w:tc>
            </w:tr>
            <w:tr w14:paraId="1EAF1B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vMerge w:val="continue"/>
                  <w:tcBorders>
                    <w:tl2br w:val="nil"/>
                    <w:tr2bl w:val="nil"/>
                  </w:tcBorders>
                  <w:vAlign w:val="center"/>
                </w:tcPr>
                <w:p w14:paraId="592676F7">
                  <w:pPr>
                    <w:jc w:val="center"/>
                    <w:rPr>
                      <w:rFonts w:hint="default" w:ascii="Times New Roman" w:hAnsi="Times New Roman" w:cs="Times New Roman"/>
                      <w:bCs/>
                      <w:color w:val="auto"/>
                      <w:sz w:val="18"/>
                      <w:szCs w:val="18"/>
                    </w:rPr>
                  </w:pPr>
                </w:p>
              </w:tc>
              <w:tc>
                <w:tcPr>
                  <w:tcW w:w="2335" w:type="dxa"/>
                  <w:gridSpan w:val="2"/>
                  <w:tcBorders>
                    <w:tl2br w:val="nil"/>
                    <w:tr2bl w:val="nil"/>
                  </w:tcBorders>
                  <w:vAlign w:val="center"/>
                </w:tcPr>
                <w:p w14:paraId="33AEBE7E">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排放浓度（mg/Nm</w:t>
                  </w:r>
                  <w:r>
                    <w:rPr>
                      <w:rFonts w:hint="default" w:ascii="Times New Roman" w:hAnsi="Times New Roman" w:cs="Times New Roman"/>
                      <w:bCs/>
                      <w:color w:val="auto"/>
                      <w:sz w:val="18"/>
                      <w:szCs w:val="18"/>
                      <w:vertAlign w:val="superscript"/>
                    </w:rPr>
                    <w:t>3</w:t>
                  </w:r>
                  <w:r>
                    <w:rPr>
                      <w:rFonts w:hint="default" w:ascii="Times New Roman" w:hAnsi="Times New Roman" w:cs="Times New Roman"/>
                      <w:bCs/>
                      <w:color w:val="auto"/>
                      <w:sz w:val="18"/>
                      <w:szCs w:val="18"/>
                    </w:rPr>
                    <w:t>）</w:t>
                  </w:r>
                </w:p>
              </w:tc>
              <w:tc>
                <w:tcPr>
                  <w:tcW w:w="1049" w:type="dxa"/>
                  <w:tcBorders>
                    <w:tl2br w:val="nil"/>
                    <w:tr2bl w:val="nil"/>
                  </w:tcBorders>
                  <w:vAlign w:val="center"/>
                </w:tcPr>
                <w:p w14:paraId="51CEBCAB">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34</w:t>
                  </w:r>
                </w:p>
              </w:tc>
              <w:tc>
                <w:tcPr>
                  <w:tcW w:w="1533" w:type="dxa"/>
                  <w:tcBorders>
                    <w:tl2br w:val="nil"/>
                    <w:tr2bl w:val="nil"/>
                  </w:tcBorders>
                  <w:vAlign w:val="center"/>
                </w:tcPr>
                <w:p w14:paraId="0328BE3F">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37</w:t>
                  </w:r>
                </w:p>
              </w:tc>
              <w:tc>
                <w:tcPr>
                  <w:tcW w:w="1039" w:type="dxa"/>
                  <w:tcBorders>
                    <w:tl2br w:val="nil"/>
                    <w:tr2bl w:val="nil"/>
                  </w:tcBorders>
                  <w:vAlign w:val="center"/>
                </w:tcPr>
                <w:p w14:paraId="4D172D5C">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39</w:t>
                  </w:r>
                </w:p>
              </w:tc>
              <w:tc>
                <w:tcPr>
                  <w:tcW w:w="1469" w:type="dxa"/>
                  <w:tcBorders>
                    <w:tl2br w:val="nil"/>
                    <w:tr2bl w:val="nil"/>
                  </w:tcBorders>
                  <w:vAlign w:val="center"/>
                </w:tcPr>
                <w:p w14:paraId="0D33FE4A">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37</w:t>
                  </w:r>
                </w:p>
              </w:tc>
            </w:tr>
            <w:tr w14:paraId="7E788E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1" w:type="dxa"/>
                  <w:vMerge w:val="continue"/>
                  <w:tcBorders>
                    <w:tl2br w:val="nil"/>
                    <w:tr2bl w:val="nil"/>
                  </w:tcBorders>
                  <w:vAlign w:val="center"/>
                </w:tcPr>
                <w:p w14:paraId="3EBFB7D3">
                  <w:pPr>
                    <w:jc w:val="center"/>
                    <w:rPr>
                      <w:rFonts w:hint="default" w:ascii="Times New Roman" w:hAnsi="Times New Roman" w:cs="Times New Roman"/>
                      <w:bCs/>
                      <w:color w:val="auto"/>
                      <w:sz w:val="18"/>
                      <w:szCs w:val="18"/>
                    </w:rPr>
                  </w:pPr>
                </w:p>
              </w:tc>
              <w:tc>
                <w:tcPr>
                  <w:tcW w:w="2335" w:type="dxa"/>
                  <w:gridSpan w:val="2"/>
                  <w:tcBorders>
                    <w:tl2br w:val="nil"/>
                    <w:tr2bl w:val="nil"/>
                  </w:tcBorders>
                  <w:vAlign w:val="center"/>
                </w:tcPr>
                <w:p w14:paraId="5BFBF2D1">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排放速率（kg/h）</w:t>
                  </w:r>
                </w:p>
              </w:tc>
              <w:tc>
                <w:tcPr>
                  <w:tcW w:w="1049" w:type="dxa"/>
                  <w:tcBorders>
                    <w:tl2br w:val="nil"/>
                    <w:tr2bl w:val="nil"/>
                  </w:tcBorders>
                  <w:vAlign w:val="center"/>
                </w:tcPr>
                <w:p w14:paraId="6B9F1B9B">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1.29</w:t>
                  </w:r>
                </w:p>
              </w:tc>
              <w:tc>
                <w:tcPr>
                  <w:tcW w:w="1533" w:type="dxa"/>
                  <w:tcBorders>
                    <w:tl2br w:val="nil"/>
                    <w:tr2bl w:val="nil"/>
                  </w:tcBorders>
                  <w:vAlign w:val="center"/>
                </w:tcPr>
                <w:p w14:paraId="51F307C9">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1.39</w:t>
                  </w:r>
                </w:p>
              </w:tc>
              <w:tc>
                <w:tcPr>
                  <w:tcW w:w="1039" w:type="dxa"/>
                  <w:tcBorders>
                    <w:tl2br w:val="nil"/>
                    <w:tr2bl w:val="nil"/>
                  </w:tcBorders>
                  <w:vAlign w:val="center"/>
                </w:tcPr>
                <w:p w14:paraId="737E9B3C">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1.50</w:t>
                  </w:r>
                </w:p>
              </w:tc>
              <w:tc>
                <w:tcPr>
                  <w:tcW w:w="1469" w:type="dxa"/>
                  <w:tcBorders>
                    <w:tl2br w:val="nil"/>
                    <w:tr2bl w:val="nil"/>
                  </w:tcBorders>
                  <w:vAlign w:val="center"/>
                </w:tcPr>
                <w:p w14:paraId="5B16383E">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1.40</w:t>
                  </w:r>
                </w:p>
              </w:tc>
            </w:tr>
            <w:tr w14:paraId="4BBEC8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46" w:type="dxa"/>
                  <w:gridSpan w:val="7"/>
                  <w:tcBorders>
                    <w:tl2br w:val="nil"/>
                    <w:tr2bl w:val="nil"/>
                  </w:tcBorders>
                  <w:vAlign w:val="center"/>
                </w:tcPr>
                <w:p w14:paraId="72052DE6">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参考标准：《轧钢工业大气污染物排放标准》（GB28665-2012）中表2限值，即：颗粒物≤20mg/m</w:t>
                  </w:r>
                  <w:r>
                    <w:rPr>
                      <w:rFonts w:hint="default" w:ascii="Times New Roman" w:hAnsi="Times New Roman" w:cs="Times New Roman"/>
                      <w:bCs/>
                      <w:color w:val="auto"/>
                      <w:sz w:val="18"/>
                      <w:szCs w:val="18"/>
                      <w:vertAlign w:val="superscript"/>
                    </w:rPr>
                    <w:t>3</w:t>
                  </w:r>
                  <w:r>
                    <w:rPr>
                      <w:rFonts w:hint="default" w:ascii="Times New Roman" w:hAnsi="Times New Roman" w:cs="Times New Roman"/>
                      <w:bCs/>
                      <w:color w:val="auto"/>
                      <w:sz w:val="18"/>
                      <w:szCs w:val="18"/>
                    </w:rPr>
                    <w:t>；二氧化硫≤150mg/m</w:t>
                  </w:r>
                  <w:r>
                    <w:rPr>
                      <w:rFonts w:hint="default" w:ascii="Times New Roman" w:hAnsi="Times New Roman" w:cs="Times New Roman"/>
                      <w:bCs/>
                      <w:color w:val="auto"/>
                      <w:sz w:val="18"/>
                      <w:szCs w:val="18"/>
                      <w:vertAlign w:val="superscript"/>
                    </w:rPr>
                    <w:t>3</w:t>
                  </w:r>
                  <w:r>
                    <w:rPr>
                      <w:rFonts w:hint="default" w:ascii="Times New Roman" w:hAnsi="Times New Roman" w:cs="Times New Roman"/>
                      <w:bCs/>
                      <w:color w:val="auto"/>
                      <w:sz w:val="18"/>
                      <w:szCs w:val="18"/>
                    </w:rPr>
                    <w:t>；氮氧化物≤300mg/m</w:t>
                  </w:r>
                  <w:r>
                    <w:rPr>
                      <w:rFonts w:hint="default" w:ascii="Times New Roman" w:hAnsi="Times New Roman" w:cs="Times New Roman"/>
                      <w:bCs/>
                      <w:color w:val="auto"/>
                      <w:sz w:val="18"/>
                      <w:szCs w:val="18"/>
                      <w:vertAlign w:val="superscript"/>
                    </w:rPr>
                    <w:t>3</w:t>
                  </w:r>
                  <w:r>
                    <w:rPr>
                      <w:rFonts w:hint="default" w:ascii="Times New Roman" w:hAnsi="Times New Roman" w:cs="Times New Roman"/>
                      <w:bCs/>
                      <w:color w:val="auto"/>
                      <w:sz w:val="18"/>
                      <w:szCs w:val="18"/>
                    </w:rPr>
                    <w:t>。</w:t>
                  </w:r>
                </w:p>
              </w:tc>
            </w:tr>
          </w:tbl>
          <w:p w14:paraId="711982B5">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根据上表分析可以看出，现有型钢加热炉废气排口，经折算后颗粒物最大排放浓度为16.6mg/m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、二氧化硫20mg/m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w:t>
            </w:r>
            <w:r>
              <w:rPr>
                <w:rFonts w:hint="default" w:ascii="Times New Roman" w:hAnsi="Times New Roman" w:cs="Times New Roman"/>
                <w:color w:val="auto"/>
                <w:sz w:val="24"/>
              </w:rPr>
              <w:t>氮氧化物</w:t>
            </w:r>
            <w:r>
              <w:rPr>
                <w:rFonts w:hint="default" w:ascii="Times New Roman" w:hAnsi="Times New Roman" w:cs="Times New Roman"/>
                <w:bCs/>
                <w:color w:val="auto"/>
                <w:sz w:val="24"/>
              </w:rPr>
              <w:t>110mg/m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，满足《轧钢工业大气污染物排放标准》（GB28665-2012）中表2限值要求。</w:t>
            </w:r>
          </w:p>
          <w:p w14:paraId="7AB83B4F">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根据调查2024年加热炉实际生产3504h/a。则计算得排放量为颗粒物0.795t/a、二氧化硫0.957t/a、</w:t>
            </w:r>
            <w:r>
              <w:rPr>
                <w:rFonts w:hint="default" w:ascii="Times New Roman" w:hAnsi="Times New Roman" w:cs="Times New Roman"/>
                <w:color w:val="auto"/>
                <w:sz w:val="24"/>
              </w:rPr>
              <w:t>氮氧化物</w:t>
            </w:r>
            <w:r>
              <w:rPr>
                <w:rFonts w:hint="default" w:ascii="Times New Roman" w:hAnsi="Times New Roman" w:cs="Times New Roman"/>
                <w:bCs/>
                <w:color w:val="auto"/>
                <w:sz w:val="24"/>
              </w:rPr>
              <w:t>5.24t/a。</w:t>
            </w:r>
            <w:r>
              <w:rPr>
                <w:rFonts w:hint="default" w:ascii="Times New Roman" w:hAnsi="Times New Roman" w:cs="Times New Roman"/>
                <w:bCs/>
                <w:color w:val="auto"/>
                <w:kern w:val="0"/>
                <w:sz w:val="24"/>
              </w:rPr>
              <w:t>现有的天然气加热炉产生的</w:t>
            </w:r>
            <w:r>
              <w:rPr>
                <w:rFonts w:hint="default" w:ascii="Times New Roman" w:hAnsi="Times New Roman" w:cs="Times New Roman"/>
                <w:bCs/>
                <w:color w:val="auto"/>
                <w:sz w:val="24"/>
              </w:rPr>
              <w:t>颗粒物、二氧化硫和氮氧化物</w:t>
            </w:r>
            <w:r>
              <w:rPr>
                <w:rFonts w:hint="default" w:ascii="Times New Roman" w:hAnsi="Times New Roman" w:cs="Times New Roman"/>
                <w:bCs/>
                <w:color w:val="auto"/>
                <w:kern w:val="0"/>
                <w:sz w:val="24"/>
              </w:rPr>
              <w:t>经20m高的排气筒直排。</w:t>
            </w:r>
          </w:p>
          <w:p w14:paraId="08C832B9">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（2）废气无组织排放</w:t>
            </w:r>
          </w:p>
          <w:p w14:paraId="034EA1C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现有工程无组织废气主要来源于轧钢系统产生的无组织粉尘，无组织颗粒物排放参照现有工程于2018年编制的《年产30万吨型钢连轧生产线技改项目环境影响报告表》中的核算量，粉尘排放量为4.8t/a。</w:t>
            </w:r>
          </w:p>
          <w:p w14:paraId="7AA0F61A">
            <w:pPr>
              <w:pStyle w:val="34"/>
              <w:spacing w:line="360" w:lineRule="auto"/>
              <w:ind w:left="0" w:leftChars="0" w:firstLine="480"/>
              <w:rPr>
                <w:rFonts w:hint="default" w:ascii="Times New Roman" w:hAnsi="Times New Roman" w:cs="Times New Roman"/>
                <w:color w:val="auto"/>
              </w:rPr>
            </w:pPr>
            <w:r>
              <w:rPr>
                <w:rFonts w:hint="default" w:ascii="Times New Roman" w:hAnsi="Times New Roman" w:cs="Times New Roman"/>
                <w:color w:val="auto"/>
              </w:rPr>
              <w:t>2024年建设单位对厂界无组织颗粒物进行了现状监测，本报告列出2024年第一季度～第四季度的监测结果，具体如下表：</w:t>
            </w:r>
          </w:p>
          <w:p w14:paraId="0C0E471A">
            <w:pPr>
              <w:pStyle w:val="102"/>
              <w:ind w:firstLine="42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表2-12   厂界无组织废气监测结果一览表    单位：mg/m</w:t>
            </w:r>
            <w:r>
              <w:rPr>
                <w:rFonts w:hint="default" w:ascii="Times New Roman" w:hAnsi="Times New Roman" w:eastAsia="黑体" w:cs="Times New Roman"/>
                <w:color w:val="auto"/>
                <w:szCs w:val="21"/>
                <w:vertAlign w:val="superscript"/>
              </w:rPr>
              <w:t>3</w:t>
            </w:r>
          </w:p>
          <w:tbl>
            <w:tblPr>
              <w:tblStyle w:val="36"/>
              <w:tblW w:w="834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1125"/>
              <w:gridCol w:w="1072"/>
              <w:gridCol w:w="1114"/>
              <w:gridCol w:w="1082"/>
              <w:gridCol w:w="868"/>
              <w:gridCol w:w="1045"/>
            </w:tblGrid>
            <w:tr w14:paraId="4CC83E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2034" w:type="dxa"/>
                  <w:tcBorders>
                    <w:tl2br w:val="nil"/>
                    <w:tr2bl w:val="nil"/>
                  </w:tcBorders>
                  <w:vAlign w:val="center"/>
                </w:tcPr>
                <w:p w14:paraId="1ACA5A08">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 xml:space="preserve">  采样日期</w:t>
                  </w:r>
                </w:p>
                <w:p w14:paraId="5FECB77A">
                  <w:pPr>
                    <w:pStyle w:val="71"/>
                    <w:tabs>
                      <w:tab w:val="left" w:pos="420"/>
                    </w:tabs>
                    <w:wordWrap w:val="0"/>
                    <w:adjustRightInd/>
                    <w:snapToGrid/>
                    <w:spacing w:beforeLines="0" w:afterLines="0" w:line="240" w:lineRule="auto"/>
                    <w:ind w:firstLine="0"/>
                    <w:jc w:val="both"/>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检测点位</w:t>
                  </w:r>
                </w:p>
              </w:tc>
              <w:tc>
                <w:tcPr>
                  <w:tcW w:w="1125" w:type="dxa"/>
                  <w:tcBorders>
                    <w:tl2br w:val="nil"/>
                    <w:tr2bl w:val="nil"/>
                  </w:tcBorders>
                  <w:vAlign w:val="center"/>
                </w:tcPr>
                <w:p w14:paraId="1747A39B">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2024/01/13</w:t>
                  </w:r>
                </w:p>
              </w:tc>
              <w:tc>
                <w:tcPr>
                  <w:tcW w:w="1072" w:type="dxa"/>
                  <w:tcBorders>
                    <w:tl2br w:val="nil"/>
                    <w:tr2bl w:val="nil"/>
                  </w:tcBorders>
                  <w:vAlign w:val="center"/>
                </w:tcPr>
                <w:p w14:paraId="325C3472">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2024/06/24</w:t>
                  </w:r>
                </w:p>
              </w:tc>
              <w:tc>
                <w:tcPr>
                  <w:tcW w:w="1114" w:type="dxa"/>
                  <w:tcBorders>
                    <w:tl2br w:val="nil"/>
                    <w:tr2bl w:val="nil"/>
                  </w:tcBorders>
                  <w:vAlign w:val="center"/>
                </w:tcPr>
                <w:p w14:paraId="1654C9AA">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2024/08/16</w:t>
                  </w:r>
                </w:p>
              </w:tc>
              <w:tc>
                <w:tcPr>
                  <w:tcW w:w="1082" w:type="dxa"/>
                  <w:tcBorders>
                    <w:tl2br w:val="nil"/>
                    <w:tr2bl w:val="nil"/>
                  </w:tcBorders>
                  <w:vAlign w:val="center"/>
                </w:tcPr>
                <w:p w14:paraId="4DC946D7">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2024/10/24</w:t>
                  </w:r>
                </w:p>
              </w:tc>
              <w:tc>
                <w:tcPr>
                  <w:tcW w:w="868" w:type="dxa"/>
                  <w:tcBorders>
                    <w:tl2br w:val="nil"/>
                    <w:tr2bl w:val="nil"/>
                  </w:tcBorders>
                  <w:vAlign w:val="center"/>
                </w:tcPr>
                <w:p w14:paraId="3DAF75E8">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标准值</w:t>
                  </w:r>
                </w:p>
              </w:tc>
              <w:tc>
                <w:tcPr>
                  <w:tcW w:w="1045" w:type="dxa"/>
                  <w:tcBorders>
                    <w:tl2br w:val="nil"/>
                    <w:tr2bl w:val="nil"/>
                  </w:tcBorders>
                  <w:vAlign w:val="center"/>
                </w:tcPr>
                <w:p w14:paraId="0F4B09EB">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达标情况</w:t>
                  </w:r>
                </w:p>
              </w:tc>
            </w:tr>
            <w:tr w14:paraId="30E0FB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4" w:type="dxa"/>
                  <w:vMerge w:val="restart"/>
                  <w:tcBorders>
                    <w:tl2br w:val="nil"/>
                    <w:tr2bl w:val="nil"/>
                  </w:tcBorders>
                  <w:vAlign w:val="center"/>
                </w:tcPr>
                <w:p w14:paraId="3913D028">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厂界上风向1#</w:t>
                  </w:r>
                </w:p>
              </w:tc>
              <w:tc>
                <w:tcPr>
                  <w:tcW w:w="1125" w:type="dxa"/>
                  <w:tcBorders>
                    <w:tl2br w:val="nil"/>
                    <w:tr2bl w:val="nil"/>
                  </w:tcBorders>
                  <w:vAlign w:val="center"/>
                </w:tcPr>
                <w:p w14:paraId="482565D3">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0.245</w:t>
                  </w:r>
                </w:p>
              </w:tc>
              <w:tc>
                <w:tcPr>
                  <w:tcW w:w="1072" w:type="dxa"/>
                  <w:tcBorders>
                    <w:tl2br w:val="nil"/>
                    <w:tr2bl w:val="nil"/>
                  </w:tcBorders>
                  <w:vAlign w:val="center"/>
                </w:tcPr>
                <w:p w14:paraId="5DC01A94">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0.216</w:t>
                  </w:r>
                </w:p>
              </w:tc>
              <w:tc>
                <w:tcPr>
                  <w:tcW w:w="1114" w:type="dxa"/>
                  <w:tcBorders>
                    <w:tl2br w:val="nil"/>
                    <w:tr2bl w:val="nil"/>
                  </w:tcBorders>
                  <w:vAlign w:val="center"/>
                </w:tcPr>
                <w:p w14:paraId="2DC8922F">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0.244</w:t>
                  </w:r>
                </w:p>
              </w:tc>
              <w:tc>
                <w:tcPr>
                  <w:tcW w:w="1082" w:type="dxa"/>
                  <w:tcBorders>
                    <w:tl2br w:val="nil"/>
                    <w:tr2bl w:val="nil"/>
                  </w:tcBorders>
                  <w:vAlign w:val="center"/>
                </w:tcPr>
                <w:p w14:paraId="029CD691">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0.266</w:t>
                  </w:r>
                </w:p>
              </w:tc>
              <w:tc>
                <w:tcPr>
                  <w:tcW w:w="868" w:type="dxa"/>
                  <w:vMerge w:val="restart"/>
                  <w:tcBorders>
                    <w:tl2br w:val="nil"/>
                    <w:tr2bl w:val="nil"/>
                  </w:tcBorders>
                  <w:vAlign w:val="center"/>
                </w:tcPr>
                <w:p w14:paraId="55E022B6">
                  <w:pPr>
                    <w:pStyle w:val="34"/>
                    <w:ind w:left="0" w:leftChars="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1045" w:type="dxa"/>
                  <w:tcBorders>
                    <w:tl2br w:val="nil"/>
                    <w:tr2bl w:val="nil"/>
                  </w:tcBorders>
                  <w:vAlign w:val="center"/>
                </w:tcPr>
                <w:p w14:paraId="12A07624">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达标</w:t>
                  </w:r>
                </w:p>
              </w:tc>
            </w:tr>
            <w:tr w14:paraId="63C830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4" w:type="dxa"/>
                  <w:vMerge w:val="continue"/>
                  <w:tcBorders>
                    <w:tl2br w:val="nil"/>
                    <w:tr2bl w:val="nil"/>
                  </w:tcBorders>
                  <w:vAlign w:val="center"/>
                </w:tcPr>
                <w:p w14:paraId="42148F1C">
                  <w:pPr>
                    <w:pStyle w:val="34"/>
                    <w:ind w:left="0" w:leftChars="0" w:firstLine="0" w:firstLineChars="0"/>
                    <w:jc w:val="center"/>
                    <w:rPr>
                      <w:rFonts w:hint="default" w:ascii="Times New Roman" w:hAnsi="Times New Roman" w:cs="Times New Roman"/>
                      <w:color w:val="auto"/>
                      <w:sz w:val="18"/>
                      <w:szCs w:val="18"/>
                    </w:rPr>
                  </w:pPr>
                </w:p>
              </w:tc>
              <w:tc>
                <w:tcPr>
                  <w:tcW w:w="1125" w:type="dxa"/>
                  <w:tcBorders>
                    <w:tl2br w:val="nil"/>
                    <w:tr2bl w:val="nil"/>
                  </w:tcBorders>
                  <w:vAlign w:val="center"/>
                </w:tcPr>
                <w:p w14:paraId="29C3077B">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0.278</w:t>
                  </w:r>
                </w:p>
              </w:tc>
              <w:tc>
                <w:tcPr>
                  <w:tcW w:w="1072" w:type="dxa"/>
                  <w:tcBorders>
                    <w:tl2br w:val="nil"/>
                    <w:tr2bl w:val="nil"/>
                  </w:tcBorders>
                  <w:vAlign w:val="center"/>
                </w:tcPr>
                <w:p w14:paraId="3A02B926">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0.288</w:t>
                  </w:r>
                </w:p>
              </w:tc>
              <w:tc>
                <w:tcPr>
                  <w:tcW w:w="1114" w:type="dxa"/>
                  <w:tcBorders>
                    <w:tl2br w:val="nil"/>
                    <w:tr2bl w:val="nil"/>
                  </w:tcBorders>
                  <w:vAlign w:val="center"/>
                </w:tcPr>
                <w:p w14:paraId="1585BAE1">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0.230</w:t>
                  </w:r>
                </w:p>
              </w:tc>
              <w:tc>
                <w:tcPr>
                  <w:tcW w:w="1082" w:type="dxa"/>
                  <w:tcBorders>
                    <w:tl2br w:val="nil"/>
                    <w:tr2bl w:val="nil"/>
                  </w:tcBorders>
                  <w:vAlign w:val="center"/>
                </w:tcPr>
                <w:p w14:paraId="465EF592">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0.268</w:t>
                  </w:r>
                </w:p>
              </w:tc>
              <w:tc>
                <w:tcPr>
                  <w:tcW w:w="868" w:type="dxa"/>
                  <w:vMerge w:val="continue"/>
                  <w:tcBorders>
                    <w:tl2br w:val="nil"/>
                    <w:tr2bl w:val="nil"/>
                  </w:tcBorders>
                  <w:vAlign w:val="center"/>
                </w:tcPr>
                <w:p w14:paraId="43FFC5D8">
                  <w:pPr>
                    <w:pStyle w:val="34"/>
                    <w:ind w:left="0" w:leftChars="0" w:firstLine="0" w:firstLineChars="0"/>
                    <w:jc w:val="center"/>
                    <w:rPr>
                      <w:rFonts w:hint="default" w:ascii="Times New Roman" w:hAnsi="Times New Roman" w:cs="Times New Roman"/>
                      <w:color w:val="auto"/>
                      <w:sz w:val="18"/>
                      <w:szCs w:val="18"/>
                    </w:rPr>
                  </w:pPr>
                </w:p>
              </w:tc>
              <w:tc>
                <w:tcPr>
                  <w:tcW w:w="1045" w:type="dxa"/>
                  <w:tcBorders>
                    <w:tl2br w:val="nil"/>
                    <w:tr2bl w:val="nil"/>
                  </w:tcBorders>
                  <w:vAlign w:val="center"/>
                </w:tcPr>
                <w:p w14:paraId="4655C736">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达标</w:t>
                  </w:r>
                </w:p>
              </w:tc>
            </w:tr>
            <w:tr w14:paraId="2550D6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4" w:type="dxa"/>
                  <w:vMerge w:val="continue"/>
                  <w:tcBorders>
                    <w:tl2br w:val="nil"/>
                    <w:tr2bl w:val="nil"/>
                  </w:tcBorders>
                  <w:vAlign w:val="center"/>
                </w:tcPr>
                <w:p w14:paraId="120C59F7">
                  <w:pPr>
                    <w:pStyle w:val="34"/>
                    <w:ind w:left="0" w:leftChars="0" w:firstLine="0" w:firstLineChars="0"/>
                    <w:jc w:val="center"/>
                    <w:rPr>
                      <w:rFonts w:hint="default" w:ascii="Times New Roman" w:hAnsi="Times New Roman" w:cs="Times New Roman"/>
                      <w:color w:val="auto"/>
                      <w:sz w:val="18"/>
                      <w:szCs w:val="18"/>
                    </w:rPr>
                  </w:pPr>
                </w:p>
              </w:tc>
              <w:tc>
                <w:tcPr>
                  <w:tcW w:w="1125" w:type="dxa"/>
                  <w:tcBorders>
                    <w:tl2br w:val="nil"/>
                    <w:tr2bl w:val="nil"/>
                  </w:tcBorders>
                  <w:vAlign w:val="center"/>
                </w:tcPr>
                <w:p w14:paraId="7EE41C76">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0.293</w:t>
                  </w:r>
                </w:p>
              </w:tc>
              <w:tc>
                <w:tcPr>
                  <w:tcW w:w="1072" w:type="dxa"/>
                  <w:tcBorders>
                    <w:tl2br w:val="nil"/>
                    <w:tr2bl w:val="nil"/>
                  </w:tcBorders>
                  <w:vAlign w:val="center"/>
                </w:tcPr>
                <w:p w14:paraId="1024E2DE">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0.238</w:t>
                  </w:r>
                </w:p>
              </w:tc>
              <w:tc>
                <w:tcPr>
                  <w:tcW w:w="1114" w:type="dxa"/>
                  <w:tcBorders>
                    <w:tl2br w:val="nil"/>
                    <w:tr2bl w:val="nil"/>
                  </w:tcBorders>
                  <w:vAlign w:val="center"/>
                </w:tcPr>
                <w:p w14:paraId="722005D5">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0.249</w:t>
                  </w:r>
                </w:p>
              </w:tc>
              <w:tc>
                <w:tcPr>
                  <w:tcW w:w="1082" w:type="dxa"/>
                  <w:tcBorders>
                    <w:tl2br w:val="nil"/>
                    <w:tr2bl w:val="nil"/>
                  </w:tcBorders>
                  <w:vAlign w:val="center"/>
                </w:tcPr>
                <w:p w14:paraId="518CBC81">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0.266</w:t>
                  </w:r>
                </w:p>
              </w:tc>
              <w:tc>
                <w:tcPr>
                  <w:tcW w:w="868" w:type="dxa"/>
                  <w:vMerge w:val="continue"/>
                  <w:tcBorders>
                    <w:tl2br w:val="nil"/>
                    <w:tr2bl w:val="nil"/>
                  </w:tcBorders>
                  <w:vAlign w:val="center"/>
                </w:tcPr>
                <w:p w14:paraId="1F289215">
                  <w:pPr>
                    <w:pStyle w:val="34"/>
                    <w:ind w:left="0" w:leftChars="0" w:firstLine="0" w:firstLineChars="0"/>
                    <w:jc w:val="center"/>
                    <w:rPr>
                      <w:rFonts w:hint="default" w:ascii="Times New Roman" w:hAnsi="Times New Roman" w:cs="Times New Roman"/>
                      <w:color w:val="auto"/>
                      <w:sz w:val="18"/>
                      <w:szCs w:val="18"/>
                    </w:rPr>
                  </w:pPr>
                </w:p>
              </w:tc>
              <w:tc>
                <w:tcPr>
                  <w:tcW w:w="1045" w:type="dxa"/>
                  <w:tcBorders>
                    <w:tl2br w:val="nil"/>
                    <w:tr2bl w:val="nil"/>
                  </w:tcBorders>
                  <w:vAlign w:val="center"/>
                </w:tcPr>
                <w:p w14:paraId="7278F4B6">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达标</w:t>
                  </w:r>
                </w:p>
              </w:tc>
            </w:tr>
            <w:tr w14:paraId="2FDB78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4" w:type="dxa"/>
                  <w:vMerge w:val="restart"/>
                  <w:tcBorders>
                    <w:tl2br w:val="nil"/>
                    <w:tr2bl w:val="nil"/>
                  </w:tcBorders>
                  <w:vAlign w:val="center"/>
                </w:tcPr>
                <w:p w14:paraId="29320075">
                  <w:pPr>
                    <w:pStyle w:val="34"/>
                    <w:ind w:left="0" w:leftChars="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厂界下风向2#</w:t>
                  </w:r>
                </w:p>
              </w:tc>
              <w:tc>
                <w:tcPr>
                  <w:tcW w:w="1125" w:type="dxa"/>
                  <w:tcBorders>
                    <w:tl2br w:val="nil"/>
                    <w:tr2bl w:val="nil"/>
                  </w:tcBorders>
                  <w:vAlign w:val="center"/>
                </w:tcPr>
                <w:p w14:paraId="7E4842A5">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0.331</w:t>
                  </w:r>
                </w:p>
              </w:tc>
              <w:tc>
                <w:tcPr>
                  <w:tcW w:w="1072" w:type="dxa"/>
                  <w:tcBorders>
                    <w:tl2br w:val="nil"/>
                    <w:tr2bl w:val="nil"/>
                  </w:tcBorders>
                  <w:vAlign w:val="center"/>
                </w:tcPr>
                <w:p w14:paraId="3531B259">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0.481</w:t>
                  </w:r>
                </w:p>
              </w:tc>
              <w:tc>
                <w:tcPr>
                  <w:tcW w:w="1114" w:type="dxa"/>
                  <w:tcBorders>
                    <w:tl2br w:val="nil"/>
                    <w:tr2bl w:val="nil"/>
                  </w:tcBorders>
                  <w:vAlign w:val="center"/>
                </w:tcPr>
                <w:p w14:paraId="4E93C44B">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0.487</w:t>
                  </w:r>
                </w:p>
              </w:tc>
              <w:tc>
                <w:tcPr>
                  <w:tcW w:w="1082" w:type="dxa"/>
                  <w:tcBorders>
                    <w:tl2br w:val="nil"/>
                    <w:tr2bl w:val="nil"/>
                  </w:tcBorders>
                  <w:vAlign w:val="center"/>
                </w:tcPr>
                <w:p w14:paraId="15DE416C">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0.637</w:t>
                  </w:r>
                </w:p>
              </w:tc>
              <w:tc>
                <w:tcPr>
                  <w:tcW w:w="868" w:type="dxa"/>
                  <w:vMerge w:val="continue"/>
                  <w:tcBorders>
                    <w:tl2br w:val="nil"/>
                    <w:tr2bl w:val="nil"/>
                  </w:tcBorders>
                  <w:vAlign w:val="center"/>
                </w:tcPr>
                <w:p w14:paraId="0A808D5A">
                  <w:pPr>
                    <w:pStyle w:val="34"/>
                    <w:ind w:left="0" w:leftChars="0" w:firstLine="0" w:firstLineChars="0"/>
                    <w:jc w:val="center"/>
                    <w:rPr>
                      <w:rFonts w:hint="default" w:ascii="Times New Roman" w:hAnsi="Times New Roman" w:cs="Times New Roman"/>
                      <w:color w:val="auto"/>
                      <w:sz w:val="18"/>
                      <w:szCs w:val="18"/>
                    </w:rPr>
                  </w:pPr>
                </w:p>
              </w:tc>
              <w:tc>
                <w:tcPr>
                  <w:tcW w:w="1045" w:type="dxa"/>
                  <w:tcBorders>
                    <w:tl2br w:val="nil"/>
                    <w:tr2bl w:val="nil"/>
                  </w:tcBorders>
                  <w:vAlign w:val="center"/>
                </w:tcPr>
                <w:p w14:paraId="00BB6342">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达标</w:t>
                  </w:r>
                </w:p>
              </w:tc>
            </w:tr>
            <w:tr w14:paraId="44B0A9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4" w:type="dxa"/>
                  <w:vMerge w:val="continue"/>
                  <w:tcBorders>
                    <w:tl2br w:val="nil"/>
                    <w:tr2bl w:val="nil"/>
                  </w:tcBorders>
                  <w:vAlign w:val="center"/>
                </w:tcPr>
                <w:p w14:paraId="11B8EF10">
                  <w:pPr>
                    <w:pStyle w:val="34"/>
                    <w:ind w:left="0" w:leftChars="0" w:firstLine="0" w:firstLineChars="0"/>
                    <w:jc w:val="center"/>
                    <w:rPr>
                      <w:rFonts w:hint="default" w:ascii="Times New Roman" w:hAnsi="Times New Roman" w:cs="Times New Roman"/>
                      <w:color w:val="auto"/>
                      <w:sz w:val="18"/>
                      <w:szCs w:val="18"/>
                    </w:rPr>
                  </w:pPr>
                </w:p>
              </w:tc>
              <w:tc>
                <w:tcPr>
                  <w:tcW w:w="1125" w:type="dxa"/>
                  <w:tcBorders>
                    <w:tl2br w:val="nil"/>
                    <w:tr2bl w:val="nil"/>
                  </w:tcBorders>
                  <w:vAlign w:val="center"/>
                </w:tcPr>
                <w:p w14:paraId="7EB7F4F0">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0.406</w:t>
                  </w:r>
                </w:p>
              </w:tc>
              <w:tc>
                <w:tcPr>
                  <w:tcW w:w="1072" w:type="dxa"/>
                  <w:tcBorders>
                    <w:tl2br w:val="nil"/>
                    <w:tr2bl w:val="nil"/>
                  </w:tcBorders>
                  <w:vAlign w:val="center"/>
                </w:tcPr>
                <w:p w14:paraId="723CA59D">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0.492</w:t>
                  </w:r>
                </w:p>
              </w:tc>
              <w:tc>
                <w:tcPr>
                  <w:tcW w:w="1114" w:type="dxa"/>
                  <w:tcBorders>
                    <w:tl2br w:val="nil"/>
                    <w:tr2bl w:val="nil"/>
                  </w:tcBorders>
                  <w:vAlign w:val="center"/>
                </w:tcPr>
                <w:p w14:paraId="1BAA7B63">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0.451</w:t>
                  </w:r>
                </w:p>
              </w:tc>
              <w:tc>
                <w:tcPr>
                  <w:tcW w:w="1082" w:type="dxa"/>
                  <w:tcBorders>
                    <w:tl2br w:val="nil"/>
                    <w:tr2bl w:val="nil"/>
                  </w:tcBorders>
                  <w:vAlign w:val="center"/>
                </w:tcPr>
                <w:p w14:paraId="764C4879">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0.632</w:t>
                  </w:r>
                </w:p>
              </w:tc>
              <w:tc>
                <w:tcPr>
                  <w:tcW w:w="868" w:type="dxa"/>
                  <w:vMerge w:val="continue"/>
                  <w:tcBorders>
                    <w:tl2br w:val="nil"/>
                    <w:tr2bl w:val="nil"/>
                  </w:tcBorders>
                  <w:vAlign w:val="center"/>
                </w:tcPr>
                <w:p w14:paraId="67853D0B">
                  <w:pPr>
                    <w:pStyle w:val="34"/>
                    <w:ind w:left="0" w:leftChars="0" w:firstLine="0" w:firstLineChars="0"/>
                    <w:jc w:val="center"/>
                    <w:rPr>
                      <w:rFonts w:hint="default" w:ascii="Times New Roman" w:hAnsi="Times New Roman" w:cs="Times New Roman"/>
                      <w:color w:val="auto"/>
                      <w:sz w:val="18"/>
                      <w:szCs w:val="18"/>
                    </w:rPr>
                  </w:pPr>
                </w:p>
              </w:tc>
              <w:tc>
                <w:tcPr>
                  <w:tcW w:w="1045" w:type="dxa"/>
                  <w:tcBorders>
                    <w:tl2br w:val="nil"/>
                    <w:tr2bl w:val="nil"/>
                  </w:tcBorders>
                  <w:vAlign w:val="center"/>
                </w:tcPr>
                <w:p w14:paraId="7D83CF32">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达标</w:t>
                  </w:r>
                </w:p>
              </w:tc>
            </w:tr>
            <w:tr w14:paraId="7FB1F9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4" w:type="dxa"/>
                  <w:vMerge w:val="continue"/>
                  <w:tcBorders>
                    <w:tl2br w:val="nil"/>
                    <w:tr2bl w:val="nil"/>
                  </w:tcBorders>
                  <w:vAlign w:val="center"/>
                </w:tcPr>
                <w:p w14:paraId="4857E311">
                  <w:pPr>
                    <w:pStyle w:val="34"/>
                    <w:ind w:left="0" w:leftChars="0" w:firstLine="0" w:firstLineChars="0"/>
                    <w:jc w:val="center"/>
                    <w:rPr>
                      <w:rFonts w:hint="default" w:ascii="Times New Roman" w:hAnsi="Times New Roman" w:cs="Times New Roman"/>
                      <w:color w:val="auto"/>
                      <w:sz w:val="18"/>
                      <w:szCs w:val="18"/>
                    </w:rPr>
                  </w:pPr>
                </w:p>
              </w:tc>
              <w:tc>
                <w:tcPr>
                  <w:tcW w:w="1125" w:type="dxa"/>
                  <w:tcBorders>
                    <w:tl2br w:val="nil"/>
                    <w:tr2bl w:val="nil"/>
                  </w:tcBorders>
                  <w:vAlign w:val="center"/>
                </w:tcPr>
                <w:p w14:paraId="6EAEDF56">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0.436</w:t>
                  </w:r>
                </w:p>
              </w:tc>
              <w:tc>
                <w:tcPr>
                  <w:tcW w:w="1072" w:type="dxa"/>
                  <w:tcBorders>
                    <w:tl2br w:val="nil"/>
                    <w:tr2bl w:val="nil"/>
                  </w:tcBorders>
                  <w:vAlign w:val="center"/>
                </w:tcPr>
                <w:p w14:paraId="45BAD01E">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0.465</w:t>
                  </w:r>
                </w:p>
              </w:tc>
              <w:tc>
                <w:tcPr>
                  <w:tcW w:w="1114" w:type="dxa"/>
                  <w:tcBorders>
                    <w:tl2br w:val="nil"/>
                    <w:tr2bl w:val="nil"/>
                  </w:tcBorders>
                  <w:vAlign w:val="center"/>
                </w:tcPr>
                <w:p w14:paraId="2ACEDBB4">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0.467</w:t>
                  </w:r>
                </w:p>
              </w:tc>
              <w:tc>
                <w:tcPr>
                  <w:tcW w:w="1082" w:type="dxa"/>
                  <w:tcBorders>
                    <w:tl2br w:val="nil"/>
                    <w:tr2bl w:val="nil"/>
                  </w:tcBorders>
                  <w:vAlign w:val="center"/>
                </w:tcPr>
                <w:p w14:paraId="5CCF42D5">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0.633</w:t>
                  </w:r>
                </w:p>
              </w:tc>
              <w:tc>
                <w:tcPr>
                  <w:tcW w:w="868" w:type="dxa"/>
                  <w:vMerge w:val="continue"/>
                  <w:tcBorders>
                    <w:tl2br w:val="nil"/>
                    <w:tr2bl w:val="nil"/>
                  </w:tcBorders>
                  <w:vAlign w:val="center"/>
                </w:tcPr>
                <w:p w14:paraId="1643D94C">
                  <w:pPr>
                    <w:pStyle w:val="34"/>
                    <w:ind w:left="0" w:leftChars="0" w:firstLine="0" w:firstLineChars="0"/>
                    <w:jc w:val="center"/>
                    <w:rPr>
                      <w:rFonts w:hint="default" w:ascii="Times New Roman" w:hAnsi="Times New Roman" w:cs="Times New Roman"/>
                      <w:color w:val="auto"/>
                      <w:sz w:val="18"/>
                      <w:szCs w:val="18"/>
                    </w:rPr>
                  </w:pPr>
                </w:p>
              </w:tc>
              <w:tc>
                <w:tcPr>
                  <w:tcW w:w="1045" w:type="dxa"/>
                  <w:tcBorders>
                    <w:tl2br w:val="nil"/>
                    <w:tr2bl w:val="nil"/>
                  </w:tcBorders>
                  <w:vAlign w:val="center"/>
                </w:tcPr>
                <w:p w14:paraId="43F3EC03">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达标</w:t>
                  </w:r>
                </w:p>
              </w:tc>
            </w:tr>
            <w:tr w14:paraId="27FBDF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4" w:type="dxa"/>
                  <w:vMerge w:val="restart"/>
                  <w:tcBorders>
                    <w:tl2br w:val="nil"/>
                    <w:tr2bl w:val="nil"/>
                  </w:tcBorders>
                  <w:vAlign w:val="center"/>
                </w:tcPr>
                <w:p w14:paraId="69C8BE41">
                  <w:pPr>
                    <w:pStyle w:val="34"/>
                    <w:ind w:left="0" w:leftChars="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厂界下风向3#</w:t>
                  </w:r>
                </w:p>
              </w:tc>
              <w:tc>
                <w:tcPr>
                  <w:tcW w:w="1125" w:type="dxa"/>
                  <w:tcBorders>
                    <w:tl2br w:val="nil"/>
                    <w:tr2bl w:val="nil"/>
                  </w:tcBorders>
                  <w:vAlign w:val="center"/>
                </w:tcPr>
                <w:p w14:paraId="5537B7D3">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0.557</w:t>
                  </w:r>
                </w:p>
              </w:tc>
              <w:tc>
                <w:tcPr>
                  <w:tcW w:w="1072" w:type="dxa"/>
                  <w:tcBorders>
                    <w:tl2br w:val="nil"/>
                    <w:tr2bl w:val="nil"/>
                  </w:tcBorders>
                  <w:vAlign w:val="center"/>
                </w:tcPr>
                <w:p w14:paraId="55940F4A">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0.466</w:t>
                  </w:r>
                </w:p>
              </w:tc>
              <w:tc>
                <w:tcPr>
                  <w:tcW w:w="1114" w:type="dxa"/>
                  <w:tcBorders>
                    <w:tl2br w:val="nil"/>
                    <w:tr2bl w:val="nil"/>
                  </w:tcBorders>
                  <w:vAlign w:val="center"/>
                </w:tcPr>
                <w:p w14:paraId="2C1B6A78">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0.463</w:t>
                  </w:r>
                </w:p>
              </w:tc>
              <w:tc>
                <w:tcPr>
                  <w:tcW w:w="1082" w:type="dxa"/>
                  <w:tcBorders>
                    <w:tl2br w:val="nil"/>
                    <w:tr2bl w:val="nil"/>
                  </w:tcBorders>
                  <w:vAlign w:val="center"/>
                </w:tcPr>
                <w:p w14:paraId="32D0363E">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0.666</w:t>
                  </w:r>
                </w:p>
              </w:tc>
              <w:tc>
                <w:tcPr>
                  <w:tcW w:w="868" w:type="dxa"/>
                  <w:vMerge w:val="continue"/>
                  <w:tcBorders>
                    <w:tl2br w:val="nil"/>
                    <w:tr2bl w:val="nil"/>
                  </w:tcBorders>
                  <w:vAlign w:val="center"/>
                </w:tcPr>
                <w:p w14:paraId="78BDA849">
                  <w:pPr>
                    <w:pStyle w:val="34"/>
                    <w:ind w:left="0" w:leftChars="0" w:firstLine="0" w:firstLineChars="0"/>
                    <w:jc w:val="center"/>
                    <w:rPr>
                      <w:rFonts w:hint="default" w:ascii="Times New Roman" w:hAnsi="Times New Roman" w:cs="Times New Roman"/>
                      <w:color w:val="auto"/>
                      <w:sz w:val="18"/>
                      <w:szCs w:val="18"/>
                    </w:rPr>
                  </w:pPr>
                </w:p>
              </w:tc>
              <w:tc>
                <w:tcPr>
                  <w:tcW w:w="1045" w:type="dxa"/>
                  <w:tcBorders>
                    <w:tl2br w:val="nil"/>
                    <w:tr2bl w:val="nil"/>
                  </w:tcBorders>
                  <w:vAlign w:val="center"/>
                </w:tcPr>
                <w:p w14:paraId="1EEDE877">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达标</w:t>
                  </w:r>
                </w:p>
              </w:tc>
            </w:tr>
            <w:tr w14:paraId="27AACB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4" w:type="dxa"/>
                  <w:vMerge w:val="continue"/>
                  <w:tcBorders>
                    <w:tl2br w:val="nil"/>
                    <w:tr2bl w:val="nil"/>
                  </w:tcBorders>
                  <w:vAlign w:val="center"/>
                </w:tcPr>
                <w:p w14:paraId="04AA6899">
                  <w:pPr>
                    <w:pStyle w:val="34"/>
                    <w:ind w:left="0" w:leftChars="0" w:firstLine="0" w:firstLineChars="0"/>
                    <w:jc w:val="center"/>
                    <w:rPr>
                      <w:rFonts w:hint="default" w:ascii="Times New Roman" w:hAnsi="Times New Roman" w:cs="Times New Roman"/>
                      <w:color w:val="auto"/>
                      <w:sz w:val="18"/>
                      <w:szCs w:val="18"/>
                    </w:rPr>
                  </w:pPr>
                </w:p>
              </w:tc>
              <w:tc>
                <w:tcPr>
                  <w:tcW w:w="1125" w:type="dxa"/>
                  <w:tcBorders>
                    <w:tl2br w:val="nil"/>
                    <w:tr2bl w:val="nil"/>
                  </w:tcBorders>
                  <w:vAlign w:val="center"/>
                </w:tcPr>
                <w:p w14:paraId="187B76FF">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0.609</w:t>
                  </w:r>
                </w:p>
              </w:tc>
              <w:tc>
                <w:tcPr>
                  <w:tcW w:w="1072" w:type="dxa"/>
                  <w:tcBorders>
                    <w:tl2br w:val="nil"/>
                    <w:tr2bl w:val="nil"/>
                  </w:tcBorders>
                  <w:vAlign w:val="center"/>
                </w:tcPr>
                <w:p w14:paraId="5390DE11">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0.492</w:t>
                  </w:r>
                </w:p>
              </w:tc>
              <w:tc>
                <w:tcPr>
                  <w:tcW w:w="1114" w:type="dxa"/>
                  <w:tcBorders>
                    <w:tl2br w:val="nil"/>
                    <w:tr2bl w:val="nil"/>
                  </w:tcBorders>
                  <w:vAlign w:val="center"/>
                </w:tcPr>
                <w:p w14:paraId="77A40C50">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0.478</w:t>
                  </w:r>
                </w:p>
              </w:tc>
              <w:tc>
                <w:tcPr>
                  <w:tcW w:w="1082" w:type="dxa"/>
                  <w:tcBorders>
                    <w:tl2br w:val="nil"/>
                    <w:tr2bl w:val="nil"/>
                  </w:tcBorders>
                  <w:vAlign w:val="center"/>
                </w:tcPr>
                <w:p w14:paraId="6B79469B">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0.667</w:t>
                  </w:r>
                </w:p>
              </w:tc>
              <w:tc>
                <w:tcPr>
                  <w:tcW w:w="868" w:type="dxa"/>
                  <w:vMerge w:val="continue"/>
                  <w:tcBorders>
                    <w:tl2br w:val="nil"/>
                    <w:tr2bl w:val="nil"/>
                  </w:tcBorders>
                  <w:vAlign w:val="center"/>
                </w:tcPr>
                <w:p w14:paraId="269697BB">
                  <w:pPr>
                    <w:pStyle w:val="34"/>
                    <w:ind w:left="0" w:leftChars="0" w:firstLine="0" w:firstLineChars="0"/>
                    <w:jc w:val="center"/>
                    <w:rPr>
                      <w:rFonts w:hint="default" w:ascii="Times New Roman" w:hAnsi="Times New Roman" w:cs="Times New Roman"/>
                      <w:color w:val="auto"/>
                      <w:sz w:val="18"/>
                      <w:szCs w:val="18"/>
                    </w:rPr>
                  </w:pPr>
                </w:p>
              </w:tc>
              <w:tc>
                <w:tcPr>
                  <w:tcW w:w="1045" w:type="dxa"/>
                  <w:tcBorders>
                    <w:tl2br w:val="nil"/>
                    <w:tr2bl w:val="nil"/>
                  </w:tcBorders>
                  <w:vAlign w:val="center"/>
                </w:tcPr>
                <w:p w14:paraId="7A47984D">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达标</w:t>
                  </w:r>
                </w:p>
              </w:tc>
            </w:tr>
            <w:tr w14:paraId="523806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4" w:type="dxa"/>
                  <w:vMerge w:val="continue"/>
                  <w:tcBorders>
                    <w:tl2br w:val="nil"/>
                    <w:tr2bl w:val="nil"/>
                  </w:tcBorders>
                  <w:vAlign w:val="center"/>
                </w:tcPr>
                <w:p w14:paraId="5E3E1AC7">
                  <w:pPr>
                    <w:pStyle w:val="34"/>
                    <w:ind w:left="0" w:leftChars="0" w:firstLine="0" w:firstLineChars="0"/>
                    <w:jc w:val="center"/>
                    <w:rPr>
                      <w:rFonts w:hint="default" w:ascii="Times New Roman" w:hAnsi="Times New Roman" w:cs="Times New Roman"/>
                      <w:color w:val="auto"/>
                      <w:sz w:val="18"/>
                      <w:szCs w:val="18"/>
                    </w:rPr>
                  </w:pPr>
                </w:p>
              </w:tc>
              <w:tc>
                <w:tcPr>
                  <w:tcW w:w="1125" w:type="dxa"/>
                  <w:tcBorders>
                    <w:tl2br w:val="nil"/>
                    <w:tr2bl w:val="nil"/>
                  </w:tcBorders>
                  <w:vAlign w:val="center"/>
                </w:tcPr>
                <w:p w14:paraId="0F9633F0">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0.581</w:t>
                  </w:r>
                </w:p>
              </w:tc>
              <w:tc>
                <w:tcPr>
                  <w:tcW w:w="1072" w:type="dxa"/>
                  <w:tcBorders>
                    <w:tl2br w:val="nil"/>
                    <w:tr2bl w:val="nil"/>
                  </w:tcBorders>
                  <w:vAlign w:val="center"/>
                </w:tcPr>
                <w:p w14:paraId="10534A65">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0.476</w:t>
                  </w:r>
                </w:p>
              </w:tc>
              <w:tc>
                <w:tcPr>
                  <w:tcW w:w="1114" w:type="dxa"/>
                  <w:tcBorders>
                    <w:tl2br w:val="nil"/>
                    <w:tr2bl w:val="nil"/>
                  </w:tcBorders>
                  <w:vAlign w:val="center"/>
                </w:tcPr>
                <w:p w14:paraId="6659ADC0">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0.489</w:t>
                  </w:r>
                </w:p>
              </w:tc>
              <w:tc>
                <w:tcPr>
                  <w:tcW w:w="1082" w:type="dxa"/>
                  <w:tcBorders>
                    <w:tl2br w:val="nil"/>
                    <w:tr2bl w:val="nil"/>
                  </w:tcBorders>
                  <w:vAlign w:val="center"/>
                </w:tcPr>
                <w:p w14:paraId="196B8D46">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0.660</w:t>
                  </w:r>
                </w:p>
              </w:tc>
              <w:tc>
                <w:tcPr>
                  <w:tcW w:w="868" w:type="dxa"/>
                  <w:vMerge w:val="continue"/>
                  <w:tcBorders>
                    <w:tl2br w:val="nil"/>
                    <w:tr2bl w:val="nil"/>
                  </w:tcBorders>
                  <w:vAlign w:val="center"/>
                </w:tcPr>
                <w:p w14:paraId="4E1766D5">
                  <w:pPr>
                    <w:pStyle w:val="34"/>
                    <w:ind w:left="0" w:leftChars="0" w:firstLine="0" w:firstLineChars="0"/>
                    <w:jc w:val="center"/>
                    <w:rPr>
                      <w:rFonts w:hint="default" w:ascii="Times New Roman" w:hAnsi="Times New Roman" w:cs="Times New Roman"/>
                      <w:color w:val="auto"/>
                      <w:sz w:val="18"/>
                      <w:szCs w:val="18"/>
                    </w:rPr>
                  </w:pPr>
                </w:p>
              </w:tc>
              <w:tc>
                <w:tcPr>
                  <w:tcW w:w="1045" w:type="dxa"/>
                  <w:tcBorders>
                    <w:tl2br w:val="nil"/>
                    <w:tr2bl w:val="nil"/>
                  </w:tcBorders>
                  <w:vAlign w:val="center"/>
                </w:tcPr>
                <w:p w14:paraId="72D0E041">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达标</w:t>
                  </w:r>
                </w:p>
              </w:tc>
            </w:tr>
            <w:tr w14:paraId="1204ED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4" w:type="dxa"/>
                  <w:vMerge w:val="restart"/>
                  <w:tcBorders>
                    <w:tl2br w:val="nil"/>
                    <w:tr2bl w:val="nil"/>
                  </w:tcBorders>
                  <w:vAlign w:val="center"/>
                </w:tcPr>
                <w:p w14:paraId="4A5EB4D1">
                  <w:pPr>
                    <w:pStyle w:val="34"/>
                    <w:ind w:left="0" w:leftChars="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厂界下风向4#</w:t>
                  </w:r>
                </w:p>
              </w:tc>
              <w:tc>
                <w:tcPr>
                  <w:tcW w:w="1125" w:type="dxa"/>
                  <w:tcBorders>
                    <w:tl2br w:val="nil"/>
                    <w:tr2bl w:val="nil"/>
                  </w:tcBorders>
                  <w:vAlign w:val="center"/>
                </w:tcPr>
                <w:p w14:paraId="2E4B9EFA">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0.621</w:t>
                  </w:r>
                </w:p>
              </w:tc>
              <w:tc>
                <w:tcPr>
                  <w:tcW w:w="1072" w:type="dxa"/>
                  <w:tcBorders>
                    <w:tl2br w:val="nil"/>
                    <w:tr2bl w:val="nil"/>
                  </w:tcBorders>
                  <w:vAlign w:val="center"/>
                </w:tcPr>
                <w:p w14:paraId="261EA9A0">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0.515</w:t>
                  </w:r>
                </w:p>
              </w:tc>
              <w:tc>
                <w:tcPr>
                  <w:tcW w:w="1114" w:type="dxa"/>
                  <w:tcBorders>
                    <w:tl2br w:val="nil"/>
                    <w:tr2bl w:val="nil"/>
                  </w:tcBorders>
                  <w:vAlign w:val="center"/>
                </w:tcPr>
                <w:p w14:paraId="015E1993">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0.458</w:t>
                  </w:r>
                </w:p>
              </w:tc>
              <w:tc>
                <w:tcPr>
                  <w:tcW w:w="1082" w:type="dxa"/>
                  <w:tcBorders>
                    <w:tl2br w:val="nil"/>
                    <w:tr2bl w:val="nil"/>
                  </w:tcBorders>
                  <w:vAlign w:val="center"/>
                </w:tcPr>
                <w:p w14:paraId="1207C398">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0.624</w:t>
                  </w:r>
                </w:p>
              </w:tc>
              <w:tc>
                <w:tcPr>
                  <w:tcW w:w="868" w:type="dxa"/>
                  <w:vMerge w:val="continue"/>
                  <w:tcBorders>
                    <w:tl2br w:val="nil"/>
                    <w:tr2bl w:val="nil"/>
                  </w:tcBorders>
                  <w:vAlign w:val="center"/>
                </w:tcPr>
                <w:p w14:paraId="4EE7519F">
                  <w:pPr>
                    <w:pStyle w:val="34"/>
                    <w:ind w:left="0" w:leftChars="0" w:firstLine="0" w:firstLineChars="0"/>
                    <w:jc w:val="center"/>
                    <w:rPr>
                      <w:rFonts w:hint="default" w:ascii="Times New Roman" w:hAnsi="Times New Roman" w:cs="Times New Roman"/>
                      <w:color w:val="auto"/>
                      <w:sz w:val="18"/>
                      <w:szCs w:val="18"/>
                    </w:rPr>
                  </w:pPr>
                </w:p>
              </w:tc>
              <w:tc>
                <w:tcPr>
                  <w:tcW w:w="1045" w:type="dxa"/>
                  <w:tcBorders>
                    <w:tl2br w:val="nil"/>
                    <w:tr2bl w:val="nil"/>
                  </w:tcBorders>
                  <w:vAlign w:val="center"/>
                </w:tcPr>
                <w:p w14:paraId="1B3316F8">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达标</w:t>
                  </w:r>
                </w:p>
              </w:tc>
            </w:tr>
            <w:tr w14:paraId="3105F7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4" w:type="dxa"/>
                  <w:vMerge w:val="continue"/>
                  <w:tcBorders>
                    <w:tl2br w:val="nil"/>
                    <w:tr2bl w:val="nil"/>
                  </w:tcBorders>
                  <w:vAlign w:val="center"/>
                </w:tcPr>
                <w:p w14:paraId="62288206">
                  <w:pPr>
                    <w:pStyle w:val="34"/>
                    <w:ind w:left="0" w:leftChars="0" w:firstLine="0" w:firstLineChars="0"/>
                    <w:jc w:val="center"/>
                    <w:rPr>
                      <w:rFonts w:hint="default" w:ascii="Times New Roman" w:hAnsi="Times New Roman" w:cs="Times New Roman"/>
                      <w:color w:val="auto"/>
                      <w:sz w:val="18"/>
                      <w:szCs w:val="18"/>
                    </w:rPr>
                  </w:pPr>
                </w:p>
              </w:tc>
              <w:tc>
                <w:tcPr>
                  <w:tcW w:w="1125" w:type="dxa"/>
                  <w:tcBorders>
                    <w:tl2br w:val="nil"/>
                    <w:tr2bl w:val="nil"/>
                  </w:tcBorders>
                  <w:vAlign w:val="center"/>
                </w:tcPr>
                <w:p w14:paraId="471113B8">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0.596</w:t>
                  </w:r>
                </w:p>
              </w:tc>
              <w:tc>
                <w:tcPr>
                  <w:tcW w:w="1072" w:type="dxa"/>
                  <w:tcBorders>
                    <w:tl2br w:val="nil"/>
                    <w:tr2bl w:val="nil"/>
                  </w:tcBorders>
                  <w:vAlign w:val="center"/>
                </w:tcPr>
                <w:p w14:paraId="752E5720">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0.503</w:t>
                  </w:r>
                </w:p>
              </w:tc>
              <w:tc>
                <w:tcPr>
                  <w:tcW w:w="1114" w:type="dxa"/>
                  <w:tcBorders>
                    <w:tl2br w:val="nil"/>
                    <w:tr2bl w:val="nil"/>
                  </w:tcBorders>
                  <w:vAlign w:val="center"/>
                </w:tcPr>
                <w:p w14:paraId="0DD16C4D">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0.485</w:t>
                  </w:r>
                </w:p>
              </w:tc>
              <w:tc>
                <w:tcPr>
                  <w:tcW w:w="1082" w:type="dxa"/>
                  <w:tcBorders>
                    <w:tl2br w:val="nil"/>
                    <w:tr2bl w:val="nil"/>
                  </w:tcBorders>
                  <w:vAlign w:val="center"/>
                </w:tcPr>
                <w:p w14:paraId="36347B3F">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0.634</w:t>
                  </w:r>
                </w:p>
              </w:tc>
              <w:tc>
                <w:tcPr>
                  <w:tcW w:w="868" w:type="dxa"/>
                  <w:vMerge w:val="continue"/>
                  <w:tcBorders>
                    <w:tl2br w:val="nil"/>
                    <w:tr2bl w:val="nil"/>
                  </w:tcBorders>
                  <w:vAlign w:val="center"/>
                </w:tcPr>
                <w:p w14:paraId="1668FF59">
                  <w:pPr>
                    <w:pStyle w:val="34"/>
                    <w:ind w:left="0" w:leftChars="0" w:firstLine="0" w:firstLineChars="0"/>
                    <w:jc w:val="center"/>
                    <w:rPr>
                      <w:rFonts w:hint="default" w:ascii="Times New Roman" w:hAnsi="Times New Roman" w:cs="Times New Roman"/>
                      <w:color w:val="auto"/>
                      <w:sz w:val="18"/>
                      <w:szCs w:val="18"/>
                    </w:rPr>
                  </w:pPr>
                </w:p>
              </w:tc>
              <w:tc>
                <w:tcPr>
                  <w:tcW w:w="1045" w:type="dxa"/>
                  <w:tcBorders>
                    <w:tl2br w:val="nil"/>
                    <w:tr2bl w:val="nil"/>
                  </w:tcBorders>
                  <w:vAlign w:val="center"/>
                </w:tcPr>
                <w:p w14:paraId="5518BC8B">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达标</w:t>
                  </w:r>
                </w:p>
              </w:tc>
            </w:tr>
            <w:tr w14:paraId="6B3859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4" w:type="dxa"/>
                  <w:vMerge w:val="continue"/>
                  <w:tcBorders>
                    <w:tl2br w:val="nil"/>
                    <w:tr2bl w:val="nil"/>
                  </w:tcBorders>
                  <w:vAlign w:val="center"/>
                </w:tcPr>
                <w:p w14:paraId="4CFCEB71">
                  <w:pPr>
                    <w:pStyle w:val="34"/>
                    <w:ind w:left="0" w:leftChars="0" w:firstLine="0" w:firstLineChars="0"/>
                    <w:jc w:val="center"/>
                    <w:rPr>
                      <w:rFonts w:hint="default" w:ascii="Times New Roman" w:hAnsi="Times New Roman" w:cs="Times New Roman"/>
                      <w:color w:val="auto"/>
                      <w:sz w:val="18"/>
                      <w:szCs w:val="18"/>
                    </w:rPr>
                  </w:pPr>
                </w:p>
              </w:tc>
              <w:tc>
                <w:tcPr>
                  <w:tcW w:w="1125" w:type="dxa"/>
                  <w:tcBorders>
                    <w:tl2br w:val="nil"/>
                    <w:tr2bl w:val="nil"/>
                  </w:tcBorders>
                  <w:vAlign w:val="center"/>
                </w:tcPr>
                <w:p w14:paraId="1DE11E3A">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0.607</w:t>
                  </w:r>
                </w:p>
              </w:tc>
              <w:tc>
                <w:tcPr>
                  <w:tcW w:w="1072" w:type="dxa"/>
                  <w:tcBorders>
                    <w:tl2br w:val="nil"/>
                    <w:tr2bl w:val="nil"/>
                  </w:tcBorders>
                  <w:vAlign w:val="center"/>
                </w:tcPr>
                <w:p w14:paraId="6051582E">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0.479</w:t>
                  </w:r>
                </w:p>
              </w:tc>
              <w:tc>
                <w:tcPr>
                  <w:tcW w:w="1114" w:type="dxa"/>
                  <w:tcBorders>
                    <w:tl2br w:val="nil"/>
                    <w:tr2bl w:val="nil"/>
                  </w:tcBorders>
                  <w:vAlign w:val="center"/>
                </w:tcPr>
                <w:p w14:paraId="2BB0D6FF">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0.462</w:t>
                  </w:r>
                </w:p>
              </w:tc>
              <w:tc>
                <w:tcPr>
                  <w:tcW w:w="1082" w:type="dxa"/>
                  <w:tcBorders>
                    <w:tl2br w:val="nil"/>
                    <w:tr2bl w:val="nil"/>
                  </w:tcBorders>
                  <w:vAlign w:val="center"/>
                </w:tcPr>
                <w:p w14:paraId="3A34B8E6">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0.624</w:t>
                  </w:r>
                </w:p>
              </w:tc>
              <w:tc>
                <w:tcPr>
                  <w:tcW w:w="868" w:type="dxa"/>
                  <w:vMerge w:val="continue"/>
                  <w:tcBorders>
                    <w:tl2br w:val="nil"/>
                    <w:tr2bl w:val="nil"/>
                  </w:tcBorders>
                  <w:vAlign w:val="center"/>
                </w:tcPr>
                <w:p w14:paraId="13A6153E">
                  <w:pPr>
                    <w:pStyle w:val="34"/>
                    <w:ind w:left="0" w:leftChars="0" w:firstLine="0" w:firstLineChars="0"/>
                    <w:jc w:val="center"/>
                    <w:rPr>
                      <w:rFonts w:hint="default" w:ascii="Times New Roman" w:hAnsi="Times New Roman" w:cs="Times New Roman"/>
                      <w:color w:val="auto"/>
                      <w:sz w:val="18"/>
                      <w:szCs w:val="18"/>
                    </w:rPr>
                  </w:pPr>
                </w:p>
              </w:tc>
              <w:tc>
                <w:tcPr>
                  <w:tcW w:w="1045" w:type="dxa"/>
                  <w:tcBorders>
                    <w:tl2br w:val="nil"/>
                    <w:tr2bl w:val="nil"/>
                  </w:tcBorders>
                  <w:vAlign w:val="center"/>
                </w:tcPr>
                <w:p w14:paraId="65899C26">
                  <w:pPr>
                    <w:pStyle w:val="71"/>
                    <w:tabs>
                      <w:tab w:val="left" w:pos="420"/>
                    </w:tabs>
                    <w:wordWrap w:val="0"/>
                    <w:adjustRightInd/>
                    <w:snapToGrid/>
                    <w:spacing w:beforeLines="0" w:afterLines="0" w:line="240" w:lineRule="auto"/>
                    <w:ind w:firstLine="0"/>
                    <w:rPr>
                      <w:rFonts w:hint="default" w:ascii="Times New Roman" w:hAnsi="Times New Roman" w:cs="Times New Roman"/>
                      <w:color w:val="auto"/>
                      <w:sz w:val="18"/>
                      <w:szCs w:val="18"/>
                      <w:lang w:bidi="zh-CN"/>
                    </w:rPr>
                  </w:pPr>
                  <w:r>
                    <w:rPr>
                      <w:rFonts w:hint="default" w:ascii="Times New Roman" w:hAnsi="Times New Roman" w:cs="Times New Roman"/>
                      <w:color w:val="auto"/>
                      <w:sz w:val="18"/>
                      <w:szCs w:val="18"/>
                      <w:lang w:bidi="zh-CN"/>
                    </w:rPr>
                    <w:t>达标</w:t>
                  </w:r>
                </w:p>
              </w:tc>
            </w:tr>
          </w:tbl>
          <w:p w14:paraId="6BD1AC07">
            <w:pPr>
              <w:pStyle w:val="18"/>
              <w:spacing w:line="360" w:lineRule="auto"/>
              <w:ind w:firstLine="480" w:firstLineChars="200"/>
              <w:rPr>
                <w:rFonts w:hint="default" w:ascii="Times New Roman" w:hAnsi="Times New Roman" w:cs="Times New Roman"/>
                <w:b/>
                <w:bCs/>
                <w:color w:val="auto"/>
              </w:rPr>
            </w:pPr>
            <w:r>
              <w:rPr>
                <w:rFonts w:hint="default" w:ascii="Times New Roman" w:hAnsi="Times New Roman" w:cs="Times New Roman"/>
                <w:snapToGrid w:val="0"/>
                <w:color w:val="auto"/>
                <w:sz w:val="24"/>
                <w:szCs w:val="24"/>
              </w:rPr>
              <w:t>根据上表的监测结果看出，现有工程厂界无组织颗粒物满足</w:t>
            </w:r>
            <w:r>
              <w:rPr>
                <w:rFonts w:hint="default" w:ascii="Times New Roman" w:hAnsi="Times New Roman" w:cs="Times New Roman"/>
                <w:color w:val="auto"/>
                <w:sz w:val="24"/>
              </w:rPr>
              <w:t>《大气污染物综合排放标准》（GB16297-1996）</w:t>
            </w:r>
            <w:r>
              <w:rPr>
                <w:rFonts w:hint="default" w:ascii="Times New Roman" w:hAnsi="Times New Roman" w:cs="Times New Roman"/>
                <w:snapToGrid w:val="0"/>
                <w:color w:val="auto"/>
                <w:sz w:val="24"/>
                <w:szCs w:val="24"/>
              </w:rPr>
              <w:t>限值，废气达标排放。</w:t>
            </w:r>
          </w:p>
          <w:p w14:paraId="65C16EF8">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1.8.2废水</w:t>
            </w:r>
          </w:p>
          <w:p w14:paraId="48CB059F">
            <w:pPr>
              <w:pStyle w:val="18"/>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snapToGrid w:val="0"/>
                <w:color w:val="auto"/>
                <w:sz w:val="24"/>
                <w:szCs w:val="24"/>
              </w:rPr>
              <w:t>现有厂区内所产生的废水包括生活污水和生产废水两部分：</w:t>
            </w:r>
          </w:p>
          <w:p w14:paraId="2FA38353">
            <w:pPr>
              <w:spacing w:line="360" w:lineRule="auto"/>
              <w:ind w:firstLine="482"/>
              <w:rPr>
                <w:rFonts w:hint="default" w:ascii="Times New Roman" w:hAnsi="Times New Roman" w:cs="Times New Roman"/>
                <w:b/>
                <w:color w:val="auto"/>
                <w:sz w:val="24"/>
                <w:szCs w:val="28"/>
              </w:rPr>
            </w:pPr>
            <w:r>
              <w:rPr>
                <w:rFonts w:hint="default" w:ascii="Times New Roman" w:hAnsi="Times New Roman" w:cs="Times New Roman"/>
                <w:b/>
                <w:color w:val="auto"/>
                <w:sz w:val="24"/>
                <w:szCs w:val="28"/>
              </w:rPr>
              <w:t>（1）生活污水</w:t>
            </w:r>
          </w:p>
          <w:p w14:paraId="2EF1C379">
            <w:pPr>
              <w:spacing w:line="360" w:lineRule="auto"/>
              <w:ind w:firstLine="482"/>
              <w:rPr>
                <w:rFonts w:hint="default" w:ascii="Times New Roman" w:hAnsi="Times New Roman" w:cs="Times New Roman"/>
                <w:color w:val="auto"/>
                <w:sz w:val="24"/>
              </w:rPr>
            </w:pPr>
            <w:r>
              <w:rPr>
                <w:rFonts w:hint="default" w:ascii="Times New Roman" w:hAnsi="Times New Roman" w:cs="Times New Roman"/>
                <w:color w:val="auto"/>
                <w:sz w:val="24"/>
              </w:rPr>
              <w:t>厂区内生活污水主要为冲厕和洗手污水，</w:t>
            </w:r>
            <w:r>
              <w:rPr>
                <w:rFonts w:hint="default" w:ascii="Times New Roman" w:hAnsi="Times New Roman" w:cs="Times New Roman"/>
                <w:snapToGrid w:val="0"/>
                <w:color w:val="auto"/>
                <w:sz w:val="24"/>
              </w:rPr>
              <w:t>生活污水产生量为</w:t>
            </w:r>
            <w:r>
              <w:rPr>
                <w:rFonts w:hint="default" w:ascii="Times New Roman" w:hAnsi="Times New Roman" w:cs="Times New Roman"/>
                <w:color w:val="auto"/>
                <w:sz w:val="24"/>
              </w:rPr>
              <w:t>5.15m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/d、1700m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/a。现状生活污水经化粪池处理后排入园区污水处理厂。</w:t>
            </w:r>
          </w:p>
          <w:p w14:paraId="0BE4B4E7">
            <w:pPr>
              <w:spacing w:line="360" w:lineRule="auto"/>
              <w:ind w:firstLine="482"/>
              <w:rPr>
                <w:rFonts w:hint="default" w:ascii="Times New Roman" w:hAnsi="Times New Roman" w:cs="Times New Roman"/>
                <w:b/>
                <w:color w:val="auto"/>
                <w:sz w:val="24"/>
                <w:szCs w:val="28"/>
              </w:rPr>
            </w:pPr>
            <w:r>
              <w:rPr>
                <w:rFonts w:hint="default" w:ascii="Times New Roman" w:hAnsi="Times New Roman" w:cs="Times New Roman"/>
                <w:b/>
                <w:color w:val="auto"/>
                <w:sz w:val="24"/>
                <w:szCs w:val="28"/>
              </w:rPr>
              <w:t>（2）生产废水</w:t>
            </w:r>
          </w:p>
          <w:p w14:paraId="5FFCC161">
            <w:pPr>
              <w:spacing w:line="360" w:lineRule="auto"/>
              <w:ind w:firstLine="482"/>
              <w:rPr>
                <w:rFonts w:hint="default" w:ascii="Times New Roman" w:hAnsi="Times New Roman" w:cs="Times New Roman"/>
                <w:color w:val="auto"/>
                <w:sz w:val="24"/>
              </w:rPr>
            </w:pPr>
            <w:r>
              <w:rPr>
                <w:rFonts w:hint="default" w:ascii="Times New Roman" w:hAnsi="Times New Roman" w:cs="Times New Roman"/>
                <w:color w:val="auto"/>
                <w:sz w:val="24"/>
              </w:rPr>
              <w:t>现有工程产生的生产废水主要是轧机的冷却废水及产品的冷却废水，冷却废水经200m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的沉淀池沉淀冷却处理后，由水泵抽到1000m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的循环水池中循环使用，不外排。</w:t>
            </w:r>
          </w:p>
          <w:p w14:paraId="7E93A0AB">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1.8.3噪声</w:t>
            </w:r>
          </w:p>
          <w:p w14:paraId="0087B8AF">
            <w:pPr>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现有厂区内只有一条型钢生产线，其生产过程中动力机械、设备的运行会产生噪声。主要噪声源设备有顶钢机、各种轧机、飞锯、打包机、各种风机等，噪声源强约75~95dB(A），通过采取选用低噪声的设备、密闭隔声、装设隔音材料和安装消声器等措施已达降噪效果。</w:t>
            </w:r>
          </w:p>
          <w:p w14:paraId="71C4CF16">
            <w:pPr>
              <w:spacing w:line="360" w:lineRule="auto"/>
              <w:ind w:firstLine="480"/>
              <w:jc w:val="left"/>
              <w:rPr>
                <w:rFonts w:hint="default" w:ascii="Times New Roman" w:hAnsi="Times New Roman" w:eastAsia="黑体" w:cs="Times New Roman"/>
                <w:color w:val="auto"/>
                <w:szCs w:val="21"/>
              </w:rPr>
            </w:pPr>
            <w:r>
              <w:rPr>
                <w:rFonts w:hint="default" w:ascii="Times New Roman" w:hAnsi="Times New Roman" w:cs="Times New Roman"/>
                <w:color w:val="auto"/>
                <w:sz w:val="24"/>
              </w:rPr>
              <w:t>根据建设单位提供的2024年第一季度～第四季度的自行监测数据，其监测结果见下表。</w:t>
            </w:r>
          </w:p>
          <w:p w14:paraId="26498411">
            <w:pPr>
              <w:pStyle w:val="102"/>
              <w:ind w:firstLine="42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表2-13    噪声检测结果一览表   单位：dB(A)</w:t>
            </w:r>
          </w:p>
          <w:tbl>
            <w:tblPr>
              <w:tblStyle w:val="35"/>
              <w:tblW w:w="4998"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7"/>
              <w:gridCol w:w="1132"/>
              <w:gridCol w:w="1122"/>
              <w:gridCol w:w="1223"/>
              <w:gridCol w:w="1506"/>
              <w:gridCol w:w="1151"/>
              <w:gridCol w:w="749"/>
              <w:gridCol w:w="692"/>
            </w:tblGrid>
            <w:tr w14:paraId="5B1C1DC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pct"/>
                  <w:vMerge w:val="restart"/>
                  <w:tcBorders>
                    <w:tl2br w:val="nil"/>
                    <w:tr2bl w:val="nil"/>
                  </w:tcBorders>
                  <w:vAlign w:val="center"/>
                </w:tcPr>
                <w:p w14:paraId="6D5C55F7">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监测点位</w:t>
                  </w:r>
                </w:p>
              </w:tc>
              <w:tc>
                <w:tcPr>
                  <w:tcW w:w="683" w:type="pct"/>
                  <w:vMerge w:val="restart"/>
                  <w:tcBorders>
                    <w:tl2br w:val="nil"/>
                    <w:tr2bl w:val="nil"/>
                  </w:tcBorders>
                  <w:vAlign w:val="center"/>
                </w:tcPr>
                <w:p w14:paraId="0A5AE41D">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时段</w:t>
                  </w:r>
                </w:p>
              </w:tc>
              <w:tc>
                <w:tcPr>
                  <w:tcW w:w="3019" w:type="pct"/>
                  <w:gridSpan w:val="4"/>
                  <w:tcBorders>
                    <w:tl2br w:val="nil"/>
                    <w:tr2bl w:val="nil"/>
                  </w:tcBorders>
                  <w:vAlign w:val="center"/>
                </w:tcPr>
                <w:p w14:paraId="5BEDD7EB">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噪声值dB(A)</w:t>
                  </w:r>
                </w:p>
              </w:tc>
              <w:tc>
                <w:tcPr>
                  <w:tcW w:w="452" w:type="pct"/>
                  <w:vMerge w:val="restart"/>
                  <w:tcBorders>
                    <w:tl2br w:val="nil"/>
                    <w:tr2bl w:val="nil"/>
                  </w:tcBorders>
                  <w:vAlign w:val="center"/>
                </w:tcPr>
                <w:p w14:paraId="4E8132BA">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标准</w:t>
                  </w:r>
                </w:p>
              </w:tc>
              <w:tc>
                <w:tcPr>
                  <w:tcW w:w="418" w:type="pct"/>
                  <w:vMerge w:val="restart"/>
                  <w:tcBorders>
                    <w:tl2br w:val="nil"/>
                    <w:tr2bl w:val="nil"/>
                  </w:tcBorders>
                  <w:vAlign w:val="center"/>
                </w:tcPr>
                <w:p w14:paraId="4D83FA0A">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达标情况</w:t>
                  </w:r>
                </w:p>
              </w:tc>
            </w:tr>
            <w:tr w14:paraId="2C861BB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pct"/>
                  <w:vMerge w:val="continue"/>
                  <w:tcBorders>
                    <w:tl2br w:val="nil"/>
                    <w:tr2bl w:val="nil"/>
                  </w:tcBorders>
                  <w:vAlign w:val="center"/>
                </w:tcPr>
                <w:p w14:paraId="60AE8A4B">
                  <w:pPr>
                    <w:autoSpaceDN w:val="0"/>
                    <w:jc w:val="center"/>
                    <w:textAlignment w:val="center"/>
                    <w:rPr>
                      <w:rFonts w:hint="default" w:ascii="Times New Roman" w:hAnsi="Times New Roman" w:cs="Times New Roman"/>
                      <w:color w:val="auto"/>
                      <w:sz w:val="18"/>
                      <w:szCs w:val="18"/>
                    </w:rPr>
                  </w:pPr>
                </w:p>
              </w:tc>
              <w:tc>
                <w:tcPr>
                  <w:tcW w:w="683" w:type="pct"/>
                  <w:vMerge w:val="continue"/>
                  <w:tcBorders>
                    <w:tl2br w:val="nil"/>
                    <w:tr2bl w:val="nil"/>
                  </w:tcBorders>
                  <w:vAlign w:val="center"/>
                </w:tcPr>
                <w:p w14:paraId="22FC51E3">
                  <w:pPr>
                    <w:autoSpaceDN w:val="0"/>
                    <w:jc w:val="center"/>
                    <w:textAlignment w:val="center"/>
                    <w:rPr>
                      <w:rFonts w:hint="default" w:ascii="Times New Roman" w:hAnsi="Times New Roman" w:cs="Times New Roman"/>
                      <w:color w:val="auto"/>
                      <w:sz w:val="18"/>
                      <w:szCs w:val="18"/>
                    </w:rPr>
                  </w:pPr>
                </w:p>
              </w:tc>
              <w:tc>
                <w:tcPr>
                  <w:tcW w:w="677" w:type="pct"/>
                  <w:tcBorders>
                    <w:tl2br w:val="nil"/>
                    <w:tr2bl w:val="nil"/>
                  </w:tcBorders>
                  <w:vAlign w:val="center"/>
                </w:tcPr>
                <w:p w14:paraId="44DE47DB">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2024/01/13~14</w:t>
                  </w:r>
                </w:p>
              </w:tc>
              <w:tc>
                <w:tcPr>
                  <w:tcW w:w="738" w:type="pct"/>
                  <w:tcBorders>
                    <w:tl2br w:val="nil"/>
                    <w:tr2bl w:val="nil"/>
                  </w:tcBorders>
                  <w:vAlign w:val="center"/>
                </w:tcPr>
                <w:p w14:paraId="1E7786F6">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2024/06/24</w:t>
                  </w:r>
                </w:p>
              </w:tc>
              <w:tc>
                <w:tcPr>
                  <w:tcW w:w="909" w:type="pct"/>
                  <w:tcBorders>
                    <w:tl2br w:val="nil"/>
                    <w:tr2bl w:val="nil"/>
                  </w:tcBorders>
                  <w:vAlign w:val="center"/>
                </w:tcPr>
                <w:p w14:paraId="6A813C25">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2024/08/16~17</w:t>
                  </w:r>
                </w:p>
              </w:tc>
              <w:tc>
                <w:tcPr>
                  <w:tcW w:w="693" w:type="pct"/>
                  <w:tcBorders>
                    <w:tl2br w:val="nil"/>
                    <w:tr2bl w:val="nil"/>
                  </w:tcBorders>
                  <w:vAlign w:val="center"/>
                </w:tcPr>
                <w:p w14:paraId="7AED3ACB">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2024/10/24</w:t>
                  </w:r>
                </w:p>
              </w:tc>
              <w:tc>
                <w:tcPr>
                  <w:tcW w:w="452" w:type="pct"/>
                  <w:vMerge w:val="continue"/>
                  <w:tcBorders>
                    <w:tl2br w:val="nil"/>
                    <w:tr2bl w:val="nil"/>
                  </w:tcBorders>
                  <w:vAlign w:val="center"/>
                </w:tcPr>
                <w:p w14:paraId="79F57867">
                  <w:pPr>
                    <w:autoSpaceDN w:val="0"/>
                    <w:jc w:val="center"/>
                    <w:textAlignment w:val="center"/>
                    <w:rPr>
                      <w:rFonts w:hint="default" w:ascii="Times New Roman" w:hAnsi="Times New Roman" w:cs="Times New Roman"/>
                      <w:color w:val="auto"/>
                      <w:sz w:val="18"/>
                      <w:szCs w:val="18"/>
                    </w:rPr>
                  </w:pPr>
                </w:p>
              </w:tc>
              <w:tc>
                <w:tcPr>
                  <w:tcW w:w="418" w:type="pct"/>
                  <w:vMerge w:val="continue"/>
                  <w:tcBorders>
                    <w:tl2br w:val="nil"/>
                    <w:tr2bl w:val="nil"/>
                  </w:tcBorders>
                  <w:vAlign w:val="center"/>
                </w:tcPr>
                <w:p w14:paraId="5918EE98">
                  <w:pPr>
                    <w:autoSpaceDN w:val="0"/>
                    <w:jc w:val="center"/>
                    <w:textAlignment w:val="center"/>
                    <w:rPr>
                      <w:rFonts w:hint="default" w:ascii="Times New Roman" w:hAnsi="Times New Roman" w:cs="Times New Roman"/>
                      <w:color w:val="auto"/>
                      <w:sz w:val="18"/>
                      <w:szCs w:val="18"/>
                    </w:rPr>
                  </w:pPr>
                </w:p>
              </w:tc>
            </w:tr>
            <w:tr w14:paraId="6FD661A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pct"/>
                  <w:vMerge w:val="restart"/>
                  <w:tcBorders>
                    <w:tl2br w:val="nil"/>
                    <w:tr2bl w:val="nil"/>
                  </w:tcBorders>
                  <w:vAlign w:val="center"/>
                </w:tcPr>
                <w:p w14:paraId="2FE1A41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厂区东</w:t>
                  </w:r>
                </w:p>
              </w:tc>
              <w:tc>
                <w:tcPr>
                  <w:tcW w:w="683" w:type="pct"/>
                  <w:tcBorders>
                    <w:tl2br w:val="nil"/>
                    <w:tr2bl w:val="nil"/>
                  </w:tcBorders>
                  <w:vAlign w:val="center"/>
                </w:tcPr>
                <w:p w14:paraId="7E615FDE">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 间</w:t>
                  </w:r>
                </w:p>
              </w:tc>
              <w:tc>
                <w:tcPr>
                  <w:tcW w:w="677" w:type="pct"/>
                  <w:tcBorders>
                    <w:tl2br w:val="nil"/>
                    <w:tr2bl w:val="nil"/>
                  </w:tcBorders>
                  <w:vAlign w:val="center"/>
                </w:tcPr>
                <w:p w14:paraId="78A7D376">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54</w:t>
                  </w:r>
                </w:p>
              </w:tc>
              <w:tc>
                <w:tcPr>
                  <w:tcW w:w="738" w:type="pct"/>
                  <w:tcBorders>
                    <w:tl2br w:val="nil"/>
                    <w:tr2bl w:val="nil"/>
                  </w:tcBorders>
                  <w:vAlign w:val="center"/>
                </w:tcPr>
                <w:p w14:paraId="596853F8">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54</w:t>
                  </w:r>
                </w:p>
              </w:tc>
              <w:tc>
                <w:tcPr>
                  <w:tcW w:w="909" w:type="pct"/>
                  <w:tcBorders>
                    <w:tl2br w:val="nil"/>
                    <w:tr2bl w:val="nil"/>
                  </w:tcBorders>
                  <w:vAlign w:val="center"/>
                </w:tcPr>
                <w:p w14:paraId="126A45E9">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w:t>
                  </w:r>
                </w:p>
              </w:tc>
              <w:tc>
                <w:tcPr>
                  <w:tcW w:w="693" w:type="pct"/>
                  <w:tcBorders>
                    <w:tl2br w:val="nil"/>
                    <w:tr2bl w:val="nil"/>
                  </w:tcBorders>
                  <w:vAlign w:val="center"/>
                </w:tcPr>
                <w:p w14:paraId="1208B5F1">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452" w:type="pct"/>
                  <w:tcBorders>
                    <w:tl2br w:val="nil"/>
                    <w:tr2bl w:val="nil"/>
                  </w:tcBorders>
                  <w:vAlign w:val="center"/>
                </w:tcPr>
                <w:p w14:paraId="73389E29">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w:t>
                  </w:r>
                </w:p>
              </w:tc>
              <w:tc>
                <w:tcPr>
                  <w:tcW w:w="418" w:type="pct"/>
                  <w:tcBorders>
                    <w:tl2br w:val="nil"/>
                    <w:tr2bl w:val="nil"/>
                  </w:tcBorders>
                  <w:vAlign w:val="center"/>
                </w:tcPr>
                <w:p w14:paraId="5E189343">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043229F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pct"/>
                  <w:vMerge w:val="continue"/>
                  <w:tcBorders>
                    <w:tl2br w:val="nil"/>
                    <w:tr2bl w:val="nil"/>
                  </w:tcBorders>
                  <w:vAlign w:val="center"/>
                </w:tcPr>
                <w:p w14:paraId="0E6D4E97">
                  <w:pPr>
                    <w:jc w:val="center"/>
                    <w:rPr>
                      <w:rFonts w:hint="default" w:ascii="Times New Roman" w:hAnsi="Times New Roman" w:cs="Times New Roman"/>
                      <w:color w:val="auto"/>
                      <w:sz w:val="18"/>
                      <w:szCs w:val="18"/>
                    </w:rPr>
                  </w:pPr>
                </w:p>
              </w:tc>
              <w:tc>
                <w:tcPr>
                  <w:tcW w:w="683" w:type="pct"/>
                  <w:tcBorders>
                    <w:tl2br w:val="nil"/>
                    <w:tr2bl w:val="nil"/>
                  </w:tcBorders>
                  <w:vAlign w:val="center"/>
                </w:tcPr>
                <w:p w14:paraId="126CA158">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夜 间</w:t>
                  </w:r>
                </w:p>
              </w:tc>
              <w:tc>
                <w:tcPr>
                  <w:tcW w:w="677" w:type="pct"/>
                  <w:tcBorders>
                    <w:tl2br w:val="nil"/>
                    <w:tr2bl w:val="nil"/>
                  </w:tcBorders>
                  <w:vAlign w:val="center"/>
                </w:tcPr>
                <w:p w14:paraId="6C766011">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45</w:t>
                  </w:r>
                </w:p>
              </w:tc>
              <w:tc>
                <w:tcPr>
                  <w:tcW w:w="738" w:type="pct"/>
                  <w:tcBorders>
                    <w:tl2br w:val="nil"/>
                    <w:tr2bl w:val="nil"/>
                  </w:tcBorders>
                  <w:vAlign w:val="center"/>
                </w:tcPr>
                <w:p w14:paraId="145067BC">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w:t>
                  </w:r>
                </w:p>
              </w:tc>
              <w:tc>
                <w:tcPr>
                  <w:tcW w:w="909" w:type="pct"/>
                  <w:tcBorders>
                    <w:tl2br w:val="nil"/>
                    <w:tr2bl w:val="nil"/>
                  </w:tcBorders>
                  <w:vAlign w:val="center"/>
                </w:tcPr>
                <w:p w14:paraId="6BA85F00">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w:t>
                  </w:r>
                </w:p>
              </w:tc>
              <w:tc>
                <w:tcPr>
                  <w:tcW w:w="693" w:type="pct"/>
                  <w:tcBorders>
                    <w:tl2br w:val="nil"/>
                    <w:tr2bl w:val="nil"/>
                  </w:tcBorders>
                  <w:vAlign w:val="center"/>
                </w:tcPr>
                <w:p w14:paraId="35517CAF">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51</w:t>
                  </w:r>
                </w:p>
              </w:tc>
              <w:tc>
                <w:tcPr>
                  <w:tcW w:w="452" w:type="pct"/>
                  <w:tcBorders>
                    <w:tl2br w:val="nil"/>
                    <w:tr2bl w:val="nil"/>
                  </w:tcBorders>
                  <w:vAlign w:val="center"/>
                </w:tcPr>
                <w:p w14:paraId="12291ED1">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55</w:t>
                  </w:r>
                </w:p>
              </w:tc>
              <w:tc>
                <w:tcPr>
                  <w:tcW w:w="418" w:type="pct"/>
                  <w:tcBorders>
                    <w:tl2br w:val="nil"/>
                    <w:tr2bl w:val="nil"/>
                  </w:tcBorders>
                  <w:vAlign w:val="center"/>
                </w:tcPr>
                <w:p w14:paraId="4E8FF837">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4792112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pct"/>
                  <w:vMerge w:val="restart"/>
                  <w:tcBorders>
                    <w:tl2br w:val="nil"/>
                    <w:tr2bl w:val="nil"/>
                  </w:tcBorders>
                  <w:vAlign w:val="center"/>
                </w:tcPr>
                <w:p w14:paraId="1381270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厂区南</w:t>
                  </w:r>
                </w:p>
              </w:tc>
              <w:tc>
                <w:tcPr>
                  <w:tcW w:w="683" w:type="pct"/>
                  <w:tcBorders>
                    <w:tl2br w:val="nil"/>
                    <w:tr2bl w:val="nil"/>
                  </w:tcBorders>
                  <w:vAlign w:val="center"/>
                </w:tcPr>
                <w:p w14:paraId="5CC3DF49">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 间</w:t>
                  </w:r>
                </w:p>
              </w:tc>
              <w:tc>
                <w:tcPr>
                  <w:tcW w:w="677" w:type="pct"/>
                  <w:tcBorders>
                    <w:tl2br w:val="nil"/>
                    <w:tr2bl w:val="nil"/>
                  </w:tcBorders>
                  <w:vAlign w:val="center"/>
                </w:tcPr>
                <w:p w14:paraId="6159CAE2">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55</w:t>
                  </w:r>
                </w:p>
              </w:tc>
              <w:tc>
                <w:tcPr>
                  <w:tcW w:w="738" w:type="pct"/>
                  <w:tcBorders>
                    <w:tl2br w:val="nil"/>
                    <w:tr2bl w:val="nil"/>
                  </w:tcBorders>
                  <w:vAlign w:val="center"/>
                </w:tcPr>
                <w:p w14:paraId="4CC9385C">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57</w:t>
                  </w:r>
                </w:p>
              </w:tc>
              <w:tc>
                <w:tcPr>
                  <w:tcW w:w="909" w:type="pct"/>
                  <w:tcBorders>
                    <w:tl2br w:val="nil"/>
                    <w:tr2bl w:val="nil"/>
                  </w:tcBorders>
                  <w:vAlign w:val="center"/>
                </w:tcPr>
                <w:p w14:paraId="5E840FB7">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52</w:t>
                  </w:r>
                </w:p>
              </w:tc>
              <w:tc>
                <w:tcPr>
                  <w:tcW w:w="693" w:type="pct"/>
                  <w:tcBorders>
                    <w:tl2br w:val="nil"/>
                    <w:tr2bl w:val="nil"/>
                  </w:tcBorders>
                  <w:vAlign w:val="center"/>
                </w:tcPr>
                <w:p w14:paraId="0B5BC7B6">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59</w:t>
                  </w:r>
                </w:p>
              </w:tc>
              <w:tc>
                <w:tcPr>
                  <w:tcW w:w="452" w:type="pct"/>
                  <w:tcBorders>
                    <w:tl2br w:val="nil"/>
                    <w:tr2bl w:val="nil"/>
                  </w:tcBorders>
                  <w:vAlign w:val="center"/>
                </w:tcPr>
                <w:p w14:paraId="5B0937A1">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w:t>
                  </w:r>
                </w:p>
              </w:tc>
              <w:tc>
                <w:tcPr>
                  <w:tcW w:w="418" w:type="pct"/>
                  <w:tcBorders>
                    <w:tl2br w:val="nil"/>
                    <w:tr2bl w:val="nil"/>
                  </w:tcBorders>
                  <w:vAlign w:val="center"/>
                </w:tcPr>
                <w:p w14:paraId="0BA80344">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4394516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pct"/>
                  <w:vMerge w:val="continue"/>
                  <w:tcBorders>
                    <w:tl2br w:val="nil"/>
                    <w:tr2bl w:val="nil"/>
                  </w:tcBorders>
                  <w:vAlign w:val="center"/>
                </w:tcPr>
                <w:p w14:paraId="49A81F7D">
                  <w:pPr>
                    <w:jc w:val="center"/>
                    <w:rPr>
                      <w:rFonts w:hint="default" w:ascii="Times New Roman" w:hAnsi="Times New Roman" w:cs="Times New Roman"/>
                      <w:color w:val="auto"/>
                      <w:sz w:val="18"/>
                      <w:szCs w:val="18"/>
                    </w:rPr>
                  </w:pPr>
                </w:p>
              </w:tc>
              <w:tc>
                <w:tcPr>
                  <w:tcW w:w="683" w:type="pct"/>
                  <w:tcBorders>
                    <w:tl2br w:val="nil"/>
                    <w:tr2bl w:val="nil"/>
                  </w:tcBorders>
                  <w:vAlign w:val="center"/>
                </w:tcPr>
                <w:p w14:paraId="51CCEBF4">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夜 间</w:t>
                  </w:r>
                </w:p>
              </w:tc>
              <w:tc>
                <w:tcPr>
                  <w:tcW w:w="677" w:type="pct"/>
                  <w:tcBorders>
                    <w:tl2br w:val="nil"/>
                    <w:tr2bl w:val="nil"/>
                  </w:tcBorders>
                  <w:vAlign w:val="center"/>
                </w:tcPr>
                <w:p w14:paraId="3D84DEE9">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46</w:t>
                  </w:r>
                </w:p>
              </w:tc>
              <w:tc>
                <w:tcPr>
                  <w:tcW w:w="738" w:type="pct"/>
                  <w:tcBorders>
                    <w:tl2br w:val="nil"/>
                    <w:tr2bl w:val="nil"/>
                  </w:tcBorders>
                  <w:vAlign w:val="center"/>
                </w:tcPr>
                <w:p w14:paraId="2D68605F">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54</w:t>
                  </w:r>
                </w:p>
              </w:tc>
              <w:tc>
                <w:tcPr>
                  <w:tcW w:w="909" w:type="pct"/>
                  <w:tcBorders>
                    <w:tl2br w:val="nil"/>
                    <w:tr2bl w:val="nil"/>
                  </w:tcBorders>
                  <w:vAlign w:val="center"/>
                </w:tcPr>
                <w:p w14:paraId="1845DA2E">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52</w:t>
                  </w:r>
                </w:p>
              </w:tc>
              <w:tc>
                <w:tcPr>
                  <w:tcW w:w="693" w:type="pct"/>
                  <w:tcBorders>
                    <w:tl2br w:val="nil"/>
                    <w:tr2bl w:val="nil"/>
                  </w:tcBorders>
                  <w:vAlign w:val="center"/>
                </w:tcPr>
                <w:p w14:paraId="4ACFDCFE">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w:t>
                  </w:r>
                </w:p>
              </w:tc>
              <w:tc>
                <w:tcPr>
                  <w:tcW w:w="452" w:type="pct"/>
                  <w:tcBorders>
                    <w:tl2br w:val="nil"/>
                    <w:tr2bl w:val="nil"/>
                  </w:tcBorders>
                  <w:vAlign w:val="center"/>
                </w:tcPr>
                <w:p w14:paraId="235DE4A7">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55</w:t>
                  </w:r>
                </w:p>
              </w:tc>
              <w:tc>
                <w:tcPr>
                  <w:tcW w:w="418" w:type="pct"/>
                  <w:tcBorders>
                    <w:tl2br w:val="nil"/>
                    <w:tr2bl w:val="nil"/>
                  </w:tcBorders>
                  <w:vAlign w:val="center"/>
                </w:tcPr>
                <w:p w14:paraId="64198F1E">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0A37DC8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pct"/>
                  <w:vMerge w:val="restart"/>
                  <w:tcBorders>
                    <w:tl2br w:val="nil"/>
                    <w:tr2bl w:val="nil"/>
                  </w:tcBorders>
                  <w:vAlign w:val="center"/>
                </w:tcPr>
                <w:p w14:paraId="2C04D98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厂区西</w:t>
                  </w:r>
                </w:p>
              </w:tc>
              <w:tc>
                <w:tcPr>
                  <w:tcW w:w="683" w:type="pct"/>
                  <w:tcBorders>
                    <w:tl2br w:val="nil"/>
                    <w:tr2bl w:val="nil"/>
                  </w:tcBorders>
                  <w:vAlign w:val="center"/>
                </w:tcPr>
                <w:p w14:paraId="5118FCF5">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 间</w:t>
                  </w:r>
                </w:p>
              </w:tc>
              <w:tc>
                <w:tcPr>
                  <w:tcW w:w="677" w:type="pct"/>
                  <w:tcBorders>
                    <w:tl2br w:val="nil"/>
                    <w:tr2bl w:val="nil"/>
                  </w:tcBorders>
                  <w:vAlign w:val="center"/>
                </w:tcPr>
                <w:p w14:paraId="46AD2DB4">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57</w:t>
                  </w:r>
                </w:p>
              </w:tc>
              <w:tc>
                <w:tcPr>
                  <w:tcW w:w="738" w:type="pct"/>
                  <w:tcBorders>
                    <w:tl2br w:val="nil"/>
                    <w:tr2bl w:val="nil"/>
                  </w:tcBorders>
                  <w:vAlign w:val="center"/>
                </w:tcPr>
                <w:p w14:paraId="7CBF1F0A">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57</w:t>
                  </w:r>
                </w:p>
              </w:tc>
              <w:tc>
                <w:tcPr>
                  <w:tcW w:w="909" w:type="pct"/>
                  <w:tcBorders>
                    <w:tl2br w:val="nil"/>
                    <w:tr2bl w:val="nil"/>
                  </w:tcBorders>
                  <w:vAlign w:val="center"/>
                </w:tcPr>
                <w:p w14:paraId="4B16BBDE">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54</w:t>
                  </w:r>
                </w:p>
              </w:tc>
              <w:tc>
                <w:tcPr>
                  <w:tcW w:w="693" w:type="pct"/>
                  <w:tcBorders>
                    <w:tl2br w:val="nil"/>
                    <w:tr2bl w:val="nil"/>
                  </w:tcBorders>
                  <w:vAlign w:val="center"/>
                </w:tcPr>
                <w:p w14:paraId="42320997">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452" w:type="pct"/>
                  <w:tcBorders>
                    <w:tl2br w:val="nil"/>
                    <w:tr2bl w:val="nil"/>
                  </w:tcBorders>
                  <w:vAlign w:val="center"/>
                </w:tcPr>
                <w:p w14:paraId="14A6CCCF">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w:t>
                  </w:r>
                </w:p>
              </w:tc>
              <w:tc>
                <w:tcPr>
                  <w:tcW w:w="418" w:type="pct"/>
                  <w:tcBorders>
                    <w:tl2br w:val="nil"/>
                    <w:tr2bl w:val="nil"/>
                  </w:tcBorders>
                  <w:vAlign w:val="center"/>
                </w:tcPr>
                <w:p w14:paraId="5E0BEAB4">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2110D48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pct"/>
                  <w:vMerge w:val="continue"/>
                  <w:tcBorders>
                    <w:tl2br w:val="nil"/>
                    <w:tr2bl w:val="nil"/>
                  </w:tcBorders>
                  <w:vAlign w:val="center"/>
                </w:tcPr>
                <w:p w14:paraId="1C12DD90">
                  <w:pPr>
                    <w:jc w:val="center"/>
                    <w:rPr>
                      <w:rFonts w:hint="default" w:ascii="Times New Roman" w:hAnsi="Times New Roman" w:cs="Times New Roman"/>
                      <w:color w:val="auto"/>
                      <w:sz w:val="18"/>
                      <w:szCs w:val="18"/>
                    </w:rPr>
                  </w:pPr>
                </w:p>
              </w:tc>
              <w:tc>
                <w:tcPr>
                  <w:tcW w:w="683" w:type="pct"/>
                  <w:tcBorders>
                    <w:tl2br w:val="nil"/>
                    <w:tr2bl w:val="nil"/>
                  </w:tcBorders>
                  <w:vAlign w:val="center"/>
                </w:tcPr>
                <w:p w14:paraId="1ACAA698">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夜 间</w:t>
                  </w:r>
                </w:p>
              </w:tc>
              <w:tc>
                <w:tcPr>
                  <w:tcW w:w="677" w:type="pct"/>
                  <w:tcBorders>
                    <w:tl2br w:val="nil"/>
                    <w:tr2bl w:val="nil"/>
                  </w:tcBorders>
                  <w:vAlign w:val="center"/>
                </w:tcPr>
                <w:p w14:paraId="6B65E16B">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w:t>
                  </w:r>
                </w:p>
              </w:tc>
              <w:tc>
                <w:tcPr>
                  <w:tcW w:w="738" w:type="pct"/>
                  <w:tcBorders>
                    <w:tl2br w:val="nil"/>
                    <w:tr2bl w:val="nil"/>
                  </w:tcBorders>
                  <w:vAlign w:val="center"/>
                </w:tcPr>
                <w:p w14:paraId="3E85BBA9">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52</w:t>
                  </w:r>
                </w:p>
              </w:tc>
              <w:tc>
                <w:tcPr>
                  <w:tcW w:w="909" w:type="pct"/>
                  <w:tcBorders>
                    <w:tl2br w:val="nil"/>
                    <w:tr2bl w:val="nil"/>
                  </w:tcBorders>
                  <w:vAlign w:val="center"/>
                </w:tcPr>
                <w:p w14:paraId="2B7D0A8D">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51</w:t>
                  </w:r>
                </w:p>
              </w:tc>
              <w:tc>
                <w:tcPr>
                  <w:tcW w:w="693" w:type="pct"/>
                  <w:tcBorders>
                    <w:tl2br w:val="nil"/>
                    <w:tr2bl w:val="nil"/>
                  </w:tcBorders>
                  <w:vAlign w:val="center"/>
                </w:tcPr>
                <w:p w14:paraId="770A99FD">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51</w:t>
                  </w:r>
                </w:p>
              </w:tc>
              <w:tc>
                <w:tcPr>
                  <w:tcW w:w="452" w:type="pct"/>
                  <w:tcBorders>
                    <w:tl2br w:val="nil"/>
                    <w:tr2bl w:val="nil"/>
                  </w:tcBorders>
                  <w:vAlign w:val="center"/>
                </w:tcPr>
                <w:p w14:paraId="6CC265C9">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55</w:t>
                  </w:r>
                </w:p>
              </w:tc>
              <w:tc>
                <w:tcPr>
                  <w:tcW w:w="418" w:type="pct"/>
                  <w:tcBorders>
                    <w:tl2br w:val="nil"/>
                    <w:tr2bl w:val="nil"/>
                  </w:tcBorders>
                  <w:vAlign w:val="center"/>
                </w:tcPr>
                <w:p w14:paraId="78C7B8FE">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3620B79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pct"/>
                  <w:vMerge w:val="restart"/>
                  <w:tcBorders>
                    <w:tl2br w:val="nil"/>
                    <w:tr2bl w:val="nil"/>
                  </w:tcBorders>
                  <w:vAlign w:val="center"/>
                </w:tcPr>
                <w:p w14:paraId="1DB6C47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厂区北</w:t>
                  </w:r>
                </w:p>
              </w:tc>
              <w:tc>
                <w:tcPr>
                  <w:tcW w:w="683" w:type="pct"/>
                  <w:tcBorders>
                    <w:tl2br w:val="nil"/>
                    <w:tr2bl w:val="nil"/>
                  </w:tcBorders>
                  <w:vAlign w:val="center"/>
                </w:tcPr>
                <w:p w14:paraId="079BFF9F">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 间</w:t>
                  </w:r>
                </w:p>
              </w:tc>
              <w:tc>
                <w:tcPr>
                  <w:tcW w:w="677" w:type="pct"/>
                  <w:tcBorders>
                    <w:tl2br w:val="nil"/>
                    <w:tr2bl w:val="nil"/>
                  </w:tcBorders>
                  <w:vAlign w:val="center"/>
                </w:tcPr>
                <w:p w14:paraId="06AA29F1">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58</w:t>
                  </w:r>
                </w:p>
              </w:tc>
              <w:tc>
                <w:tcPr>
                  <w:tcW w:w="738" w:type="pct"/>
                  <w:tcBorders>
                    <w:tl2br w:val="nil"/>
                    <w:tr2bl w:val="nil"/>
                  </w:tcBorders>
                  <w:vAlign w:val="center"/>
                </w:tcPr>
                <w:p w14:paraId="4917B859">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909" w:type="pct"/>
                  <w:tcBorders>
                    <w:tl2br w:val="nil"/>
                    <w:tr2bl w:val="nil"/>
                  </w:tcBorders>
                  <w:vAlign w:val="center"/>
                </w:tcPr>
                <w:p w14:paraId="2E081835">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55</w:t>
                  </w:r>
                </w:p>
              </w:tc>
              <w:tc>
                <w:tcPr>
                  <w:tcW w:w="693" w:type="pct"/>
                  <w:tcBorders>
                    <w:tl2br w:val="nil"/>
                    <w:tr2bl w:val="nil"/>
                  </w:tcBorders>
                  <w:vAlign w:val="center"/>
                </w:tcPr>
                <w:p w14:paraId="079575FC">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64</w:t>
                  </w:r>
                </w:p>
              </w:tc>
              <w:tc>
                <w:tcPr>
                  <w:tcW w:w="452" w:type="pct"/>
                  <w:tcBorders>
                    <w:tl2br w:val="nil"/>
                    <w:tr2bl w:val="nil"/>
                  </w:tcBorders>
                  <w:vAlign w:val="center"/>
                </w:tcPr>
                <w:p w14:paraId="0BDBF807">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w:t>
                  </w:r>
                </w:p>
              </w:tc>
              <w:tc>
                <w:tcPr>
                  <w:tcW w:w="418" w:type="pct"/>
                  <w:tcBorders>
                    <w:tl2br w:val="nil"/>
                    <w:tr2bl w:val="nil"/>
                  </w:tcBorders>
                  <w:vAlign w:val="center"/>
                </w:tcPr>
                <w:p w14:paraId="10C6CFDB">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28FD757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pct"/>
                  <w:vMerge w:val="continue"/>
                  <w:tcBorders>
                    <w:tl2br w:val="nil"/>
                    <w:tr2bl w:val="nil"/>
                  </w:tcBorders>
                  <w:vAlign w:val="center"/>
                </w:tcPr>
                <w:p w14:paraId="202FC3B8">
                  <w:pPr>
                    <w:jc w:val="center"/>
                    <w:rPr>
                      <w:rFonts w:hint="default" w:ascii="Times New Roman" w:hAnsi="Times New Roman" w:cs="Times New Roman"/>
                      <w:color w:val="auto"/>
                      <w:sz w:val="18"/>
                      <w:szCs w:val="18"/>
                    </w:rPr>
                  </w:pPr>
                </w:p>
              </w:tc>
              <w:tc>
                <w:tcPr>
                  <w:tcW w:w="683" w:type="pct"/>
                  <w:tcBorders>
                    <w:tl2br w:val="nil"/>
                    <w:tr2bl w:val="nil"/>
                  </w:tcBorders>
                  <w:vAlign w:val="center"/>
                </w:tcPr>
                <w:p w14:paraId="63743598">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夜 间</w:t>
                  </w:r>
                </w:p>
              </w:tc>
              <w:tc>
                <w:tcPr>
                  <w:tcW w:w="677" w:type="pct"/>
                  <w:tcBorders>
                    <w:tl2br w:val="nil"/>
                    <w:tr2bl w:val="nil"/>
                  </w:tcBorders>
                  <w:vAlign w:val="center"/>
                </w:tcPr>
                <w:p w14:paraId="7C38FA8E">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49</w:t>
                  </w:r>
                </w:p>
              </w:tc>
              <w:tc>
                <w:tcPr>
                  <w:tcW w:w="738" w:type="pct"/>
                  <w:tcBorders>
                    <w:tl2br w:val="nil"/>
                    <w:tr2bl w:val="nil"/>
                  </w:tcBorders>
                  <w:vAlign w:val="center"/>
                </w:tcPr>
                <w:p w14:paraId="30F120D5">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54</w:t>
                  </w:r>
                </w:p>
              </w:tc>
              <w:tc>
                <w:tcPr>
                  <w:tcW w:w="909" w:type="pct"/>
                  <w:tcBorders>
                    <w:tl2br w:val="nil"/>
                    <w:tr2bl w:val="nil"/>
                  </w:tcBorders>
                  <w:vAlign w:val="center"/>
                </w:tcPr>
                <w:p w14:paraId="2D855FF9">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54</w:t>
                  </w:r>
                </w:p>
              </w:tc>
              <w:tc>
                <w:tcPr>
                  <w:tcW w:w="693" w:type="pct"/>
                  <w:tcBorders>
                    <w:tl2br w:val="nil"/>
                    <w:tr2bl w:val="nil"/>
                  </w:tcBorders>
                  <w:vAlign w:val="center"/>
                </w:tcPr>
                <w:p w14:paraId="70BFB011">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54</w:t>
                  </w:r>
                </w:p>
              </w:tc>
              <w:tc>
                <w:tcPr>
                  <w:tcW w:w="452" w:type="pct"/>
                  <w:tcBorders>
                    <w:tl2br w:val="nil"/>
                    <w:tr2bl w:val="nil"/>
                  </w:tcBorders>
                  <w:vAlign w:val="center"/>
                </w:tcPr>
                <w:p w14:paraId="04D26980">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55</w:t>
                  </w:r>
                </w:p>
              </w:tc>
              <w:tc>
                <w:tcPr>
                  <w:tcW w:w="418" w:type="pct"/>
                  <w:tcBorders>
                    <w:tl2br w:val="nil"/>
                    <w:tr2bl w:val="nil"/>
                  </w:tcBorders>
                  <w:vAlign w:val="center"/>
                </w:tcPr>
                <w:p w14:paraId="17260794">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bl>
          <w:p w14:paraId="1E8FE84A">
            <w:pPr>
              <w:pStyle w:val="18"/>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根据上表可以看出，2024年各季度厂界西、南、西均可满足《工业企业厂界环境噪声排放标准》（GB12348-2008）3类标准限值要求，厂界北面紧邻高速公路，厂界北噪声满足4类标准限值要求，厂界噪声达标。</w:t>
            </w:r>
          </w:p>
          <w:p w14:paraId="11CF301C">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1.8.4固废</w:t>
            </w:r>
          </w:p>
          <w:p w14:paraId="547551C0">
            <w:pPr>
              <w:pStyle w:val="4"/>
              <w:adjustRightInd/>
              <w:spacing w:line="360" w:lineRule="auto"/>
              <w:rPr>
                <w:rFonts w:hint="default" w:ascii="Times New Roman" w:hAnsi="Times New Roman" w:cs="Times New Roman"/>
                <w:color w:val="auto"/>
                <w:sz w:val="24"/>
              </w:rPr>
            </w:pPr>
            <w:bookmarkStart w:id="47" w:name="OLE_LINK138"/>
            <w:r>
              <w:rPr>
                <w:rFonts w:hint="default" w:ascii="Times New Roman" w:hAnsi="Times New Roman" w:cs="Times New Roman"/>
                <w:color w:val="auto"/>
                <w:sz w:val="24"/>
              </w:rPr>
              <w:t>现有型钢生产线产生固废主要为氧化铁皮、剪切及边角料及生活垃圾。</w:t>
            </w:r>
          </w:p>
          <w:p w14:paraId="33CE19B4">
            <w:pPr>
              <w:pStyle w:val="4"/>
              <w:adjustRightInd/>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（1）生产固废</w:t>
            </w:r>
          </w:p>
          <w:p w14:paraId="04BCD7E6">
            <w:pPr>
              <w:pStyle w:val="4"/>
              <w:adjustRightInd/>
              <w:spacing w:line="360" w:lineRule="auto"/>
              <w:rPr>
                <w:rFonts w:hint="default" w:ascii="Times New Roman" w:hAnsi="Times New Roman" w:cs="Times New Roman"/>
                <w:color w:val="auto"/>
                <w:sz w:val="24"/>
              </w:rPr>
            </w:pPr>
            <w:bookmarkStart w:id="48" w:name="OLE_LINK141"/>
            <w:r>
              <w:rPr>
                <w:rFonts w:hint="default" w:ascii="Times New Roman" w:hAnsi="Times New Roman" w:cs="Times New Roman"/>
                <w:color w:val="auto"/>
                <w:sz w:val="24"/>
              </w:rPr>
              <w:t>①氧化铁皮</w:t>
            </w:r>
          </w:p>
          <w:p w14:paraId="5BB34D4C">
            <w:pPr>
              <w:pStyle w:val="4"/>
              <w:adjustRightInd/>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rPr>
              <w:t>根据建设方提供，现型钢生产线氧化铁皮主要产生在除磷及连铸工程中，产生量为2754.54t/a，产生的氧化铁皮经收集后外售给</w:t>
            </w:r>
            <w:r>
              <w:rPr>
                <w:rFonts w:hint="default" w:ascii="Times New Roman" w:hAnsi="Times New Roman" w:cs="Times New Roman"/>
                <w:color w:val="auto"/>
                <w:sz w:val="24"/>
                <w:szCs w:val="24"/>
              </w:rPr>
              <w:t>成都赛力安实业有限公司。</w:t>
            </w:r>
          </w:p>
          <w:p w14:paraId="08A9460A">
            <w:pPr>
              <w:pStyle w:val="4"/>
              <w:adjustRightInd/>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②剪切及边角料</w:t>
            </w:r>
          </w:p>
          <w:p w14:paraId="60F0908C">
            <w:pPr>
              <w:pStyle w:val="4"/>
              <w:adjustRightInd/>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rPr>
              <w:t>现型钢生产线原料检验过程中会有不合格的钢坯，废钢坯和轧制过程中废边角料产生量为1400t/a，经收集后外</w:t>
            </w:r>
            <w:r>
              <w:rPr>
                <w:rFonts w:hint="default" w:ascii="Times New Roman" w:hAnsi="Times New Roman" w:cs="Times New Roman"/>
                <w:color w:val="auto"/>
                <w:sz w:val="24"/>
                <w:szCs w:val="24"/>
              </w:rPr>
              <w:t>售给通海云石工贸有限公司。</w:t>
            </w:r>
          </w:p>
          <w:bookmarkEnd w:id="48"/>
          <w:p w14:paraId="07E63D6E">
            <w:pPr>
              <w:pStyle w:val="4"/>
              <w:adjustRightInd/>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③废机油</w:t>
            </w:r>
          </w:p>
          <w:p w14:paraId="26CF4E06">
            <w:pPr>
              <w:pStyle w:val="4"/>
              <w:adjustRightInd/>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经建设方提供和现场核实，现有的型钢生产线机修期间产生的废油量约0.08t/a，属危险废物，用专门的储油桶收集，暂存于危险废物贮存库，返回对设备进行润滑使用，在厂区内能自行利用。</w:t>
            </w:r>
          </w:p>
          <w:bookmarkEnd w:id="47"/>
          <w:p w14:paraId="79F1045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（2）生活垃圾</w:t>
            </w:r>
          </w:p>
          <w:p w14:paraId="2E402E03">
            <w:pPr>
              <w:pStyle w:val="4"/>
              <w:adjustRightInd/>
              <w:spacing w:line="360" w:lineRule="auto"/>
              <w:ind w:firstLine="480"/>
              <w:rPr>
                <w:rFonts w:hint="default" w:ascii="Times New Roman" w:hAnsi="Times New Roman" w:cs="Times New Roman"/>
                <w:color w:val="auto"/>
                <w:sz w:val="24"/>
              </w:rPr>
            </w:pPr>
            <w:bookmarkStart w:id="49" w:name="OLE_LINK242"/>
            <w:r>
              <w:rPr>
                <w:rFonts w:hint="default" w:ascii="Times New Roman" w:hAnsi="Times New Roman" w:cs="Times New Roman"/>
                <w:color w:val="auto"/>
                <w:sz w:val="24"/>
              </w:rPr>
              <w:t>经建设方提供，现有厂区内生活垃圾产生量约为55.44t/a，经收集后由当地环卫部门统一处理。</w:t>
            </w:r>
          </w:p>
          <w:p w14:paraId="6F31E9C0">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1.9污染物汇总</w:t>
            </w:r>
          </w:p>
          <w:p w14:paraId="68E16196">
            <w:pPr>
              <w:spacing w:line="360" w:lineRule="auto"/>
              <w:ind w:firstLine="480" w:firstLineChars="200"/>
              <w:outlineLvl w:val="1"/>
              <w:rPr>
                <w:rFonts w:hint="default" w:ascii="Times New Roman" w:hAnsi="Times New Roman" w:cs="Times New Roman"/>
                <w:color w:val="auto"/>
                <w:sz w:val="24"/>
              </w:rPr>
            </w:pPr>
            <w:bookmarkStart w:id="50" w:name="_Toc10966"/>
            <w:r>
              <w:rPr>
                <w:rFonts w:hint="default" w:ascii="Times New Roman" w:hAnsi="Times New Roman" w:cs="Times New Roman"/>
                <w:color w:val="auto"/>
                <w:sz w:val="24"/>
              </w:rPr>
              <w:t>现有工程污染物排放情况汇总如下。</w:t>
            </w:r>
            <w:bookmarkEnd w:id="50"/>
          </w:p>
          <w:p w14:paraId="296994A1">
            <w:pPr>
              <w:pStyle w:val="111"/>
              <w:spacing w:line="360" w:lineRule="auto"/>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表2-14  现有工程污染物排放量变化情况</w:t>
            </w:r>
          </w:p>
          <w:tbl>
            <w:tblPr>
              <w:tblStyle w:val="3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762"/>
              <w:gridCol w:w="1252"/>
              <w:gridCol w:w="3102"/>
              <w:gridCol w:w="1385"/>
            </w:tblGrid>
            <w:tr w14:paraId="61F430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pct"/>
                  <w:tcBorders>
                    <w:tl2br w:val="nil"/>
                    <w:tr2bl w:val="nil"/>
                  </w:tcBorders>
                  <w:vAlign w:val="center"/>
                </w:tcPr>
                <w:p w14:paraId="5277B5DC">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tc>
              <w:tc>
                <w:tcPr>
                  <w:tcW w:w="1063" w:type="pct"/>
                  <w:tcBorders>
                    <w:tl2br w:val="nil"/>
                    <w:tr2bl w:val="nil"/>
                  </w:tcBorders>
                  <w:vAlign w:val="center"/>
                </w:tcPr>
                <w:p w14:paraId="55889CCD">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污染物种类</w:t>
                  </w:r>
                </w:p>
              </w:tc>
              <w:tc>
                <w:tcPr>
                  <w:tcW w:w="756" w:type="pct"/>
                  <w:tcBorders>
                    <w:tl2br w:val="nil"/>
                    <w:tr2bl w:val="nil"/>
                  </w:tcBorders>
                  <w:vAlign w:val="center"/>
                </w:tcPr>
                <w:p w14:paraId="74F4432E">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产生量（t/a）</w:t>
                  </w:r>
                </w:p>
              </w:tc>
              <w:tc>
                <w:tcPr>
                  <w:tcW w:w="1872" w:type="pct"/>
                  <w:tcBorders>
                    <w:tl2br w:val="nil"/>
                    <w:tr2bl w:val="nil"/>
                  </w:tcBorders>
                  <w:vAlign w:val="center"/>
                </w:tcPr>
                <w:p w14:paraId="59C22C54">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处置措施</w:t>
                  </w:r>
                </w:p>
              </w:tc>
              <w:tc>
                <w:tcPr>
                  <w:tcW w:w="836" w:type="pct"/>
                  <w:tcBorders>
                    <w:tl2br w:val="nil"/>
                    <w:tr2bl w:val="nil"/>
                  </w:tcBorders>
                  <w:vAlign w:val="center"/>
                </w:tcPr>
                <w:p w14:paraId="092B6CA8">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排放量（t/a）</w:t>
                  </w:r>
                </w:p>
              </w:tc>
            </w:tr>
            <w:tr w14:paraId="6DB499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pct"/>
                  <w:vMerge w:val="restart"/>
                  <w:tcBorders>
                    <w:tl2br w:val="nil"/>
                    <w:tr2bl w:val="nil"/>
                  </w:tcBorders>
                  <w:vAlign w:val="center"/>
                </w:tcPr>
                <w:p w14:paraId="6FEA76E2">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1063" w:type="pct"/>
                  <w:tcBorders>
                    <w:tl2br w:val="nil"/>
                    <w:tr2bl w:val="nil"/>
                  </w:tcBorders>
                  <w:vAlign w:val="center"/>
                </w:tcPr>
                <w:p w14:paraId="10DFB231">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有组织颗粒物</w:t>
                  </w:r>
                </w:p>
              </w:tc>
              <w:tc>
                <w:tcPr>
                  <w:tcW w:w="756" w:type="pct"/>
                  <w:tcBorders>
                    <w:tl2br w:val="nil"/>
                    <w:tr2bl w:val="nil"/>
                  </w:tcBorders>
                  <w:vAlign w:val="center"/>
                </w:tcPr>
                <w:p w14:paraId="70C3BF77">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0.795</w:t>
                  </w:r>
                </w:p>
              </w:tc>
              <w:tc>
                <w:tcPr>
                  <w:tcW w:w="1872" w:type="pct"/>
                  <w:vMerge w:val="restart"/>
                  <w:tcBorders>
                    <w:tl2br w:val="nil"/>
                    <w:tr2bl w:val="nil"/>
                  </w:tcBorders>
                  <w:vAlign w:val="center"/>
                </w:tcPr>
                <w:p w14:paraId="209524E1">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采用天然气作为燃料，燃烧后直排</w:t>
                  </w:r>
                </w:p>
              </w:tc>
              <w:tc>
                <w:tcPr>
                  <w:tcW w:w="836" w:type="pct"/>
                  <w:tcBorders>
                    <w:tl2br w:val="nil"/>
                    <w:tr2bl w:val="nil"/>
                  </w:tcBorders>
                  <w:vAlign w:val="center"/>
                </w:tcPr>
                <w:p w14:paraId="14B48DE7">
                  <w:pPr>
                    <w:pStyle w:val="4"/>
                    <w:spacing w:line="300" w:lineRule="exact"/>
                    <w:ind w:firstLine="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0.795</w:t>
                  </w:r>
                </w:p>
              </w:tc>
            </w:tr>
            <w:tr w14:paraId="2921D2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pct"/>
                  <w:vMerge w:val="continue"/>
                  <w:tcBorders>
                    <w:tl2br w:val="nil"/>
                    <w:tr2bl w:val="nil"/>
                  </w:tcBorders>
                  <w:vAlign w:val="center"/>
                </w:tcPr>
                <w:p w14:paraId="446A1CA1">
                  <w:pPr>
                    <w:pStyle w:val="4"/>
                    <w:spacing w:line="300" w:lineRule="exact"/>
                    <w:ind w:firstLine="0"/>
                    <w:jc w:val="center"/>
                    <w:rPr>
                      <w:rFonts w:hint="default" w:ascii="Times New Roman" w:hAnsi="Times New Roman" w:cs="Times New Roman"/>
                      <w:color w:val="auto"/>
                      <w:sz w:val="18"/>
                      <w:szCs w:val="18"/>
                    </w:rPr>
                  </w:pPr>
                </w:p>
              </w:tc>
              <w:tc>
                <w:tcPr>
                  <w:tcW w:w="1063" w:type="pct"/>
                  <w:tcBorders>
                    <w:tl2br w:val="nil"/>
                    <w:tr2bl w:val="nil"/>
                  </w:tcBorders>
                  <w:vAlign w:val="center"/>
                </w:tcPr>
                <w:p w14:paraId="35D9177E">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SO</w:t>
                  </w:r>
                  <w:r>
                    <w:rPr>
                      <w:rFonts w:hint="default" w:ascii="Times New Roman" w:hAnsi="Times New Roman" w:cs="Times New Roman"/>
                      <w:color w:val="auto"/>
                      <w:sz w:val="18"/>
                      <w:szCs w:val="18"/>
                      <w:vertAlign w:val="subscript"/>
                    </w:rPr>
                    <w:t>2</w:t>
                  </w:r>
                </w:p>
              </w:tc>
              <w:tc>
                <w:tcPr>
                  <w:tcW w:w="756" w:type="pct"/>
                  <w:tcBorders>
                    <w:tl2br w:val="nil"/>
                    <w:tr2bl w:val="nil"/>
                  </w:tcBorders>
                  <w:vAlign w:val="center"/>
                </w:tcPr>
                <w:p w14:paraId="64670FCB">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0.957</w:t>
                  </w:r>
                </w:p>
              </w:tc>
              <w:tc>
                <w:tcPr>
                  <w:tcW w:w="1872" w:type="pct"/>
                  <w:vMerge w:val="continue"/>
                  <w:tcBorders>
                    <w:tl2br w:val="nil"/>
                    <w:tr2bl w:val="nil"/>
                  </w:tcBorders>
                  <w:vAlign w:val="center"/>
                </w:tcPr>
                <w:p w14:paraId="60D5C279">
                  <w:pPr>
                    <w:pStyle w:val="4"/>
                    <w:spacing w:line="300" w:lineRule="exact"/>
                    <w:ind w:firstLine="0"/>
                    <w:jc w:val="center"/>
                    <w:rPr>
                      <w:rFonts w:hint="default" w:ascii="Times New Roman" w:hAnsi="Times New Roman" w:cs="Times New Roman"/>
                      <w:color w:val="auto"/>
                      <w:sz w:val="18"/>
                      <w:szCs w:val="18"/>
                    </w:rPr>
                  </w:pPr>
                </w:p>
              </w:tc>
              <w:tc>
                <w:tcPr>
                  <w:tcW w:w="836" w:type="pct"/>
                  <w:tcBorders>
                    <w:tl2br w:val="nil"/>
                    <w:tr2bl w:val="nil"/>
                  </w:tcBorders>
                  <w:vAlign w:val="center"/>
                </w:tcPr>
                <w:p w14:paraId="03929319">
                  <w:pPr>
                    <w:pStyle w:val="4"/>
                    <w:spacing w:line="300" w:lineRule="exact"/>
                    <w:ind w:firstLine="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0.957</w:t>
                  </w:r>
                </w:p>
              </w:tc>
            </w:tr>
            <w:tr w14:paraId="0E3EE8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pct"/>
                  <w:vMerge w:val="continue"/>
                  <w:tcBorders>
                    <w:tl2br w:val="nil"/>
                    <w:tr2bl w:val="nil"/>
                  </w:tcBorders>
                  <w:vAlign w:val="center"/>
                </w:tcPr>
                <w:p w14:paraId="118A614C">
                  <w:pPr>
                    <w:pStyle w:val="4"/>
                    <w:spacing w:line="300" w:lineRule="exact"/>
                    <w:ind w:firstLine="0"/>
                    <w:jc w:val="center"/>
                    <w:rPr>
                      <w:rFonts w:hint="default" w:ascii="Times New Roman" w:hAnsi="Times New Roman" w:cs="Times New Roman"/>
                      <w:color w:val="auto"/>
                      <w:sz w:val="18"/>
                      <w:szCs w:val="18"/>
                    </w:rPr>
                  </w:pPr>
                </w:p>
              </w:tc>
              <w:tc>
                <w:tcPr>
                  <w:tcW w:w="1063" w:type="pct"/>
                  <w:tcBorders>
                    <w:tl2br w:val="nil"/>
                    <w:tr2bl w:val="nil"/>
                  </w:tcBorders>
                  <w:vAlign w:val="center"/>
                </w:tcPr>
                <w:p w14:paraId="04C367DF">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NO</w:t>
                  </w:r>
                  <w:r>
                    <w:rPr>
                      <w:rFonts w:hint="default" w:ascii="Times New Roman" w:hAnsi="Times New Roman" w:cs="Times New Roman"/>
                      <w:color w:val="auto"/>
                      <w:sz w:val="18"/>
                      <w:szCs w:val="18"/>
                      <w:vertAlign w:val="subscript"/>
                    </w:rPr>
                    <w:t>X</w:t>
                  </w:r>
                </w:p>
              </w:tc>
              <w:tc>
                <w:tcPr>
                  <w:tcW w:w="756" w:type="pct"/>
                  <w:tcBorders>
                    <w:tl2br w:val="nil"/>
                    <w:tr2bl w:val="nil"/>
                  </w:tcBorders>
                  <w:vAlign w:val="center"/>
                </w:tcPr>
                <w:p w14:paraId="57747F85">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5.24</w:t>
                  </w:r>
                </w:p>
              </w:tc>
              <w:tc>
                <w:tcPr>
                  <w:tcW w:w="1872" w:type="pct"/>
                  <w:vMerge w:val="continue"/>
                  <w:tcBorders>
                    <w:tl2br w:val="nil"/>
                    <w:tr2bl w:val="nil"/>
                  </w:tcBorders>
                  <w:vAlign w:val="center"/>
                </w:tcPr>
                <w:p w14:paraId="2B4D0349">
                  <w:pPr>
                    <w:pStyle w:val="4"/>
                    <w:spacing w:line="300" w:lineRule="exact"/>
                    <w:ind w:firstLine="0"/>
                    <w:jc w:val="center"/>
                    <w:rPr>
                      <w:rFonts w:hint="default" w:ascii="Times New Roman" w:hAnsi="Times New Roman" w:cs="Times New Roman"/>
                      <w:color w:val="auto"/>
                      <w:sz w:val="18"/>
                      <w:szCs w:val="18"/>
                    </w:rPr>
                  </w:pPr>
                </w:p>
              </w:tc>
              <w:tc>
                <w:tcPr>
                  <w:tcW w:w="836" w:type="pct"/>
                  <w:tcBorders>
                    <w:tl2br w:val="nil"/>
                    <w:tr2bl w:val="nil"/>
                  </w:tcBorders>
                  <w:vAlign w:val="center"/>
                </w:tcPr>
                <w:p w14:paraId="4483C58F">
                  <w:pPr>
                    <w:pStyle w:val="4"/>
                    <w:spacing w:line="300" w:lineRule="exact"/>
                    <w:ind w:firstLine="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5.24</w:t>
                  </w:r>
                </w:p>
              </w:tc>
            </w:tr>
            <w:tr w14:paraId="4D9853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pct"/>
                  <w:vMerge w:val="continue"/>
                  <w:tcBorders>
                    <w:tl2br w:val="nil"/>
                    <w:tr2bl w:val="nil"/>
                  </w:tcBorders>
                  <w:vAlign w:val="center"/>
                </w:tcPr>
                <w:p w14:paraId="1E59F4AD">
                  <w:pPr>
                    <w:pStyle w:val="4"/>
                    <w:spacing w:line="300" w:lineRule="exact"/>
                    <w:ind w:firstLine="0"/>
                    <w:jc w:val="center"/>
                    <w:rPr>
                      <w:rFonts w:hint="default" w:ascii="Times New Roman" w:hAnsi="Times New Roman" w:cs="Times New Roman"/>
                      <w:color w:val="auto"/>
                      <w:sz w:val="18"/>
                      <w:szCs w:val="18"/>
                    </w:rPr>
                  </w:pPr>
                </w:p>
              </w:tc>
              <w:tc>
                <w:tcPr>
                  <w:tcW w:w="1063" w:type="pct"/>
                  <w:tcBorders>
                    <w:tl2br w:val="nil"/>
                    <w:tr2bl w:val="nil"/>
                  </w:tcBorders>
                  <w:vAlign w:val="center"/>
                </w:tcPr>
                <w:p w14:paraId="7C0C472B">
                  <w:pPr>
                    <w:adjustRightInd w:val="0"/>
                    <w:snapToGrid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无组织颗粒物</w:t>
                  </w:r>
                </w:p>
              </w:tc>
              <w:tc>
                <w:tcPr>
                  <w:tcW w:w="756" w:type="pct"/>
                  <w:tcBorders>
                    <w:tl2br w:val="nil"/>
                    <w:tr2bl w:val="nil"/>
                  </w:tcBorders>
                  <w:vAlign w:val="center"/>
                </w:tcPr>
                <w:p w14:paraId="7E1330E8">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w:t>
                  </w:r>
                </w:p>
              </w:tc>
              <w:tc>
                <w:tcPr>
                  <w:tcW w:w="1872" w:type="pct"/>
                  <w:tcBorders>
                    <w:tl2br w:val="nil"/>
                    <w:tr2bl w:val="nil"/>
                  </w:tcBorders>
                  <w:vAlign w:val="center"/>
                </w:tcPr>
                <w:p w14:paraId="414830E3">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836" w:type="pct"/>
                  <w:tcBorders>
                    <w:tl2br w:val="nil"/>
                    <w:tr2bl w:val="nil"/>
                  </w:tcBorders>
                  <w:vAlign w:val="center"/>
                </w:tcPr>
                <w:p w14:paraId="09885101">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w:t>
                  </w:r>
                </w:p>
              </w:tc>
            </w:tr>
            <w:tr w14:paraId="6582BC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pct"/>
                  <w:vMerge w:val="restart"/>
                  <w:tcBorders>
                    <w:tl2br w:val="nil"/>
                    <w:tr2bl w:val="nil"/>
                  </w:tcBorders>
                  <w:vAlign w:val="center"/>
                </w:tcPr>
                <w:p w14:paraId="67C2822E">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1063" w:type="pct"/>
                  <w:tcBorders>
                    <w:tl2br w:val="nil"/>
                    <w:tr2bl w:val="nil"/>
                  </w:tcBorders>
                  <w:vAlign w:val="center"/>
                </w:tcPr>
                <w:p w14:paraId="2C08FA6D">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生产废水</w:t>
                  </w:r>
                </w:p>
              </w:tc>
              <w:tc>
                <w:tcPr>
                  <w:tcW w:w="756" w:type="pct"/>
                  <w:tcBorders>
                    <w:tl2br w:val="nil"/>
                    <w:tr2bl w:val="nil"/>
                  </w:tcBorders>
                  <w:vAlign w:val="center"/>
                </w:tcPr>
                <w:p w14:paraId="6F7BE7A9">
                  <w:pPr>
                    <w:pStyle w:val="4"/>
                    <w:spacing w:line="300" w:lineRule="exact"/>
                    <w:ind w:firstLine="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w:t>
                  </w:r>
                </w:p>
              </w:tc>
              <w:tc>
                <w:tcPr>
                  <w:tcW w:w="1872" w:type="pct"/>
                  <w:tcBorders>
                    <w:tl2br w:val="nil"/>
                    <w:tr2bl w:val="nil"/>
                  </w:tcBorders>
                  <w:vAlign w:val="center"/>
                </w:tcPr>
                <w:p w14:paraId="7F7323D8">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循环使用</w:t>
                  </w:r>
                </w:p>
              </w:tc>
              <w:tc>
                <w:tcPr>
                  <w:tcW w:w="836" w:type="pct"/>
                  <w:tcBorders>
                    <w:tl2br w:val="nil"/>
                    <w:tr2bl w:val="nil"/>
                  </w:tcBorders>
                  <w:vAlign w:val="center"/>
                </w:tcPr>
                <w:p w14:paraId="7F331392">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r w14:paraId="7C9521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pct"/>
                  <w:vMerge w:val="continue"/>
                  <w:tcBorders>
                    <w:tl2br w:val="nil"/>
                    <w:tr2bl w:val="nil"/>
                  </w:tcBorders>
                  <w:vAlign w:val="center"/>
                </w:tcPr>
                <w:p w14:paraId="6393D7ED">
                  <w:pPr>
                    <w:pStyle w:val="4"/>
                    <w:spacing w:line="300" w:lineRule="exact"/>
                    <w:ind w:firstLine="0"/>
                    <w:jc w:val="center"/>
                    <w:rPr>
                      <w:rFonts w:hint="default" w:ascii="Times New Roman" w:hAnsi="Times New Roman" w:cs="Times New Roman"/>
                      <w:color w:val="auto"/>
                      <w:sz w:val="18"/>
                      <w:szCs w:val="18"/>
                    </w:rPr>
                  </w:pPr>
                </w:p>
              </w:tc>
              <w:tc>
                <w:tcPr>
                  <w:tcW w:w="1063" w:type="pct"/>
                  <w:tcBorders>
                    <w:tl2br w:val="nil"/>
                    <w:tr2bl w:val="nil"/>
                  </w:tcBorders>
                  <w:vAlign w:val="center"/>
                </w:tcPr>
                <w:p w14:paraId="39CF8C0B">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生活污水</w:t>
                  </w:r>
                </w:p>
              </w:tc>
              <w:tc>
                <w:tcPr>
                  <w:tcW w:w="756" w:type="pct"/>
                  <w:tcBorders>
                    <w:tl2br w:val="nil"/>
                    <w:tr2bl w:val="nil"/>
                  </w:tcBorders>
                  <w:vAlign w:val="center"/>
                </w:tcPr>
                <w:p w14:paraId="6A3C5FE1">
                  <w:pPr>
                    <w:pStyle w:val="4"/>
                    <w:spacing w:line="300" w:lineRule="exact"/>
                    <w:ind w:firstLine="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5.15</w:t>
                  </w:r>
                </w:p>
              </w:tc>
              <w:tc>
                <w:tcPr>
                  <w:tcW w:w="1872" w:type="pct"/>
                  <w:tcBorders>
                    <w:tl2br w:val="nil"/>
                    <w:tr2bl w:val="nil"/>
                  </w:tcBorders>
                  <w:vAlign w:val="center"/>
                </w:tcPr>
                <w:p w14:paraId="29372B6F">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化粪池处理后进入园区污水管网</w:t>
                  </w:r>
                </w:p>
              </w:tc>
              <w:tc>
                <w:tcPr>
                  <w:tcW w:w="836" w:type="pct"/>
                  <w:tcBorders>
                    <w:tl2br w:val="nil"/>
                    <w:tr2bl w:val="nil"/>
                  </w:tcBorders>
                  <w:vAlign w:val="center"/>
                </w:tcPr>
                <w:p w14:paraId="4489FBFE">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r w14:paraId="0D0CBD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pct"/>
                  <w:vMerge w:val="restart"/>
                  <w:tcBorders>
                    <w:tl2br w:val="nil"/>
                    <w:tr2bl w:val="nil"/>
                  </w:tcBorders>
                  <w:vAlign w:val="center"/>
                </w:tcPr>
                <w:p w14:paraId="003BD057">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w:t>
                  </w:r>
                </w:p>
              </w:tc>
              <w:tc>
                <w:tcPr>
                  <w:tcW w:w="1063" w:type="pct"/>
                  <w:tcBorders>
                    <w:tl2br w:val="nil"/>
                    <w:tr2bl w:val="nil"/>
                  </w:tcBorders>
                  <w:vAlign w:val="center"/>
                </w:tcPr>
                <w:p w14:paraId="11B43F26">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一般工业固废</w:t>
                  </w:r>
                </w:p>
              </w:tc>
              <w:tc>
                <w:tcPr>
                  <w:tcW w:w="756" w:type="pct"/>
                  <w:tcBorders>
                    <w:tl2br w:val="nil"/>
                    <w:tr2bl w:val="nil"/>
                  </w:tcBorders>
                  <w:vAlign w:val="center"/>
                </w:tcPr>
                <w:p w14:paraId="4AE7485B">
                  <w:pPr>
                    <w:pStyle w:val="4"/>
                    <w:spacing w:line="300" w:lineRule="exact"/>
                    <w:ind w:firstLine="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4154.54</w:t>
                  </w:r>
                </w:p>
              </w:tc>
              <w:tc>
                <w:tcPr>
                  <w:tcW w:w="1872" w:type="pct"/>
                  <w:tcBorders>
                    <w:tl2br w:val="nil"/>
                    <w:tr2bl w:val="nil"/>
                  </w:tcBorders>
                  <w:vAlign w:val="center"/>
                </w:tcPr>
                <w:p w14:paraId="25CFB211">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snapToGrid w:val="0"/>
                      <w:color w:val="auto"/>
                      <w:sz w:val="18"/>
                      <w:szCs w:val="18"/>
                    </w:rPr>
                    <w:t>收集后外售</w:t>
                  </w:r>
                </w:p>
              </w:tc>
              <w:tc>
                <w:tcPr>
                  <w:tcW w:w="836" w:type="pct"/>
                  <w:tcBorders>
                    <w:tl2br w:val="nil"/>
                    <w:tr2bl w:val="nil"/>
                  </w:tcBorders>
                  <w:vAlign w:val="center"/>
                </w:tcPr>
                <w:p w14:paraId="2BEF0E85">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r w14:paraId="034437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pct"/>
                  <w:vMerge w:val="continue"/>
                  <w:tcBorders>
                    <w:tl2br w:val="nil"/>
                    <w:tr2bl w:val="nil"/>
                  </w:tcBorders>
                  <w:vAlign w:val="center"/>
                </w:tcPr>
                <w:p w14:paraId="3CD6CE34">
                  <w:pPr>
                    <w:widowControl/>
                    <w:spacing w:line="300" w:lineRule="exact"/>
                    <w:jc w:val="left"/>
                    <w:rPr>
                      <w:rFonts w:hint="default" w:ascii="Times New Roman" w:hAnsi="Times New Roman" w:cs="Times New Roman"/>
                      <w:color w:val="auto"/>
                      <w:sz w:val="18"/>
                      <w:szCs w:val="18"/>
                    </w:rPr>
                  </w:pPr>
                </w:p>
              </w:tc>
              <w:tc>
                <w:tcPr>
                  <w:tcW w:w="1063" w:type="pct"/>
                  <w:tcBorders>
                    <w:tl2br w:val="nil"/>
                    <w:tr2bl w:val="nil"/>
                  </w:tcBorders>
                  <w:vAlign w:val="center"/>
                </w:tcPr>
                <w:p w14:paraId="17B167A0">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生活垃圾</w:t>
                  </w:r>
                </w:p>
              </w:tc>
              <w:tc>
                <w:tcPr>
                  <w:tcW w:w="756" w:type="pct"/>
                  <w:tcBorders>
                    <w:tl2br w:val="nil"/>
                    <w:tr2bl w:val="nil"/>
                  </w:tcBorders>
                  <w:vAlign w:val="center"/>
                </w:tcPr>
                <w:p w14:paraId="0BE12A96">
                  <w:pPr>
                    <w:pStyle w:val="4"/>
                    <w:spacing w:line="300" w:lineRule="exact"/>
                    <w:ind w:firstLine="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55.44</w:t>
                  </w:r>
                </w:p>
              </w:tc>
              <w:tc>
                <w:tcPr>
                  <w:tcW w:w="1872" w:type="pct"/>
                  <w:tcBorders>
                    <w:tl2br w:val="nil"/>
                    <w:tr2bl w:val="nil"/>
                  </w:tcBorders>
                  <w:vAlign w:val="center"/>
                </w:tcPr>
                <w:p w14:paraId="582B7E94">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由环卫部门处理</w:t>
                  </w:r>
                </w:p>
              </w:tc>
              <w:tc>
                <w:tcPr>
                  <w:tcW w:w="836" w:type="pct"/>
                  <w:tcBorders>
                    <w:tl2br w:val="nil"/>
                    <w:tr2bl w:val="nil"/>
                  </w:tcBorders>
                  <w:vAlign w:val="center"/>
                </w:tcPr>
                <w:p w14:paraId="17A3D58D">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r w14:paraId="03A0F8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pct"/>
                  <w:vMerge w:val="continue"/>
                  <w:tcBorders>
                    <w:tl2br w:val="nil"/>
                    <w:tr2bl w:val="nil"/>
                  </w:tcBorders>
                  <w:vAlign w:val="center"/>
                </w:tcPr>
                <w:p w14:paraId="6B0942FB">
                  <w:pPr>
                    <w:widowControl/>
                    <w:spacing w:line="300" w:lineRule="exact"/>
                    <w:jc w:val="left"/>
                    <w:rPr>
                      <w:rFonts w:hint="default" w:ascii="Times New Roman" w:hAnsi="Times New Roman" w:cs="Times New Roman"/>
                      <w:color w:val="auto"/>
                      <w:sz w:val="18"/>
                      <w:szCs w:val="18"/>
                    </w:rPr>
                  </w:pPr>
                </w:p>
              </w:tc>
              <w:tc>
                <w:tcPr>
                  <w:tcW w:w="1063" w:type="pct"/>
                  <w:tcBorders>
                    <w:tl2br w:val="nil"/>
                    <w:tr2bl w:val="nil"/>
                  </w:tcBorders>
                  <w:vAlign w:val="center"/>
                </w:tcPr>
                <w:p w14:paraId="5D5B8D1F">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废机油</w:t>
                  </w:r>
                </w:p>
              </w:tc>
              <w:tc>
                <w:tcPr>
                  <w:tcW w:w="756" w:type="pct"/>
                  <w:tcBorders>
                    <w:tl2br w:val="nil"/>
                    <w:tr2bl w:val="nil"/>
                  </w:tcBorders>
                  <w:vAlign w:val="center"/>
                </w:tcPr>
                <w:p w14:paraId="1C41CB6F">
                  <w:pPr>
                    <w:pStyle w:val="4"/>
                    <w:spacing w:line="300" w:lineRule="exact"/>
                    <w:ind w:firstLine="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0.08</w:t>
                  </w:r>
                </w:p>
              </w:tc>
              <w:tc>
                <w:tcPr>
                  <w:tcW w:w="1872" w:type="pct"/>
                  <w:tcBorders>
                    <w:tl2br w:val="nil"/>
                    <w:tr2bl w:val="nil"/>
                  </w:tcBorders>
                  <w:vAlign w:val="center"/>
                </w:tcPr>
                <w:p w14:paraId="23262DC1">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返回对设备进行润滑使用，在厂区内能自行利用</w:t>
                  </w:r>
                </w:p>
              </w:tc>
              <w:tc>
                <w:tcPr>
                  <w:tcW w:w="836" w:type="pct"/>
                  <w:tcBorders>
                    <w:tl2br w:val="nil"/>
                    <w:tr2bl w:val="nil"/>
                  </w:tcBorders>
                  <w:vAlign w:val="center"/>
                </w:tcPr>
                <w:p w14:paraId="0AB60315">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bookmarkEnd w:id="49"/>
          </w:tbl>
          <w:p w14:paraId="51671F20">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1.10现有工程排污许可证情况</w:t>
            </w:r>
          </w:p>
          <w:p w14:paraId="7C21EAEF">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通海南方钢铁有限公司于2023年04月19日取得了玉溪市生态环境局颁发的排污许可证（证书编号：915304236736246431001P），排污许可证核算了企业大气排放总许可量，其排污许可证排放量：有组织颗粒物0.864t/a、NO</w:t>
            </w:r>
            <w:r>
              <w:rPr>
                <w:rFonts w:hint="default" w:ascii="Times New Roman" w:hAnsi="Times New Roman" w:cs="Times New Roman"/>
                <w:color w:val="auto"/>
                <w:sz w:val="24"/>
                <w:vertAlign w:val="subscript"/>
              </w:rPr>
              <w:t>x</w:t>
            </w:r>
            <w:r>
              <w:rPr>
                <w:rFonts w:hint="default" w:ascii="Times New Roman" w:hAnsi="Times New Roman" w:cs="Times New Roman"/>
                <w:color w:val="auto"/>
                <w:sz w:val="24"/>
              </w:rPr>
              <w:t>为14.796t/a、SO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为4.428t/a。</w:t>
            </w:r>
          </w:p>
          <w:p w14:paraId="3C3ECAA3">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kern w:val="0"/>
                <w:sz w:val="24"/>
              </w:rPr>
              <w:t>根据核算，现有工程排放量有组织排放量为颗粒物</w:t>
            </w:r>
            <w:r>
              <w:rPr>
                <w:rFonts w:hint="default" w:ascii="Times New Roman" w:hAnsi="Times New Roman" w:cs="Times New Roman"/>
                <w:color w:val="auto"/>
                <w:sz w:val="24"/>
              </w:rPr>
              <w:t>0.795t/a、NO</w:t>
            </w:r>
            <w:r>
              <w:rPr>
                <w:rFonts w:hint="default" w:ascii="Times New Roman" w:hAnsi="Times New Roman" w:cs="Times New Roman"/>
                <w:color w:val="auto"/>
                <w:sz w:val="24"/>
                <w:vertAlign w:val="subscript"/>
              </w:rPr>
              <w:t>x</w:t>
            </w:r>
            <w:r>
              <w:rPr>
                <w:rFonts w:hint="default" w:ascii="Times New Roman" w:hAnsi="Times New Roman" w:cs="Times New Roman"/>
                <w:color w:val="auto"/>
                <w:sz w:val="24"/>
              </w:rPr>
              <w:t>为5.24t/a、SO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为0.957t/a，均低于排污许可证排放量。</w:t>
            </w:r>
          </w:p>
          <w:p w14:paraId="4FF093C6">
            <w:pPr>
              <w:adjustRightInd w:val="0"/>
              <w:snapToGrid w:val="0"/>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2、在建工程概况（年产30万吨型钢连轧生产线技改项目）</w:t>
            </w:r>
          </w:p>
          <w:p w14:paraId="5B61F47C">
            <w:pPr>
              <w:pStyle w:val="15"/>
              <w:ind w:firstLine="480" w:firstLineChars="200"/>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由于现有已建生产线</w:t>
            </w:r>
            <w:r>
              <w:rPr>
                <w:rFonts w:hint="default" w:ascii="Times New Roman" w:hAnsi="Times New Roman" w:eastAsia="宋体" w:cs="Times New Roman"/>
                <w:color w:val="auto"/>
                <w:szCs w:val="24"/>
              </w:rPr>
              <w:t>主要生产工字钢，</w:t>
            </w:r>
            <w:r>
              <w:rPr>
                <w:rFonts w:hint="default" w:ascii="Times New Roman" w:hAnsi="Times New Roman" w:eastAsia="宋体" w:cs="Times New Roman"/>
                <w:color w:val="auto"/>
                <w:kern w:val="0"/>
                <w:szCs w:val="24"/>
                <w:lang w:bidi="ar"/>
              </w:rPr>
              <w:t>公司为了扩展产品方案，在不增加型钢产能的基础上正在技改升级配套年产30万吨型钢生产线项目，在建生产线建成后与现有工程交替生产，总产能不变。《通海南方钢铁有限公司技改30万吨型钢生产线项目》于2022年6月取得环评批复。依据已批复的《技改年产30万吨型钢生产线项目环境影响报告表》，项目基本情况如下：</w:t>
            </w:r>
          </w:p>
          <w:p w14:paraId="57ED25EB">
            <w:pPr>
              <w:spacing w:before="120" w:beforeLines="50" w:line="360" w:lineRule="auto"/>
              <w:jc w:val="left"/>
              <w:rPr>
                <w:rFonts w:hint="default" w:ascii="Times New Roman" w:hAnsi="Times New Roman" w:eastAsia="黑体" w:cs="Times New Roman"/>
                <w:bCs/>
                <w:color w:val="auto"/>
                <w:sz w:val="24"/>
              </w:rPr>
            </w:pPr>
            <w:bookmarkStart w:id="51" w:name="_Toc20667"/>
            <w:bookmarkStart w:id="52" w:name="_Toc19288"/>
            <w:r>
              <w:rPr>
                <w:rFonts w:hint="default" w:ascii="Times New Roman" w:hAnsi="Times New Roman" w:eastAsia="黑体" w:cs="Times New Roman"/>
                <w:bCs/>
                <w:color w:val="auto"/>
                <w:sz w:val="24"/>
              </w:rPr>
              <w:t>2.1原有在建项目建设内容</w:t>
            </w:r>
            <w:bookmarkEnd w:id="51"/>
            <w:bookmarkEnd w:id="52"/>
          </w:p>
          <w:p w14:paraId="3FD47F4A">
            <w:pPr>
              <w:widowControl/>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在建项目是在现有厂区厂房内建设产品替代的型钢生产线，加热炉、净循环水系统、部分公用设施可依托现有，本项目由主体工程、辅助工程和环保工程组成，工程具体组成见下表：</w:t>
            </w:r>
          </w:p>
          <w:p w14:paraId="56240855">
            <w:pPr>
              <w:pStyle w:val="111"/>
              <w:spacing w:line="360" w:lineRule="auto"/>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表2-15   建设项目组成一览表</w:t>
            </w:r>
          </w:p>
          <w:tbl>
            <w:tblPr>
              <w:tblStyle w:val="35"/>
              <w:tblW w:w="834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614"/>
              <w:gridCol w:w="101"/>
              <w:gridCol w:w="1129"/>
              <w:gridCol w:w="4271"/>
              <w:gridCol w:w="1113"/>
            </w:tblGrid>
            <w:tr w14:paraId="33D7F7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8" w:type="dxa"/>
                  <w:tcBorders>
                    <w:tl2br w:val="nil"/>
                    <w:tr2bl w:val="nil"/>
                  </w:tcBorders>
                  <w:vAlign w:val="center"/>
                </w:tcPr>
                <w:p w14:paraId="3F608589">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工程类别</w:t>
                  </w:r>
                </w:p>
              </w:tc>
              <w:tc>
                <w:tcPr>
                  <w:tcW w:w="6115" w:type="dxa"/>
                  <w:gridSpan w:val="4"/>
                  <w:tcBorders>
                    <w:tl2br w:val="nil"/>
                    <w:tr2bl w:val="nil"/>
                  </w:tcBorders>
                  <w:vAlign w:val="center"/>
                </w:tcPr>
                <w:p w14:paraId="74EFBEBE">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工程内容</w:t>
                  </w:r>
                </w:p>
              </w:tc>
              <w:tc>
                <w:tcPr>
                  <w:tcW w:w="1113" w:type="dxa"/>
                  <w:tcBorders>
                    <w:tl2br w:val="nil"/>
                    <w:tr2bl w:val="nil"/>
                  </w:tcBorders>
                  <w:vAlign w:val="center"/>
                </w:tcPr>
                <w:p w14:paraId="2C758765">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备注</w:t>
                  </w:r>
                </w:p>
              </w:tc>
            </w:tr>
            <w:tr w14:paraId="21ECAF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8" w:type="dxa"/>
                  <w:vMerge w:val="restart"/>
                  <w:tcBorders>
                    <w:tl2br w:val="nil"/>
                    <w:tr2bl w:val="nil"/>
                  </w:tcBorders>
                  <w:vAlign w:val="center"/>
                </w:tcPr>
                <w:p w14:paraId="7F44597E">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主体工程</w:t>
                  </w:r>
                </w:p>
              </w:tc>
              <w:tc>
                <w:tcPr>
                  <w:tcW w:w="1844" w:type="dxa"/>
                  <w:gridSpan w:val="3"/>
                  <w:tcBorders>
                    <w:tl2br w:val="nil"/>
                    <w:tr2bl w:val="nil"/>
                  </w:tcBorders>
                  <w:vAlign w:val="center"/>
                </w:tcPr>
                <w:p w14:paraId="7C2A2DD5">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原料车间</w:t>
                  </w:r>
                </w:p>
              </w:tc>
              <w:tc>
                <w:tcPr>
                  <w:tcW w:w="4271" w:type="dxa"/>
                  <w:tcBorders>
                    <w:tl2br w:val="nil"/>
                    <w:tr2bl w:val="nil"/>
                  </w:tcBorders>
                  <w:vAlign w:val="center"/>
                </w:tcPr>
                <w:p w14:paraId="792D3657">
                  <w:pPr>
                    <w:spacing w:line="300" w:lineRule="exact"/>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设置原料半封闭车间一个，占地150m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w:t>
                  </w:r>
                </w:p>
              </w:tc>
              <w:tc>
                <w:tcPr>
                  <w:tcW w:w="1113" w:type="dxa"/>
                  <w:tcBorders>
                    <w:tl2br w:val="nil"/>
                    <w:tr2bl w:val="nil"/>
                  </w:tcBorders>
                  <w:vAlign w:val="center"/>
                </w:tcPr>
                <w:p w14:paraId="568AB272">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沿用原有</w:t>
                  </w:r>
                </w:p>
              </w:tc>
            </w:tr>
            <w:tr w14:paraId="782974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8" w:type="dxa"/>
                  <w:vMerge w:val="continue"/>
                  <w:tcBorders>
                    <w:tl2br w:val="nil"/>
                    <w:tr2bl w:val="nil"/>
                  </w:tcBorders>
                  <w:vAlign w:val="center"/>
                </w:tcPr>
                <w:p w14:paraId="1018BDC0">
                  <w:pPr>
                    <w:spacing w:line="300" w:lineRule="exact"/>
                    <w:jc w:val="center"/>
                    <w:rPr>
                      <w:rFonts w:hint="default" w:ascii="Times New Roman" w:hAnsi="Times New Roman" w:cs="Times New Roman"/>
                      <w:color w:val="auto"/>
                      <w:sz w:val="18"/>
                      <w:szCs w:val="18"/>
                    </w:rPr>
                  </w:pPr>
                </w:p>
              </w:tc>
              <w:tc>
                <w:tcPr>
                  <w:tcW w:w="1844" w:type="dxa"/>
                  <w:gridSpan w:val="3"/>
                  <w:tcBorders>
                    <w:tl2br w:val="nil"/>
                    <w:tr2bl w:val="nil"/>
                  </w:tcBorders>
                  <w:vAlign w:val="center"/>
                </w:tcPr>
                <w:p w14:paraId="20342154">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型钢车间</w:t>
                  </w:r>
                </w:p>
              </w:tc>
              <w:tc>
                <w:tcPr>
                  <w:tcW w:w="4271" w:type="dxa"/>
                  <w:tcBorders>
                    <w:tl2br w:val="nil"/>
                    <w:tr2bl w:val="nil"/>
                  </w:tcBorders>
                  <w:vAlign w:val="center"/>
                </w:tcPr>
                <w:p w14:paraId="0AEF5E4C">
                  <w:pPr>
                    <w:spacing w:line="30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占地面积为4823.74m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，利用现有天然气步进式加热炉（6.5m×32m），新增部分轧钢、电锯、矫正机、冷床及打包设备，形成30万吨的型钢生产能力。其中加热炉区占地1400m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，轧机机组区占地820m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，冷床区占地1470m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w:t>
                  </w:r>
                </w:p>
              </w:tc>
              <w:tc>
                <w:tcPr>
                  <w:tcW w:w="1113" w:type="dxa"/>
                  <w:tcBorders>
                    <w:tl2br w:val="nil"/>
                    <w:tr2bl w:val="nil"/>
                  </w:tcBorders>
                  <w:vAlign w:val="center"/>
                </w:tcPr>
                <w:p w14:paraId="1C0147BA">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厂房利旧，新增轧钢生产设备</w:t>
                  </w:r>
                </w:p>
              </w:tc>
            </w:tr>
            <w:tr w14:paraId="76D0C5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695F7D9F">
                  <w:pPr>
                    <w:widowControl/>
                    <w:spacing w:line="300" w:lineRule="exact"/>
                    <w:jc w:val="left"/>
                    <w:rPr>
                      <w:rFonts w:hint="default" w:ascii="Times New Roman" w:hAnsi="Times New Roman" w:cs="Times New Roman"/>
                      <w:color w:val="auto"/>
                      <w:sz w:val="18"/>
                      <w:szCs w:val="18"/>
                    </w:rPr>
                  </w:pPr>
                </w:p>
              </w:tc>
              <w:tc>
                <w:tcPr>
                  <w:tcW w:w="1844" w:type="dxa"/>
                  <w:gridSpan w:val="3"/>
                  <w:tcBorders>
                    <w:tl2br w:val="nil"/>
                    <w:tr2bl w:val="nil"/>
                  </w:tcBorders>
                  <w:vAlign w:val="center"/>
                </w:tcPr>
                <w:p w14:paraId="0F6319E7">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成品库</w:t>
                  </w:r>
                </w:p>
              </w:tc>
              <w:tc>
                <w:tcPr>
                  <w:tcW w:w="4271" w:type="dxa"/>
                  <w:tcBorders>
                    <w:tl2br w:val="nil"/>
                    <w:tr2bl w:val="nil"/>
                  </w:tcBorders>
                  <w:vAlign w:val="center"/>
                </w:tcPr>
                <w:p w14:paraId="67E55DED">
                  <w:pPr>
                    <w:spacing w:line="30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成品仓库区域分2个区域，在生产厂房内东侧，分区暂存项目产品。占地面积7500m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w:t>
                  </w:r>
                </w:p>
              </w:tc>
              <w:tc>
                <w:tcPr>
                  <w:tcW w:w="1113" w:type="dxa"/>
                  <w:tcBorders>
                    <w:tl2br w:val="nil"/>
                    <w:tr2bl w:val="nil"/>
                  </w:tcBorders>
                  <w:vAlign w:val="center"/>
                </w:tcPr>
                <w:p w14:paraId="655130FA">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w:t>
                  </w:r>
                </w:p>
              </w:tc>
            </w:tr>
            <w:tr w14:paraId="6B3BBA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8" w:type="dxa"/>
                  <w:vMerge w:val="restart"/>
                  <w:tcBorders>
                    <w:tl2br w:val="nil"/>
                    <w:tr2bl w:val="nil"/>
                  </w:tcBorders>
                  <w:vAlign w:val="center"/>
                </w:tcPr>
                <w:p w14:paraId="4236BCA9">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辅助工程</w:t>
                  </w:r>
                </w:p>
              </w:tc>
              <w:tc>
                <w:tcPr>
                  <w:tcW w:w="1844" w:type="dxa"/>
                  <w:gridSpan w:val="3"/>
                  <w:tcBorders>
                    <w:tl2br w:val="nil"/>
                    <w:tr2bl w:val="nil"/>
                  </w:tcBorders>
                  <w:vAlign w:val="center"/>
                </w:tcPr>
                <w:p w14:paraId="48F07988">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机电控制室</w:t>
                  </w:r>
                </w:p>
              </w:tc>
              <w:tc>
                <w:tcPr>
                  <w:tcW w:w="4271" w:type="dxa"/>
                  <w:tcBorders>
                    <w:tl2br w:val="nil"/>
                    <w:tr2bl w:val="nil"/>
                  </w:tcBorders>
                  <w:vAlign w:val="center"/>
                </w:tcPr>
                <w:p w14:paraId="4C7343F3">
                  <w:pPr>
                    <w:spacing w:line="30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建设一座机电控制室，占地45m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w:t>
                  </w:r>
                </w:p>
              </w:tc>
              <w:tc>
                <w:tcPr>
                  <w:tcW w:w="1113" w:type="dxa"/>
                  <w:tcBorders>
                    <w:tl2br w:val="nil"/>
                    <w:tr2bl w:val="nil"/>
                  </w:tcBorders>
                  <w:vAlign w:val="center"/>
                </w:tcPr>
                <w:p w14:paraId="7D02B08B">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w:t>
                  </w:r>
                </w:p>
              </w:tc>
            </w:tr>
            <w:tr w14:paraId="7073F4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6D71CA28">
                  <w:pPr>
                    <w:widowControl/>
                    <w:spacing w:line="300" w:lineRule="exact"/>
                    <w:jc w:val="left"/>
                    <w:rPr>
                      <w:rFonts w:hint="default" w:ascii="Times New Roman" w:hAnsi="Times New Roman" w:cs="Times New Roman"/>
                      <w:color w:val="auto"/>
                      <w:sz w:val="18"/>
                      <w:szCs w:val="18"/>
                    </w:rPr>
                  </w:pPr>
                </w:p>
              </w:tc>
              <w:tc>
                <w:tcPr>
                  <w:tcW w:w="1844" w:type="dxa"/>
                  <w:gridSpan w:val="3"/>
                  <w:tcBorders>
                    <w:tl2br w:val="nil"/>
                    <w:tr2bl w:val="nil"/>
                  </w:tcBorders>
                  <w:vAlign w:val="center"/>
                </w:tcPr>
                <w:p w14:paraId="41654D41">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连轧机稀油润滑站</w:t>
                  </w:r>
                </w:p>
              </w:tc>
              <w:tc>
                <w:tcPr>
                  <w:tcW w:w="4271" w:type="dxa"/>
                  <w:tcBorders>
                    <w:tl2br w:val="nil"/>
                    <w:tr2bl w:val="nil"/>
                  </w:tcBorders>
                  <w:vAlign w:val="center"/>
                </w:tcPr>
                <w:p w14:paraId="66517FAB">
                  <w:pPr>
                    <w:spacing w:line="30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新建1座稀油润滑站，主要是对轧制区轧机和辊道齿轮冷却润滑用的，总占地面积60m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w:t>
                  </w:r>
                </w:p>
              </w:tc>
              <w:tc>
                <w:tcPr>
                  <w:tcW w:w="1113" w:type="dxa"/>
                  <w:tcBorders>
                    <w:tl2br w:val="nil"/>
                    <w:tr2bl w:val="nil"/>
                  </w:tcBorders>
                  <w:vAlign w:val="center"/>
                </w:tcPr>
                <w:p w14:paraId="5F9BA0C8">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w:t>
                  </w:r>
                </w:p>
              </w:tc>
            </w:tr>
            <w:tr w14:paraId="0A7D84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2B758073">
                  <w:pPr>
                    <w:widowControl/>
                    <w:spacing w:line="300" w:lineRule="exact"/>
                    <w:jc w:val="left"/>
                    <w:rPr>
                      <w:rFonts w:hint="default" w:ascii="Times New Roman" w:hAnsi="Times New Roman" w:cs="Times New Roman"/>
                      <w:color w:val="auto"/>
                      <w:sz w:val="18"/>
                      <w:szCs w:val="18"/>
                    </w:rPr>
                  </w:pPr>
                </w:p>
              </w:tc>
              <w:tc>
                <w:tcPr>
                  <w:tcW w:w="1844" w:type="dxa"/>
                  <w:gridSpan w:val="3"/>
                  <w:tcBorders>
                    <w:tl2br w:val="nil"/>
                    <w:tr2bl w:val="nil"/>
                  </w:tcBorders>
                  <w:vAlign w:val="center"/>
                </w:tcPr>
                <w:p w14:paraId="55CD76BF">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机修车间和配件区</w:t>
                  </w:r>
                </w:p>
              </w:tc>
              <w:tc>
                <w:tcPr>
                  <w:tcW w:w="4271" w:type="dxa"/>
                  <w:tcBorders>
                    <w:tl2br w:val="nil"/>
                    <w:tr2bl w:val="nil"/>
                  </w:tcBorders>
                  <w:vAlign w:val="center"/>
                </w:tcPr>
                <w:p w14:paraId="4651555A">
                  <w:pPr>
                    <w:spacing w:line="30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现有一个机修车间和配件车间，主要为生产线提供机修和配件，占地面积250m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w:t>
                  </w:r>
                </w:p>
              </w:tc>
              <w:tc>
                <w:tcPr>
                  <w:tcW w:w="1113" w:type="dxa"/>
                  <w:tcBorders>
                    <w:tl2br w:val="nil"/>
                    <w:tr2bl w:val="nil"/>
                  </w:tcBorders>
                  <w:vAlign w:val="center"/>
                </w:tcPr>
                <w:p w14:paraId="394440FA">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利用现有</w:t>
                  </w:r>
                </w:p>
              </w:tc>
            </w:tr>
            <w:tr w14:paraId="40E31E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0C436AAB">
                  <w:pPr>
                    <w:widowControl/>
                    <w:spacing w:line="300" w:lineRule="exact"/>
                    <w:jc w:val="left"/>
                    <w:rPr>
                      <w:rFonts w:hint="default" w:ascii="Times New Roman" w:hAnsi="Times New Roman" w:cs="Times New Roman"/>
                      <w:color w:val="auto"/>
                      <w:sz w:val="18"/>
                      <w:szCs w:val="18"/>
                    </w:rPr>
                  </w:pPr>
                </w:p>
              </w:tc>
              <w:tc>
                <w:tcPr>
                  <w:tcW w:w="715" w:type="dxa"/>
                  <w:gridSpan w:val="2"/>
                  <w:vMerge w:val="restart"/>
                  <w:tcBorders>
                    <w:tl2br w:val="nil"/>
                    <w:tr2bl w:val="nil"/>
                  </w:tcBorders>
                  <w:vAlign w:val="center"/>
                </w:tcPr>
                <w:p w14:paraId="115FD2D4">
                  <w:pPr>
                    <w:spacing w:line="300" w:lineRule="exact"/>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循环水系统</w:t>
                  </w:r>
                </w:p>
              </w:tc>
              <w:tc>
                <w:tcPr>
                  <w:tcW w:w="1129" w:type="dxa"/>
                  <w:tcBorders>
                    <w:tl2br w:val="nil"/>
                    <w:tr2bl w:val="nil"/>
                  </w:tcBorders>
                  <w:vAlign w:val="center"/>
                </w:tcPr>
                <w:p w14:paraId="2427C50A">
                  <w:pPr>
                    <w:spacing w:line="300" w:lineRule="exact"/>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浊循环水系统</w:t>
                  </w:r>
                </w:p>
              </w:tc>
              <w:tc>
                <w:tcPr>
                  <w:tcW w:w="4271" w:type="dxa"/>
                  <w:tcBorders>
                    <w:tl2br w:val="nil"/>
                    <w:tr2bl w:val="nil"/>
                  </w:tcBorders>
                  <w:vAlign w:val="center"/>
                </w:tcPr>
                <w:p w14:paraId="24BEE90D">
                  <w:pPr>
                    <w:spacing w:line="300" w:lineRule="exact"/>
                    <w:ind w:firstLine="360" w:firstLineChars="200"/>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设置一套浊循环系统，建设1个浊循环水池、冲渣池和回水池，主要是对氧化铁皮进行冲刷，废水全部循环使用，浊循环水池容积为680</w:t>
                  </w:r>
                  <w:r>
                    <w:rPr>
                      <w:rFonts w:hint="default" w:ascii="Times New Roman" w:hAnsi="Times New Roman" w:cs="Times New Roman"/>
                      <w:snapToGrid w:val="0"/>
                      <w:color w:val="auto"/>
                      <w:sz w:val="18"/>
                      <w:szCs w:val="18"/>
                    </w:rPr>
                    <w:t>m</w:t>
                  </w:r>
                  <w:r>
                    <w:rPr>
                      <w:rFonts w:hint="default" w:ascii="Times New Roman" w:hAnsi="Times New Roman" w:cs="Times New Roman"/>
                      <w:snapToGrid w:val="0"/>
                      <w:color w:val="auto"/>
                      <w:sz w:val="18"/>
                      <w:szCs w:val="18"/>
                      <w:vertAlign w:val="superscript"/>
                    </w:rPr>
                    <w:t>3</w:t>
                  </w:r>
                  <w:r>
                    <w:rPr>
                      <w:rFonts w:hint="default" w:ascii="Times New Roman" w:hAnsi="Times New Roman" w:cs="Times New Roman"/>
                      <w:color w:val="auto"/>
                      <w:sz w:val="18"/>
                      <w:szCs w:val="18"/>
                    </w:rPr>
                    <w:t>，氧化铁皮沉淀池200m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，回水池200m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。新增一座化学除油器，废水处理规模约80</w:t>
                  </w:r>
                  <w:r>
                    <w:rPr>
                      <w:rFonts w:hint="default" w:ascii="Times New Roman" w:hAnsi="Times New Roman" w:cs="Times New Roman"/>
                      <w:snapToGrid w:val="0"/>
                      <w:color w:val="auto"/>
                      <w:sz w:val="18"/>
                      <w:szCs w:val="18"/>
                    </w:rPr>
                    <w:t>m</w:t>
                  </w:r>
                  <w:r>
                    <w:rPr>
                      <w:rFonts w:hint="default" w:ascii="Times New Roman" w:hAnsi="Times New Roman" w:cs="Times New Roman"/>
                      <w:snapToGrid w:val="0"/>
                      <w:color w:val="auto"/>
                      <w:sz w:val="18"/>
                      <w:szCs w:val="18"/>
                      <w:vertAlign w:val="superscript"/>
                    </w:rPr>
                    <w:t>3</w:t>
                  </w:r>
                  <w:r>
                    <w:rPr>
                      <w:rFonts w:hint="default" w:ascii="Times New Roman" w:hAnsi="Times New Roman" w:cs="Times New Roman"/>
                      <w:color w:val="auto"/>
                      <w:sz w:val="18"/>
                      <w:szCs w:val="18"/>
                    </w:rPr>
                    <w:t>/h。</w:t>
                  </w:r>
                </w:p>
              </w:tc>
              <w:tc>
                <w:tcPr>
                  <w:tcW w:w="1113" w:type="dxa"/>
                  <w:tcBorders>
                    <w:tl2br w:val="nil"/>
                    <w:tr2bl w:val="nil"/>
                  </w:tcBorders>
                  <w:vAlign w:val="center"/>
                </w:tcPr>
                <w:p w14:paraId="4AFF5816">
                  <w:pPr>
                    <w:spacing w:line="300" w:lineRule="exact"/>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新增</w:t>
                  </w:r>
                </w:p>
              </w:tc>
            </w:tr>
            <w:tr w14:paraId="7C1E44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6427641C">
                  <w:pPr>
                    <w:widowControl/>
                    <w:spacing w:line="300" w:lineRule="exact"/>
                    <w:jc w:val="left"/>
                    <w:rPr>
                      <w:rFonts w:hint="default" w:ascii="Times New Roman" w:hAnsi="Times New Roman" w:cs="Times New Roman"/>
                      <w:color w:val="auto"/>
                      <w:sz w:val="18"/>
                      <w:szCs w:val="18"/>
                    </w:rPr>
                  </w:pPr>
                </w:p>
              </w:tc>
              <w:tc>
                <w:tcPr>
                  <w:tcW w:w="715" w:type="dxa"/>
                  <w:gridSpan w:val="2"/>
                  <w:vMerge w:val="continue"/>
                  <w:tcBorders>
                    <w:tl2br w:val="nil"/>
                    <w:tr2bl w:val="nil"/>
                  </w:tcBorders>
                  <w:vAlign w:val="center"/>
                </w:tcPr>
                <w:p w14:paraId="56386E79">
                  <w:pPr>
                    <w:spacing w:line="300" w:lineRule="exact"/>
                    <w:jc w:val="center"/>
                    <w:rPr>
                      <w:rFonts w:hint="default" w:ascii="Times New Roman" w:hAnsi="Times New Roman" w:cs="Times New Roman"/>
                      <w:color w:val="auto"/>
                      <w:sz w:val="18"/>
                      <w:szCs w:val="18"/>
                      <w:highlight w:val="yellow"/>
                    </w:rPr>
                  </w:pPr>
                </w:p>
              </w:tc>
              <w:tc>
                <w:tcPr>
                  <w:tcW w:w="1129" w:type="dxa"/>
                  <w:tcBorders>
                    <w:tl2br w:val="nil"/>
                    <w:tr2bl w:val="nil"/>
                  </w:tcBorders>
                  <w:vAlign w:val="center"/>
                </w:tcPr>
                <w:p w14:paraId="4DF2EBCD">
                  <w:pPr>
                    <w:spacing w:line="300" w:lineRule="exact"/>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净循环系统</w:t>
                  </w:r>
                </w:p>
              </w:tc>
              <w:tc>
                <w:tcPr>
                  <w:tcW w:w="4271" w:type="dxa"/>
                  <w:tcBorders>
                    <w:tl2br w:val="nil"/>
                    <w:tr2bl w:val="nil"/>
                  </w:tcBorders>
                  <w:vAlign w:val="center"/>
                </w:tcPr>
                <w:p w14:paraId="7B4CFB20">
                  <w:pPr>
                    <w:pStyle w:val="113"/>
                    <w:spacing w:line="300" w:lineRule="exact"/>
                    <w:ind w:firstLine="360" w:firstLineChars="200"/>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和现有的型钢生产线共用1套净循环水系统，循环水池容积680</w:t>
                  </w:r>
                  <w:r>
                    <w:rPr>
                      <w:rFonts w:hint="default" w:ascii="Times New Roman" w:hAnsi="Times New Roman" w:cs="Times New Roman"/>
                      <w:snapToGrid w:val="0"/>
                      <w:color w:val="auto"/>
                      <w:sz w:val="18"/>
                      <w:szCs w:val="18"/>
                    </w:rPr>
                    <w:t>m</w:t>
                  </w:r>
                  <w:r>
                    <w:rPr>
                      <w:rFonts w:hint="default" w:ascii="Times New Roman" w:hAnsi="Times New Roman" w:cs="Times New Roman"/>
                      <w:snapToGrid w:val="0"/>
                      <w:color w:val="auto"/>
                      <w:sz w:val="18"/>
                      <w:szCs w:val="18"/>
                      <w:vertAlign w:val="superscript"/>
                    </w:rPr>
                    <w:t>3</w:t>
                  </w:r>
                  <w:r>
                    <w:rPr>
                      <w:rFonts w:hint="default" w:ascii="Times New Roman" w:hAnsi="Times New Roman" w:cs="Times New Roman"/>
                      <w:color w:val="auto"/>
                      <w:sz w:val="18"/>
                      <w:szCs w:val="18"/>
                    </w:rPr>
                    <w:t>。</w:t>
                  </w:r>
                </w:p>
              </w:tc>
              <w:tc>
                <w:tcPr>
                  <w:tcW w:w="1113" w:type="dxa"/>
                  <w:tcBorders>
                    <w:tl2br w:val="nil"/>
                    <w:tr2bl w:val="nil"/>
                  </w:tcBorders>
                  <w:vAlign w:val="center"/>
                </w:tcPr>
                <w:p w14:paraId="534AEACB">
                  <w:pPr>
                    <w:spacing w:line="300" w:lineRule="exact"/>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和现有共用</w:t>
                  </w:r>
                </w:p>
              </w:tc>
            </w:tr>
            <w:tr w14:paraId="5F2368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8" w:type="dxa"/>
                  <w:vMerge w:val="continue"/>
                  <w:tcBorders>
                    <w:tl2br w:val="nil"/>
                    <w:tr2bl w:val="nil"/>
                  </w:tcBorders>
                  <w:vAlign w:val="center"/>
                </w:tcPr>
                <w:p w14:paraId="30345C99">
                  <w:pPr>
                    <w:widowControl/>
                    <w:spacing w:line="300" w:lineRule="exact"/>
                    <w:jc w:val="left"/>
                    <w:rPr>
                      <w:rFonts w:hint="default" w:ascii="Times New Roman" w:hAnsi="Times New Roman" w:cs="Times New Roman"/>
                      <w:color w:val="auto"/>
                      <w:sz w:val="18"/>
                      <w:szCs w:val="18"/>
                    </w:rPr>
                  </w:pPr>
                </w:p>
              </w:tc>
              <w:tc>
                <w:tcPr>
                  <w:tcW w:w="1844" w:type="dxa"/>
                  <w:gridSpan w:val="3"/>
                  <w:tcBorders>
                    <w:tl2br w:val="nil"/>
                    <w:tr2bl w:val="nil"/>
                  </w:tcBorders>
                  <w:vAlign w:val="center"/>
                </w:tcPr>
                <w:p w14:paraId="63D1203D">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供气</w:t>
                  </w:r>
                </w:p>
              </w:tc>
              <w:tc>
                <w:tcPr>
                  <w:tcW w:w="4271" w:type="dxa"/>
                  <w:tcBorders>
                    <w:tl2br w:val="nil"/>
                    <w:tr2bl w:val="nil"/>
                  </w:tcBorders>
                  <w:vAlign w:val="center"/>
                </w:tcPr>
                <w:p w14:paraId="68CEA903">
                  <w:pPr>
                    <w:spacing w:line="30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利用现有的加热炉，其供热已采用园区天然气管道供给的天然气。</w:t>
                  </w:r>
                </w:p>
              </w:tc>
              <w:tc>
                <w:tcPr>
                  <w:tcW w:w="1113" w:type="dxa"/>
                  <w:tcBorders>
                    <w:tl2br w:val="nil"/>
                    <w:tr2bl w:val="nil"/>
                  </w:tcBorders>
                  <w:vAlign w:val="center"/>
                </w:tcPr>
                <w:p w14:paraId="5B36C4A9">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利用现有</w:t>
                  </w:r>
                </w:p>
              </w:tc>
            </w:tr>
            <w:tr w14:paraId="2C3242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8" w:type="dxa"/>
                  <w:vMerge w:val="continue"/>
                  <w:tcBorders>
                    <w:tl2br w:val="nil"/>
                    <w:tr2bl w:val="nil"/>
                  </w:tcBorders>
                  <w:vAlign w:val="center"/>
                </w:tcPr>
                <w:p w14:paraId="6C785F68">
                  <w:pPr>
                    <w:widowControl/>
                    <w:spacing w:line="300" w:lineRule="exact"/>
                    <w:jc w:val="left"/>
                    <w:rPr>
                      <w:rFonts w:hint="default" w:ascii="Times New Roman" w:hAnsi="Times New Roman" w:cs="Times New Roman"/>
                      <w:color w:val="auto"/>
                      <w:sz w:val="18"/>
                      <w:szCs w:val="18"/>
                    </w:rPr>
                  </w:pPr>
                </w:p>
              </w:tc>
              <w:tc>
                <w:tcPr>
                  <w:tcW w:w="1844" w:type="dxa"/>
                  <w:gridSpan w:val="3"/>
                  <w:tcBorders>
                    <w:tl2br w:val="nil"/>
                    <w:tr2bl w:val="nil"/>
                  </w:tcBorders>
                  <w:vAlign w:val="center"/>
                </w:tcPr>
                <w:p w14:paraId="60F0F7F0">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软水站</w:t>
                  </w:r>
                </w:p>
              </w:tc>
              <w:tc>
                <w:tcPr>
                  <w:tcW w:w="4271" w:type="dxa"/>
                  <w:tcBorders>
                    <w:tl2br w:val="nil"/>
                    <w:tr2bl w:val="nil"/>
                  </w:tcBorders>
                  <w:vAlign w:val="center"/>
                </w:tcPr>
                <w:p w14:paraId="1764A667">
                  <w:pPr>
                    <w:spacing w:line="30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利用现有软水站</w:t>
                  </w:r>
                  <w:r>
                    <w:rPr>
                      <w:rFonts w:hint="default" w:ascii="Times New Roman" w:hAnsi="Times New Roman" w:cs="Times New Roman"/>
                      <w:snapToGrid w:val="0"/>
                      <w:color w:val="auto"/>
                      <w:sz w:val="18"/>
                      <w:szCs w:val="18"/>
                    </w:rPr>
                    <w:t>。</w:t>
                  </w:r>
                </w:p>
              </w:tc>
              <w:tc>
                <w:tcPr>
                  <w:tcW w:w="1113" w:type="dxa"/>
                  <w:tcBorders>
                    <w:tl2br w:val="nil"/>
                    <w:tr2bl w:val="nil"/>
                  </w:tcBorders>
                  <w:vAlign w:val="center"/>
                </w:tcPr>
                <w:p w14:paraId="0B508CB2">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利用现有</w:t>
                  </w:r>
                </w:p>
              </w:tc>
            </w:tr>
            <w:tr w14:paraId="247957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18" w:type="dxa"/>
                  <w:vMerge w:val="restart"/>
                  <w:tcBorders>
                    <w:tl2br w:val="nil"/>
                    <w:tr2bl w:val="nil"/>
                  </w:tcBorders>
                  <w:vAlign w:val="center"/>
                </w:tcPr>
                <w:p w14:paraId="1F3CB71D">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公用工程</w:t>
                  </w:r>
                </w:p>
              </w:tc>
              <w:tc>
                <w:tcPr>
                  <w:tcW w:w="1844" w:type="dxa"/>
                  <w:gridSpan w:val="3"/>
                  <w:tcBorders>
                    <w:tl2br w:val="nil"/>
                    <w:tr2bl w:val="nil"/>
                  </w:tcBorders>
                  <w:vAlign w:val="center"/>
                </w:tcPr>
                <w:p w14:paraId="7749934C">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办公区</w:t>
                  </w:r>
                </w:p>
              </w:tc>
              <w:tc>
                <w:tcPr>
                  <w:tcW w:w="4271" w:type="dxa"/>
                  <w:tcBorders>
                    <w:tl2br w:val="nil"/>
                    <w:tr2bl w:val="nil"/>
                  </w:tcBorders>
                  <w:vAlign w:val="center"/>
                </w:tcPr>
                <w:p w14:paraId="5CA4BA8D">
                  <w:pPr>
                    <w:spacing w:line="30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总占地256m</w:t>
                  </w:r>
                  <w:r>
                    <w:rPr>
                      <w:rFonts w:hint="default" w:ascii="Times New Roman" w:hAnsi="Times New Roman" w:cs="Times New Roman"/>
                      <w:color w:val="auto"/>
                      <w:kern w:val="0"/>
                      <w:sz w:val="18"/>
                      <w:szCs w:val="18"/>
                      <w:vertAlign w:val="superscript"/>
                      <w:lang w:bidi="ar"/>
                    </w:rPr>
                    <w:t>2</w:t>
                  </w:r>
                  <w:r>
                    <w:rPr>
                      <w:rFonts w:hint="default" w:ascii="Times New Roman" w:hAnsi="Times New Roman" w:cs="Times New Roman"/>
                      <w:color w:val="auto"/>
                      <w:kern w:val="0"/>
                      <w:sz w:val="18"/>
                      <w:szCs w:val="18"/>
                      <w:lang w:bidi="ar"/>
                    </w:rPr>
                    <w:t>，为1栋2层砖混结构，1栋2层钢架结构。</w:t>
                  </w:r>
                </w:p>
              </w:tc>
              <w:tc>
                <w:tcPr>
                  <w:tcW w:w="1113" w:type="dxa"/>
                  <w:tcBorders>
                    <w:tl2br w:val="nil"/>
                    <w:tr2bl w:val="nil"/>
                  </w:tcBorders>
                  <w:vAlign w:val="center"/>
                </w:tcPr>
                <w:p w14:paraId="36959B73">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利用现有</w:t>
                  </w:r>
                </w:p>
              </w:tc>
            </w:tr>
            <w:tr w14:paraId="5BEAEC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18" w:type="dxa"/>
                  <w:vMerge w:val="continue"/>
                  <w:tcBorders>
                    <w:tl2br w:val="nil"/>
                    <w:tr2bl w:val="nil"/>
                  </w:tcBorders>
                  <w:vAlign w:val="center"/>
                </w:tcPr>
                <w:p w14:paraId="5E248971">
                  <w:pPr>
                    <w:spacing w:line="300" w:lineRule="exact"/>
                    <w:jc w:val="center"/>
                    <w:rPr>
                      <w:rFonts w:hint="default" w:ascii="Times New Roman" w:hAnsi="Times New Roman" w:cs="Times New Roman"/>
                      <w:color w:val="auto"/>
                      <w:sz w:val="18"/>
                      <w:szCs w:val="18"/>
                    </w:rPr>
                  </w:pPr>
                </w:p>
              </w:tc>
              <w:tc>
                <w:tcPr>
                  <w:tcW w:w="1844" w:type="dxa"/>
                  <w:gridSpan w:val="3"/>
                  <w:tcBorders>
                    <w:tl2br w:val="nil"/>
                    <w:tr2bl w:val="nil"/>
                  </w:tcBorders>
                  <w:vAlign w:val="center"/>
                </w:tcPr>
                <w:p w14:paraId="3AB9A3D8">
                  <w:pPr>
                    <w:spacing w:line="300" w:lineRule="exact"/>
                    <w:jc w:val="center"/>
                    <w:rPr>
                      <w:rFonts w:hint="default" w:ascii="Times New Roman" w:hAnsi="Times New Roman" w:eastAsia="仿宋_GB2312" w:cs="Times New Roman"/>
                      <w:color w:val="auto"/>
                      <w:sz w:val="18"/>
                      <w:szCs w:val="18"/>
                    </w:rPr>
                  </w:pPr>
                  <w:r>
                    <w:rPr>
                      <w:rFonts w:hint="default" w:ascii="Times New Roman" w:hAnsi="Times New Roman" w:cs="Times New Roman"/>
                      <w:color w:val="auto"/>
                      <w:sz w:val="18"/>
                      <w:szCs w:val="18"/>
                    </w:rPr>
                    <w:t>磅房</w:t>
                  </w:r>
                </w:p>
              </w:tc>
              <w:tc>
                <w:tcPr>
                  <w:tcW w:w="4271" w:type="dxa"/>
                  <w:tcBorders>
                    <w:tl2br w:val="nil"/>
                    <w:tr2bl w:val="nil"/>
                  </w:tcBorders>
                  <w:vAlign w:val="center"/>
                </w:tcPr>
                <w:p w14:paraId="7ECF6F9B">
                  <w:pPr>
                    <w:spacing w:line="300" w:lineRule="exact"/>
                    <w:ind w:firstLine="360" w:firstLineChars="200"/>
                    <w:rPr>
                      <w:rFonts w:hint="default" w:ascii="Times New Roman" w:hAnsi="Times New Roman" w:eastAsia="仿宋_GB2312" w:cs="Times New Roman"/>
                      <w:color w:val="auto"/>
                      <w:sz w:val="18"/>
                      <w:szCs w:val="18"/>
                    </w:rPr>
                  </w:pPr>
                  <w:r>
                    <w:rPr>
                      <w:rFonts w:hint="default" w:ascii="Times New Roman" w:hAnsi="Times New Roman" w:cs="Times New Roman"/>
                      <w:color w:val="auto"/>
                      <w:sz w:val="18"/>
                      <w:szCs w:val="18"/>
                    </w:rPr>
                    <w:t>厂区建设有一个磅房，占地面积</w:t>
                  </w:r>
                  <w:r>
                    <w:rPr>
                      <w:rFonts w:hint="default" w:ascii="Times New Roman" w:hAnsi="Times New Roman" w:eastAsia="仿宋_GB2312" w:cs="Times New Roman"/>
                      <w:color w:val="auto"/>
                      <w:sz w:val="18"/>
                      <w:szCs w:val="18"/>
                    </w:rPr>
                    <w:t>10m</w:t>
                  </w:r>
                  <w:r>
                    <w:rPr>
                      <w:rFonts w:hint="default" w:ascii="Times New Roman" w:hAnsi="Times New Roman" w:eastAsia="仿宋_GB2312" w:cs="Times New Roman"/>
                      <w:color w:val="auto"/>
                      <w:sz w:val="18"/>
                      <w:szCs w:val="18"/>
                      <w:vertAlign w:val="superscript"/>
                    </w:rPr>
                    <w:t>2</w:t>
                  </w:r>
                  <w:r>
                    <w:rPr>
                      <w:rFonts w:hint="default" w:ascii="Times New Roman" w:hAnsi="Times New Roman" w:cs="Times New Roman"/>
                      <w:color w:val="auto"/>
                      <w:sz w:val="18"/>
                      <w:szCs w:val="18"/>
                    </w:rPr>
                    <w:t>。</w:t>
                  </w:r>
                </w:p>
              </w:tc>
              <w:tc>
                <w:tcPr>
                  <w:tcW w:w="1113" w:type="dxa"/>
                  <w:tcBorders>
                    <w:tl2br w:val="nil"/>
                    <w:tr2bl w:val="nil"/>
                  </w:tcBorders>
                  <w:vAlign w:val="center"/>
                </w:tcPr>
                <w:p w14:paraId="76F97ADA">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现有</w:t>
                  </w:r>
                </w:p>
              </w:tc>
            </w:tr>
            <w:tr w14:paraId="5679C0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18" w:type="dxa"/>
                  <w:vMerge w:val="continue"/>
                  <w:tcBorders>
                    <w:tl2br w:val="nil"/>
                    <w:tr2bl w:val="nil"/>
                  </w:tcBorders>
                  <w:vAlign w:val="center"/>
                </w:tcPr>
                <w:p w14:paraId="5E8420C5">
                  <w:pPr>
                    <w:spacing w:line="300" w:lineRule="exact"/>
                    <w:jc w:val="center"/>
                    <w:rPr>
                      <w:rFonts w:hint="default" w:ascii="Times New Roman" w:hAnsi="Times New Roman" w:cs="Times New Roman"/>
                      <w:color w:val="auto"/>
                      <w:sz w:val="18"/>
                      <w:szCs w:val="18"/>
                    </w:rPr>
                  </w:pPr>
                </w:p>
              </w:tc>
              <w:tc>
                <w:tcPr>
                  <w:tcW w:w="1844" w:type="dxa"/>
                  <w:gridSpan w:val="3"/>
                  <w:tcBorders>
                    <w:tl2br w:val="nil"/>
                    <w:tr2bl w:val="nil"/>
                  </w:tcBorders>
                  <w:vAlign w:val="center"/>
                </w:tcPr>
                <w:p w14:paraId="0DEA0853">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道路</w:t>
                  </w:r>
                </w:p>
              </w:tc>
              <w:tc>
                <w:tcPr>
                  <w:tcW w:w="4271" w:type="dxa"/>
                  <w:tcBorders>
                    <w:tl2br w:val="nil"/>
                    <w:tr2bl w:val="nil"/>
                  </w:tcBorders>
                  <w:vAlign w:val="center"/>
                </w:tcPr>
                <w:p w14:paraId="664E1B10">
                  <w:pPr>
                    <w:spacing w:line="30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厂坝和道路面积约790m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，均已硬化。</w:t>
                  </w:r>
                </w:p>
              </w:tc>
              <w:tc>
                <w:tcPr>
                  <w:tcW w:w="1113" w:type="dxa"/>
                  <w:tcBorders>
                    <w:tl2br w:val="nil"/>
                    <w:tr2bl w:val="nil"/>
                  </w:tcBorders>
                  <w:vAlign w:val="center"/>
                </w:tcPr>
                <w:p w14:paraId="5D711684">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现有</w:t>
                  </w:r>
                </w:p>
              </w:tc>
            </w:tr>
            <w:tr w14:paraId="540AF6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18" w:type="dxa"/>
                  <w:vMerge w:val="continue"/>
                  <w:tcBorders>
                    <w:tl2br w:val="nil"/>
                    <w:tr2bl w:val="nil"/>
                  </w:tcBorders>
                  <w:vAlign w:val="center"/>
                </w:tcPr>
                <w:p w14:paraId="17E4C784">
                  <w:pPr>
                    <w:spacing w:line="300" w:lineRule="exact"/>
                    <w:jc w:val="center"/>
                    <w:rPr>
                      <w:rFonts w:hint="default" w:ascii="Times New Roman" w:hAnsi="Times New Roman" w:cs="Times New Roman"/>
                      <w:color w:val="auto"/>
                      <w:sz w:val="18"/>
                      <w:szCs w:val="18"/>
                    </w:rPr>
                  </w:pPr>
                </w:p>
              </w:tc>
              <w:tc>
                <w:tcPr>
                  <w:tcW w:w="1844" w:type="dxa"/>
                  <w:gridSpan w:val="3"/>
                  <w:tcBorders>
                    <w:tl2br w:val="nil"/>
                    <w:tr2bl w:val="nil"/>
                  </w:tcBorders>
                  <w:vAlign w:val="center"/>
                </w:tcPr>
                <w:p w14:paraId="3EC6E227">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大门值班室</w:t>
                  </w:r>
                </w:p>
              </w:tc>
              <w:tc>
                <w:tcPr>
                  <w:tcW w:w="4271" w:type="dxa"/>
                  <w:tcBorders>
                    <w:tl2br w:val="nil"/>
                    <w:tr2bl w:val="nil"/>
                  </w:tcBorders>
                  <w:vAlign w:val="center"/>
                </w:tcPr>
                <w:p w14:paraId="6EDECBC8">
                  <w:pPr>
                    <w:spacing w:line="30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厂区进出口设置值班室，占地20m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w:t>
                  </w:r>
                </w:p>
              </w:tc>
              <w:tc>
                <w:tcPr>
                  <w:tcW w:w="1113" w:type="dxa"/>
                  <w:tcBorders>
                    <w:tl2br w:val="nil"/>
                    <w:tr2bl w:val="nil"/>
                  </w:tcBorders>
                  <w:vAlign w:val="center"/>
                </w:tcPr>
                <w:p w14:paraId="743C9AC9">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现有</w:t>
                  </w:r>
                </w:p>
              </w:tc>
            </w:tr>
            <w:tr w14:paraId="74039B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18" w:type="dxa"/>
                  <w:vMerge w:val="continue"/>
                  <w:tcBorders>
                    <w:tl2br w:val="nil"/>
                    <w:tr2bl w:val="nil"/>
                  </w:tcBorders>
                  <w:vAlign w:val="center"/>
                </w:tcPr>
                <w:p w14:paraId="43ACB6FA">
                  <w:pPr>
                    <w:spacing w:line="300" w:lineRule="exact"/>
                    <w:jc w:val="center"/>
                    <w:rPr>
                      <w:rFonts w:hint="default" w:ascii="Times New Roman" w:hAnsi="Times New Roman" w:cs="Times New Roman"/>
                      <w:color w:val="auto"/>
                      <w:sz w:val="18"/>
                      <w:szCs w:val="18"/>
                    </w:rPr>
                  </w:pPr>
                </w:p>
              </w:tc>
              <w:tc>
                <w:tcPr>
                  <w:tcW w:w="1844" w:type="dxa"/>
                  <w:gridSpan w:val="3"/>
                  <w:tcBorders>
                    <w:tl2br w:val="nil"/>
                    <w:tr2bl w:val="nil"/>
                  </w:tcBorders>
                  <w:vAlign w:val="center"/>
                </w:tcPr>
                <w:p w14:paraId="53F46DFC">
                  <w:pPr>
                    <w:autoSpaceDE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给水</w:t>
                  </w:r>
                </w:p>
              </w:tc>
              <w:tc>
                <w:tcPr>
                  <w:tcW w:w="4271" w:type="dxa"/>
                  <w:tcBorders>
                    <w:tl2br w:val="nil"/>
                    <w:tr2bl w:val="nil"/>
                  </w:tcBorders>
                  <w:vAlign w:val="center"/>
                </w:tcPr>
                <w:p w14:paraId="632C3C3A">
                  <w:pPr>
                    <w:spacing w:line="30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厂区生活和生产用水均统一由通海五金机里山园区给水管网供给。</w:t>
                  </w:r>
                </w:p>
              </w:tc>
              <w:tc>
                <w:tcPr>
                  <w:tcW w:w="1113" w:type="dxa"/>
                  <w:tcBorders>
                    <w:tl2br w:val="nil"/>
                    <w:tr2bl w:val="nil"/>
                  </w:tcBorders>
                  <w:vAlign w:val="center"/>
                </w:tcPr>
                <w:p w14:paraId="330F7B8D">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现有</w:t>
                  </w:r>
                </w:p>
              </w:tc>
            </w:tr>
            <w:tr w14:paraId="133880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18" w:type="dxa"/>
                  <w:vMerge w:val="continue"/>
                  <w:tcBorders>
                    <w:tl2br w:val="nil"/>
                    <w:tr2bl w:val="nil"/>
                  </w:tcBorders>
                  <w:vAlign w:val="center"/>
                </w:tcPr>
                <w:p w14:paraId="49611359">
                  <w:pPr>
                    <w:spacing w:line="300" w:lineRule="exact"/>
                    <w:jc w:val="center"/>
                    <w:rPr>
                      <w:rFonts w:hint="default" w:ascii="Times New Roman" w:hAnsi="Times New Roman" w:cs="Times New Roman"/>
                      <w:color w:val="auto"/>
                      <w:sz w:val="18"/>
                      <w:szCs w:val="18"/>
                    </w:rPr>
                  </w:pPr>
                </w:p>
              </w:tc>
              <w:tc>
                <w:tcPr>
                  <w:tcW w:w="1844" w:type="dxa"/>
                  <w:gridSpan w:val="3"/>
                  <w:tcBorders>
                    <w:tl2br w:val="nil"/>
                    <w:tr2bl w:val="nil"/>
                  </w:tcBorders>
                  <w:vAlign w:val="center"/>
                </w:tcPr>
                <w:p w14:paraId="2C302975">
                  <w:pPr>
                    <w:autoSpaceDE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供电</w:t>
                  </w:r>
                </w:p>
              </w:tc>
              <w:tc>
                <w:tcPr>
                  <w:tcW w:w="4271" w:type="dxa"/>
                  <w:tcBorders>
                    <w:tl2br w:val="nil"/>
                    <w:tr2bl w:val="nil"/>
                  </w:tcBorders>
                  <w:vAlign w:val="center"/>
                </w:tcPr>
                <w:p w14:paraId="4EB3251A">
                  <w:pPr>
                    <w:autoSpaceDE w:val="0"/>
                    <w:spacing w:line="30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本项目供电来自通海县里山工业园区市政电网，园区已经有完善的供电网络，供电电压为10kV。</w:t>
                  </w:r>
                </w:p>
              </w:tc>
              <w:tc>
                <w:tcPr>
                  <w:tcW w:w="1113" w:type="dxa"/>
                  <w:tcBorders>
                    <w:tl2br w:val="nil"/>
                    <w:tr2bl w:val="nil"/>
                  </w:tcBorders>
                  <w:vAlign w:val="center"/>
                </w:tcPr>
                <w:p w14:paraId="49A327BE">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现有</w:t>
                  </w:r>
                </w:p>
              </w:tc>
            </w:tr>
            <w:tr w14:paraId="2F5D09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1118" w:type="dxa"/>
                  <w:vMerge w:val="restart"/>
                  <w:tcBorders>
                    <w:tl2br w:val="nil"/>
                    <w:tr2bl w:val="nil"/>
                  </w:tcBorders>
                  <w:vAlign w:val="center"/>
                </w:tcPr>
                <w:p w14:paraId="79B733A7">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环保工程</w:t>
                  </w:r>
                </w:p>
              </w:tc>
              <w:tc>
                <w:tcPr>
                  <w:tcW w:w="614" w:type="dxa"/>
                  <w:tcBorders>
                    <w:tl2br w:val="nil"/>
                    <w:tr2bl w:val="nil"/>
                  </w:tcBorders>
                  <w:vAlign w:val="center"/>
                </w:tcPr>
                <w:p w14:paraId="04457DEA">
                  <w:pPr>
                    <w:pStyle w:val="4"/>
                    <w:autoSpaceDE w:val="0"/>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1230" w:type="dxa"/>
                  <w:gridSpan w:val="2"/>
                  <w:tcBorders>
                    <w:tl2br w:val="nil"/>
                    <w:tr2bl w:val="nil"/>
                  </w:tcBorders>
                  <w:vAlign w:val="center"/>
                </w:tcPr>
                <w:p w14:paraId="78FC3160">
                  <w:pPr>
                    <w:autoSpaceDE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加热炉废气</w:t>
                  </w:r>
                </w:p>
              </w:tc>
              <w:tc>
                <w:tcPr>
                  <w:tcW w:w="4271" w:type="dxa"/>
                  <w:tcBorders>
                    <w:tl2br w:val="nil"/>
                    <w:tr2bl w:val="nil"/>
                  </w:tcBorders>
                  <w:vAlign w:val="center"/>
                </w:tcPr>
                <w:p w14:paraId="7DFF38FE">
                  <w:pPr>
                    <w:autoSpaceDE w:val="0"/>
                    <w:spacing w:line="30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项目利用现有天然气加热炉，加热燃烧后的废气直接外排，排气筒高为20m，内径1.0m。</w:t>
                  </w:r>
                </w:p>
              </w:tc>
              <w:tc>
                <w:tcPr>
                  <w:tcW w:w="1113" w:type="dxa"/>
                  <w:tcBorders>
                    <w:tl2br w:val="nil"/>
                    <w:tr2bl w:val="nil"/>
                  </w:tcBorders>
                  <w:vAlign w:val="center"/>
                </w:tcPr>
                <w:p w14:paraId="433A51B3">
                  <w:pPr>
                    <w:autoSpaceDE w:val="0"/>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利用现有</w:t>
                  </w:r>
                </w:p>
              </w:tc>
            </w:tr>
            <w:tr w14:paraId="036FCC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118" w:type="dxa"/>
                  <w:vMerge w:val="continue"/>
                  <w:tcBorders>
                    <w:tl2br w:val="nil"/>
                    <w:tr2bl w:val="nil"/>
                  </w:tcBorders>
                  <w:vAlign w:val="center"/>
                </w:tcPr>
                <w:p w14:paraId="1F3DC7C6">
                  <w:pPr>
                    <w:pStyle w:val="4"/>
                    <w:spacing w:line="300" w:lineRule="exact"/>
                    <w:ind w:firstLine="0"/>
                    <w:jc w:val="center"/>
                    <w:rPr>
                      <w:rFonts w:hint="default" w:ascii="Times New Roman" w:hAnsi="Times New Roman" w:cs="Times New Roman"/>
                      <w:color w:val="auto"/>
                      <w:sz w:val="18"/>
                      <w:szCs w:val="18"/>
                    </w:rPr>
                  </w:pPr>
                </w:p>
              </w:tc>
              <w:tc>
                <w:tcPr>
                  <w:tcW w:w="614" w:type="dxa"/>
                  <w:vMerge w:val="restart"/>
                  <w:tcBorders>
                    <w:tl2br w:val="nil"/>
                    <w:tr2bl w:val="nil"/>
                  </w:tcBorders>
                  <w:vAlign w:val="center"/>
                </w:tcPr>
                <w:p w14:paraId="2025C23C">
                  <w:pPr>
                    <w:pStyle w:val="4"/>
                    <w:autoSpaceDE w:val="0"/>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1230" w:type="dxa"/>
                  <w:gridSpan w:val="2"/>
                  <w:tcBorders>
                    <w:tl2br w:val="nil"/>
                    <w:tr2bl w:val="nil"/>
                  </w:tcBorders>
                  <w:vAlign w:val="center"/>
                </w:tcPr>
                <w:p w14:paraId="63994053">
                  <w:pPr>
                    <w:pStyle w:val="33"/>
                    <w:adjustRightInd w:val="0"/>
                    <w:spacing w:before="0" w:after="0" w:line="300" w:lineRule="exact"/>
                    <w:ind w:firstLine="0" w:firstLineChars="0"/>
                    <w:jc w:val="center"/>
                    <w:rPr>
                      <w:rFonts w:hint="default" w:ascii="Times New Roman" w:hAnsi="Times New Roman" w:cs="Times New Roman"/>
                      <w:color w:val="auto"/>
                      <w:szCs w:val="18"/>
                    </w:rPr>
                  </w:pPr>
                  <w:r>
                    <w:rPr>
                      <w:rFonts w:hint="default" w:ascii="Times New Roman" w:hAnsi="Times New Roman" w:cs="Times New Roman"/>
                      <w:color w:val="auto"/>
                      <w:szCs w:val="18"/>
                    </w:rPr>
                    <w:t>生产废水</w:t>
                  </w:r>
                </w:p>
              </w:tc>
              <w:tc>
                <w:tcPr>
                  <w:tcW w:w="4271" w:type="dxa"/>
                  <w:tcBorders>
                    <w:tl2br w:val="nil"/>
                    <w:tr2bl w:val="nil"/>
                  </w:tcBorders>
                  <w:vAlign w:val="center"/>
                </w:tcPr>
                <w:p w14:paraId="0945A9C4">
                  <w:pPr>
                    <w:pStyle w:val="113"/>
                    <w:spacing w:line="30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厂区内软水站产生的排污水补充到生产线浊循环水系统。浊循环废水经沉淀处理后循环使用，不外排。</w:t>
                  </w:r>
                </w:p>
              </w:tc>
              <w:tc>
                <w:tcPr>
                  <w:tcW w:w="1113" w:type="dxa"/>
                  <w:tcBorders>
                    <w:tl2br w:val="nil"/>
                    <w:tr2bl w:val="nil"/>
                  </w:tcBorders>
                  <w:vAlign w:val="center"/>
                </w:tcPr>
                <w:p w14:paraId="508E701C">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新增浊循环，净循环为利用现有</w:t>
                  </w:r>
                </w:p>
              </w:tc>
            </w:tr>
            <w:tr w14:paraId="07ABC7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118" w:type="dxa"/>
                  <w:vMerge w:val="continue"/>
                  <w:tcBorders>
                    <w:tl2br w:val="nil"/>
                    <w:tr2bl w:val="nil"/>
                  </w:tcBorders>
                  <w:vAlign w:val="center"/>
                </w:tcPr>
                <w:p w14:paraId="73163388">
                  <w:pPr>
                    <w:pStyle w:val="4"/>
                    <w:spacing w:line="300" w:lineRule="exact"/>
                    <w:ind w:firstLine="0"/>
                    <w:jc w:val="center"/>
                    <w:rPr>
                      <w:rFonts w:hint="default" w:ascii="Times New Roman" w:hAnsi="Times New Roman" w:cs="Times New Roman"/>
                      <w:color w:val="auto"/>
                      <w:sz w:val="18"/>
                      <w:szCs w:val="18"/>
                    </w:rPr>
                  </w:pPr>
                </w:p>
              </w:tc>
              <w:tc>
                <w:tcPr>
                  <w:tcW w:w="614" w:type="dxa"/>
                  <w:vMerge w:val="continue"/>
                  <w:tcBorders>
                    <w:tl2br w:val="nil"/>
                    <w:tr2bl w:val="nil"/>
                  </w:tcBorders>
                  <w:vAlign w:val="center"/>
                </w:tcPr>
                <w:p w14:paraId="35C3DD85">
                  <w:pPr>
                    <w:pStyle w:val="4"/>
                    <w:autoSpaceDE w:val="0"/>
                    <w:spacing w:line="300" w:lineRule="exact"/>
                    <w:ind w:firstLine="0"/>
                    <w:jc w:val="center"/>
                    <w:rPr>
                      <w:rFonts w:hint="default" w:ascii="Times New Roman" w:hAnsi="Times New Roman" w:cs="Times New Roman"/>
                      <w:color w:val="auto"/>
                      <w:sz w:val="18"/>
                      <w:szCs w:val="18"/>
                    </w:rPr>
                  </w:pPr>
                </w:p>
              </w:tc>
              <w:tc>
                <w:tcPr>
                  <w:tcW w:w="1230" w:type="dxa"/>
                  <w:gridSpan w:val="2"/>
                  <w:tcBorders>
                    <w:tl2br w:val="nil"/>
                    <w:tr2bl w:val="nil"/>
                  </w:tcBorders>
                  <w:vAlign w:val="center"/>
                </w:tcPr>
                <w:p w14:paraId="36160D8F">
                  <w:pPr>
                    <w:pStyle w:val="33"/>
                    <w:adjustRightInd w:val="0"/>
                    <w:spacing w:before="0" w:after="0" w:line="300" w:lineRule="exact"/>
                    <w:ind w:firstLine="0" w:firstLineChars="0"/>
                    <w:jc w:val="center"/>
                    <w:rPr>
                      <w:rFonts w:hint="default" w:ascii="Times New Roman" w:hAnsi="Times New Roman" w:cs="Times New Roman"/>
                      <w:color w:val="auto"/>
                      <w:szCs w:val="18"/>
                    </w:rPr>
                  </w:pPr>
                  <w:r>
                    <w:rPr>
                      <w:rFonts w:hint="default" w:ascii="Times New Roman" w:hAnsi="Times New Roman" w:cs="Times New Roman"/>
                      <w:color w:val="auto"/>
                      <w:szCs w:val="18"/>
                    </w:rPr>
                    <w:t>生活污水</w:t>
                  </w:r>
                </w:p>
              </w:tc>
              <w:tc>
                <w:tcPr>
                  <w:tcW w:w="4271" w:type="dxa"/>
                  <w:tcBorders>
                    <w:tl2br w:val="nil"/>
                    <w:tr2bl w:val="nil"/>
                  </w:tcBorders>
                  <w:vAlign w:val="center"/>
                </w:tcPr>
                <w:p w14:paraId="0713036A">
                  <w:pPr>
                    <w:pStyle w:val="4"/>
                    <w:autoSpaceDE w:val="0"/>
                    <w:spacing w:line="30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1个10m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化粪池，经预处理排入园区污水管网。</w:t>
                  </w:r>
                </w:p>
              </w:tc>
              <w:tc>
                <w:tcPr>
                  <w:tcW w:w="1113" w:type="dxa"/>
                  <w:tcBorders>
                    <w:tl2br w:val="nil"/>
                    <w:tr2bl w:val="nil"/>
                  </w:tcBorders>
                  <w:vAlign w:val="center"/>
                </w:tcPr>
                <w:p w14:paraId="7F76B286">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现有</w:t>
                  </w:r>
                </w:p>
              </w:tc>
            </w:tr>
            <w:tr w14:paraId="7A961E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18" w:type="dxa"/>
                  <w:vMerge w:val="continue"/>
                  <w:tcBorders>
                    <w:tl2br w:val="nil"/>
                    <w:tr2bl w:val="nil"/>
                  </w:tcBorders>
                  <w:vAlign w:val="center"/>
                </w:tcPr>
                <w:p w14:paraId="641706A4">
                  <w:pPr>
                    <w:widowControl/>
                    <w:spacing w:line="300" w:lineRule="exact"/>
                    <w:jc w:val="left"/>
                    <w:rPr>
                      <w:rFonts w:hint="default" w:ascii="Times New Roman" w:hAnsi="Times New Roman" w:cs="Times New Roman"/>
                      <w:color w:val="auto"/>
                      <w:sz w:val="18"/>
                      <w:szCs w:val="18"/>
                    </w:rPr>
                  </w:pPr>
                </w:p>
              </w:tc>
              <w:tc>
                <w:tcPr>
                  <w:tcW w:w="614" w:type="dxa"/>
                  <w:vMerge w:val="continue"/>
                  <w:tcBorders>
                    <w:tl2br w:val="nil"/>
                    <w:tr2bl w:val="nil"/>
                  </w:tcBorders>
                  <w:vAlign w:val="center"/>
                </w:tcPr>
                <w:p w14:paraId="6266AB86">
                  <w:pPr>
                    <w:pStyle w:val="4"/>
                    <w:autoSpaceDE w:val="0"/>
                    <w:spacing w:line="300" w:lineRule="exact"/>
                    <w:ind w:firstLine="0"/>
                    <w:jc w:val="center"/>
                    <w:rPr>
                      <w:rFonts w:hint="default" w:ascii="Times New Roman" w:hAnsi="Times New Roman" w:cs="Times New Roman"/>
                      <w:color w:val="auto"/>
                      <w:sz w:val="18"/>
                      <w:szCs w:val="18"/>
                    </w:rPr>
                  </w:pPr>
                </w:p>
              </w:tc>
              <w:tc>
                <w:tcPr>
                  <w:tcW w:w="1230" w:type="dxa"/>
                  <w:gridSpan w:val="2"/>
                  <w:tcBorders>
                    <w:tl2br w:val="nil"/>
                    <w:tr2bl w:val="nil"/>
                  </w:tcBorders>
                  <w:vAlign w:val="center"/>
                </w:tcPr>
                <w:p w14:paraId="17CF2DBE">
                  <w:pPr>
                    <w:pStyle w:val="33"/>
                    <w:adjustRightInd w:val="0"/>
                    <w:spacing w:before="0" w:after="0" w:line="300" w:lineRule="exact"/>
                    <w:ind w:firstLine="0" w:firstLineChars="0"/>
                    <w:jc w:val="center"/>
                    <w:rPr>
                      <w:rFonts w:hint="default" w:ascii="Times New Roman" w:hAnsi="Times New Roman" w:cs="Times New Roman"/>
                      <w:color w:val="auto"/>
                      <w:szCs w:val="18"/>
                    </w:rPr>
                  </w:pPr>
                  <w:r>
                    <w:rPr>
                      <w:rFonts w:hint="default" w:ascii="Times New Roman" w:hAnsi="Times New Roman" w:cs="Times New Roman"/>
                      <w:color w:val="auto"/>
                      <w:szCs w:val="18"/>
                    </w:rPr>
                    <w:t>初期雨水</w:t>
                  </w:r>
                </w:p>
              </w:tc>
              <w:tc>
                <w:tcPr>
                  <w:tcW w:w="4271" w:type="dxa"/>
                  <w:tcBorders>
                    <w:tl2br w:val="nil"/>
                    <w:tr2bl w:val="nil"/>
                  </w:tcBorders>
                  <w:vAlign w:val="center"/>
                </w:tcPr>
                <w:p w14:paraId="021A8162">
                  <w:pPr>
                    <w:pStyle w:val="33"/>
                    <w:adjustRightInd w:val="0"/>
                    <w:spacing w:before="0" w:after="0" w:line="300" w:lineRule="exact"/>
                    <w:ind w:firstLine="360"/>
                    <w:jc w:val="left"/>
                    <w:rPr>
                      <w:rFonts w:hint="default" w:ascii="Times New Roman" w:hAnsi="Times New Roman" w:cs="Times New Roman"/>
                      <w:color w:val="auto"/>
                      <w:szCs w:val="18"/>
                    </w:rPr>
                  </w:pPr>
                  <w:r>
                    <w:rPr>
                      <w:rFonts w:hint="default" w:ascii="Times New Roman" w:hAnsi="Times New Roman" w:cs="Times New Roman"/>
                      <w:color w:val="auto"/>
                      <w:szCs w:val="18"/>
                    </w:rPr>
                    <w:t>厂区建有雨污分流系统，收集的初期雨水进入现有的初期雨水收集池（80</w:t>
                  </w:r>
                  <w:r>
                    <w:rPr>
                      <w:rFonts w:hint="default" w:ascii="Times New Roman" w:hAnsi="Times New Roman" w:cs="Times New Roman"/>
                      <w:snapToGrid w:val="0"/>
                      <w:color w:val="auto"/>
                      <w:szCs w:val="18"/>
                    </w:rPr>
                    <w:t>m</w:t>
                  </w:r>
                  <w:r>
                    <w:rPr>
                      <w:rFonts w:hint="default" w:ascii="Times New Roman" w:hAnsi="Times New Roman" w:cs="Times New Roman"/>
                      <w:snapToGrid w:val="0"/>
                      <w:color w:val="auto"/>
                      <w:szCs w:val="18"/>
                      <w:vertAlign w:val="superscript"/>
                    </w:rPr>
                    <w:t>3</w:t>
                  </w:r>
                  <w:r>
                    <w:rPr>
                      <w:rFonts w:hint="default" w:ascii="Times New Roman" w:hAnsi="Times New Roman" w:cs="Times New Roman"/>
                      <w:color w:val="auto"/>
                      <w:szCs w:val="18"/>
                    </w:rPr>
                    <w:t>）。</w:t>
                  </w:r>
                </w:p>
              </w:tc>
              <w:tc>
                <w:tcPr>
                  <w:tcW w:w="1113" w:type="dxa"/>
                  <w:tcBorders>
                    <w:tl2br w:val="nil"/>
                    <w:tr2bl w:val="nil"/>
                  </w:tcBorders>
                  <w:vAlign w:val="center"/>
                </w:tcPr>
                <w:p w14:paraId="4DE23849">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依托现有</w:t>
                  </w:r>
                </w:p>
              </w:tc>
            </w:tr>
            <w:tr w14:paraId="24D5E7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18" w:type="dxa"/>
                  <w:vMerge w:val="continue"/>
                  <w:tcBorders>
                    <w:tl2br w:val="nil"/>
                    <w:tr2bl w:val="nil"/>
                  </w:tcBorders>
                  <w:vAlign w:val="center"/>
                </w:tcPr>
                <w:p w14:paraId="6C18B2F3">
                  <w:pPr>
                    <w:widowControl/>
                    <w:spacing w:line="300" w:lineRule="exact"/>
                    <w:jc w:val="left"/>
                    <w:rPr>
                      <w:rFonts w:hint="default" w:ascii="Times New Roman" w:hAnsi="Times New Roman" w:cs="Times New Roman"/>
                      <w:color w:val="auto"/>
                      <w:sz w:val="18"/>
                      <w:szCs w:val="18"/>
                    </w:rPr>
                  </w:pPr>
                </w:p>
              </w:tc>
              <w:tc>
                <w:tcPr>
                  <w:tcW w:w="614" w:type="dxa"/>
                  <w:vMerge w:val="restart"/>
                  <w:tcBorders>
                    <w:tl2br w:val="nil"/>
                    <w:tr2bl w:val="nil"/>
                  </w:tcBorders>
                  <w:vAlign w:val="center"/>
                </w:tcPr>
                <w:p w14:paraId="0A95FF34">
                  <w:pPr>
                    <w:pStyle w:val="4"/>
                    <w:autoSpaceDE w:val="0"/>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w:t>
                  </w:r>
                </w:p>
              </w:tc>
              <w:tc>
                <w:tcPr>
                  <w:tcW w:w="1230" w:type="dxa"/>
                  <w:gridSpan w:val="2"/>
                  <w:tcBorders>
                    <w:tl2br w:val="nil"/>
                    <w:tr2bl w:val="nil"/>
                  </w:tcBorders>
                  <w:vAlign w:val="center"/>
                </w:tcPr>
                <w:p w14:paraId="376C2929">
                  <w:pPr>
                    <w:pStyle w:val="4"/>
                    <w:autoSpaceDE w:val="0"/>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生活垃圾</w:t>
                  </w:r>
                </w:p>
              </w:tc>
              <w:tc>
                <w:tcPr>
                  <w:tcW w:w="4271" w:type="dxa"/>
                  <w:tcBorders>
                    <w:tl2br w:val="nil"/>
                    <w:tr2bl w:val="nil"/>
                  </w:tcBorders>
                  <w:vAlign w:val="center"/>
                </w:tcPr>
                <w:p w14:paraId="4B73D75F">
                  <w:pPr>
                    <w:pStyle w:val="4"/>
                    <w:autoSpaceDE w:val="0"/>
                    <w:spacing w:line="30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垃圾箱3个，垃圾桶均匀分布，利用现有生活垃圾收集系统。</w:t>
                  </w:r>
                </w:p>
              </w:tc>
              <w:tc>
                <w:tcPr>
                  <w:tcW w:w="1113" w:type="dxa"/>
                  <w:tcBorders>
                    <w:tl2br w:val="nil"/>
                    <w:tr2bl w:val="nil"/>
                  </w:tcBorders>
                  <w:vAlign w:val="center"/>
                </w:tcPr>
                <w:p w14:paraId="361A2A4F">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依托现有</w:t>
                  </w:r>
                </w:p>
              </w:tc>
            </w:tr>
            <w:tr w14:paraId="668F81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18" w:type="dxa"/>
                  <w:vMerge w:val="continue"/>
                  <w:tcBorders>
                    <w:tl2br w:val="nil"/>
                    <w:tr2bl w:val="nil"/>
                  </w:tcBorders>
                  <w:vAlign w:val="center"/>
                </w:tcPr>
                <w:p w14:paraId="3D1FDCD1">
                  <w:pPr>
                    <w:widowControl/>
                    <w:spacing w:line="300" w:lineRule="exact"/>
                    <w:jc w:val="left"/>
                    <w:rPr>
                      <w:rFonts w:hint="default" w:ascii="Times New Roman" w:hAnsi="Times New Roman" w:cs="Times New Roman"/>
                      <w:color w:val="auto"/>
                      <w:sz w:val="18"/>
                      <w:szCs w:val="18"/>
                    </w:rPr>
                  </w:pPr>
                </w:p>
              </w:tc>
              <w:tc>
                <w:tcPr>
                  <w:tcW w:w="614" w:type="dxa"/>
                  <w:vMerge w:val="continue"/>
                  <w:tcBorders>
                    <w:tl2br w:val="nil"/>
                    <w:tr2bl w:val="nil"/>
                  </w:tcBorders>
                  <w:vAlign w:val="center"/>
                </w:tcPr>
                <w:p w14:paraId="0A670F4D">
                  <w:pPr>
                    <w:pStyle w:val="4"/>
                    <w:autoSpaceDE w:val="0"/>
                    <w:spacing w:line="300" w:lineRule="exact"/>
                    <w:ind w:firstLine="0"/>
                    <w:jc w:val="center"/>
                    <w:rPr>
                      <w:rFonts w:hint="default" w:ascii="Times New Roman" w:hAnsi="Times New Roman" w:cs="Times New Roman"/>
                      <w:color w:val="auto"/>
                      <w:sz w:val="18"/>
                      <w:szCs w:val="18"/>
                    </w:rPr>
                  </w:pPr>
                </w:p>
              </w:tc>
              <w:tc>
                <w:tcPr>
                  <w:tcW w:w="1230" w:type="dxa"/>
                  <w:gridSpan w:val="2"/>
                  <w:tcBorders>
                    <w:tl2br w:val="nil"/>
                    <w:tr2bl w:val="nil"/>
                  </w:tcBorders>
                  <w:vAlign w:val="center"/>
                </w:tcPr>
                <w:p w14:paraId="2EC2BA7D">
                  <w:pPr>
                    <w:pStyle w:val="4"/>
                    <w:autoSpaceDE w:val="0"/>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废机油</w:t>
                  </w:r>
                </w:p>
              </w:tc>
              <w:tc>
                <w:tcPr>
                  <w:tcW w:w="4271" w:type="dxa"/>
                  <w:tcBorders>
                    <w:tl2br w:val="nil"/>
                    <w:tr2bl w:val="nil"/>
                  </w:tcBorders>
                  <w:vAlign w:val="center"/>
                </w:tcPr>
                <w:p w14:paraId="7F792C1E">
                  <w:pPr>
                    <w:pStyle w:val="4"/>
                    <w:autoSpaceDE w:val="0"/>
                    <w:spacing w:line="30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厂内现有一座5m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危险废物贮存库，然后返回对设备进行润滑使用，在厂区内能自行利用。</w:t>
                  </w:r>
                </w:p>
              </w:tc>
              <w:tc>
                <w:tcPr>
                  <w:tcW w:w="1113" w:type="dxa"/>
                  <w:tcBorders>
                    <w:tl2br w:val="nil"/>
                    <w:tr2bl w:val="nil"/>
                  </w:tcBorders>
                  <w:vAlign w:val="center"/>
                </w:tcPr>
                <w:p w14:paraId="669E6B83">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依托现有</w:t>
                  </w:r>
                </w:p>
              </w:tc>
            </w:tr>
            <w:tr w14:paraId="695E50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18" w:type="dxa"/>
                  <w:vMerge w:val="continue"/>
                  <w:tcBorders>
                    <w:tl2br w:val="nil"/>
                    <w:tr2bl w:val="nil"/>
                  </w:tcBorders>
                  <w:vAlign w:val="center"/>
                </w:tcPr>
                <w:p w14:paraId="2A583CE7">
                  <w:pPr>
                    <w:widowControl/>
                    <w:spacing w:line="300" w:lineRule="exact"/>
                    <w:jc w:val="left"/>
                    <w:rPr>
                      <w:rFonts w:hint="default" w:ascii="Times New Roman" w:hAnsi="Times New Roman" w:cs="Times New Roman"/>
                      <w:color w:val="auto"/>
                      <w:sz w:val="18"/>
                      <w:szCs w:val="18"/>
                    </w:rPr>
                  </w:pPr>
                </w:p>
              </w:tc>
              <w:tc>
                <w:tcPr>
                  <w:tcW w:w="1844" w:type="dxa"/>
                  <w:gridSpan w:val="3"/>
                  <w:tcBorders>
                    <w:tl2br w:val="nil"/>
                    <w:tr2bl w:val="nil"/>
                  </w:tcBorders>
                  <w:vAlign w:val="center"/>
                </w:tcPr>
                <w:p w14:paraId="162532D3">
                  <w:pPr>
                    <w:pStyle w:val="4"/>
                    <w:autoSpaceDE w:val="0"/>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w:t>
                  </w:r>
                </w:p>
              </w:tc>
              <w:tc>
                <w:tcPr>
                  <w:tcW w:w="4271" w:type="dxa"/>
                  <w:tcBorders>
                    <w:tl2br w:val="nil"/>
                    <w:tr2bl w:val="nil"/>
                  </w:tcBorders>
                  <w:vAlign w:val="center"/>
                </w:tcPr>
                <w:p w14:paraId="2C1B9861">
                  <w:pPr>
                    <w:pStyle w:val="4"/>
                    <w:autoSpaceDE w:val="0"/>
                    <w:spacing w:line="30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对主要新增的产噪设备轧机、电锯、矫直机等进行减振、消声。</w:t>
                  </w:r>
                </w:p>
              </w:tc>
              <w:tc>
                <w:tcPr>
                  <w:tcW w:w="1113" w:type="dxa"/>
                  <w:tcBorders>
                    <w:tl2br w:val="nil"/>
                    <w:tr2bl w:val="nil"/>
                  </w:tcBorders>
                  <w:vAlign w:val="center"/>
                </w:tcPr>
                <w:p w14:paraId="39B17EE8">
                  <w:pPr>
                    <w:pStyle w:val="4"/>
                    <w:spacing w:line="300" w:lineRule="exact"/>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部分新增</w:t>
                  </w:r>
                </w:p>
              </w:tc>
            </w:tr>
          </w:tbl>
          <w:p w14:paraId="62458CB0">
            <w:pPr>
              <w:adjustRightInd w:val="0"/>
              <w:snapToGrid w:val="0"/>
              <w:spacing w:before="120" w:beforeLines="50" w:line="360" w:lineRule="auto"/>
              <w:jc w:val="left"/>
              <w:rPr>
                <w:rFonts w:hint="default" w:ascii="Times New Roman" w:hAnsi="Times New Roman" w:eastAsia="黑体" w:cs="Times New Roman"/>
                <w:bCs/>
                <w:color w:val="auto"/>
                <w:sz w:val="24"/>
              </w:rPr>
            </w:pPr>
            <w:bookmarkStart w:id="53" w:name="_Toc21581"/>
            <w:bookmarkStart w:id="54" w:name="_Toc577"/>
            <w:r>
              <w:rPr>
                <w:rFonts w:hint="default" w:ascii="Times New Roman" w:hAnsi="Times New Roman" w:eastAsia="黑体" w:cs="Times New Roman"/>
                <w:bCs/>
                <w:color w:val="auto"/>
                <w:sz w:val="24"/>
              </w:rPr>
              <w:t>2.2在建项目产品方案</w:t>
            </w:r>
            <w:bookmarkEnd w:id="53"/>
            <w:bookmarkEnd w:id="54"/>
          </w:p>
          <w:p w14:paraId="213316C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在建技改项目属于产品产量的替代，增加产品类型，利用现有型钢生产线的加热炉，现有30万吨型钢产量技改前后均不变，其中本次技改新增的轧线替代后生产20万吨槽钢和角钢，利用现有的轧线生产10万吨工字钢，其实际情况根据市场行情交替轮换轧机线生产不同产品。</w:t>
            </w:r>
          </w:p>
          <w:p w14:paraId="3FFCA34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本次技改后项目产品方案如下：</w:t>
            </w:r>
          </w:p>
          <w:p w14:paraId="5A10F1B3">
            <w:pPr>
              <w:pStyle w:val="111"/>
              <w:spacing w:line="360" w:lineRule="auto"/>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表2-16   技改后项目型钢生产规模及产品方案</w:t>
            </w:r>
          </w:p>
          <w:tbl>
            <w:tblPr>
              <w:tblStyle w:val="35"/>
              <w:tblW w:w="8343"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3658"/>
              <w:gridCol w:w="1568"/>
              <w:gridCol w:w="1959"/>
            </w:tblGrid>
            <w:tr w14:paraId="692527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8" w:type="dxa"/>
                  <w:tcBorders>
                    <w:tl2br w:val="nil"/>
                    <w:tr2bl w:val="nil"/>
                  </w:tcBorders>
                  <w:vAlign w:val="center"/>
                </w:tcPr>
                <w:p w14:paraId="5715331F">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序号</w:t>
                  </w:r>
                </w:p>
              </w:tc>
              <w:tc>
                <w:tcPr>
                  <w:tcW w:w="3658" w:type="dxa"/>
                  <w:tcBorders>
                    <w:tl2br w:val="nil"/>
                    <w:tr2bl w:val="nil"/>
                  </w:tcBorders>
                  <w:vAlign w:val="center"/>
                </w:tcPr>
                <w:p w14:paraId="635716F5">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产品名称</w:t>
                  </w:r>
                </w:p>
              </w:tc>
              <w:tc>
                <w:tcPr>
                  <w:tcW w:w="1568" w:type="dxa"/>
                  <w:tcBorders>
                    <w:tl2br w:val="nil"/>
                    <w:tr2bl w:val="nil"/>
                  </w:tcBorders>
                  <w:vAlign w:val="center"/>
                </w:tcPr>
                <w:p w14:paraId="1F18A805">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单位</w:t>
                  </w:r>
                </w:p>
              </w:tc>
              <w:tc>
                <w:tcPr>
                  <w:tcW w:w="1959" w:type="dxa"/>
                  <w:tcBorders>
                    <w:tl2br w:val="nil"/>
                    <w:tr2bl w:val="nil"/>
                  </w:tcBorders>
                  <w:vAlign w:val="center"/>
                </w:tcPr>
                <w:p w14:paraId="0FF29AB1">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数量</w:t>
                  </w:r>
                </w:p>
              </w:tc>
            </w:tr>
            <w:tr w14:paraId="2506A3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8" w:type="dxa"/>
                  <w:tcBorders>
                    <w:tl2br w:val="nil"/>
                    <w:tr2bl w:val="nil"/>
                  </w:tcBorders>
                  <w:vAlign w:val="center"/>
                </w:tcPr>
                <w:p w14:paraId="517209F3">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一</w:t>
                  </w:r>
                </w:p>
              </w:tc>
              <w:tc>
                <w:tcPr>
                  <w:tcW w:w="7185" w:type="dxa"/>
                  <w:gridSpan w:val="3"/>
                  <w:tcBorders>
                    <w:tl2br w:val="nil"/>
                    <w:tr2bl w:val="nil"/>
                  </w:tcBorders>
                  <w:vAlign w:val="center"/>
                </w:tcPr>
                <w:p w14:paraId="1EF48107">
                  <w:pPr>
                    <w:jc w:val="center"/>
                    <w:rPr>
                      <w:rFonts w:hint="default" w:ascii="Times New Roman" w:hAnsi="Times New Roman" w:cs="Times New Roman"/>
                      <w:bCs/>
                      <w:color w:val="auto"/>
                      <w:sz w:val="18"/>
                      <w:szCs w:val="18"/>
                    </w:rPr>
                  </w:pPr>
                  <w:r>
                    <w:rPr>
                      <w:rFonts w:hint="default" w:ascii="Times New Roman" w:hAnsi="Times New Roman" w:cs="Times New Roman"/>
                      <w:b/>
                      <w:color w:val="auto"/>
                      <w:sz w:val="18"/>
                      <w:szCs w:val="18"/>
                    </w:rPr>
                    <w:t>槽钢（新建轧线）</w:t>
                  </w:r>
                </w:p>
              </w:tc>
            </w:tr>
            <w:tr w14:paraId="18F1BB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8" w:type="dxa"/>
                  <w:tcBorders>
                    <w:tl2br w:val="nil"/>
                    <w:tr2bl w:val="nil"/>
                  </w:tcBorders>
                  <w:vAlign w:val="center"/>
                </w:tcPr>
                <w:p w14:paraId="0ABCAF3E">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w:t>
                  </w:r>
                </w:p>
              </w:tc>
              <w:tc>
                <w:tcPr>
                  <w:tcW w:w="3658" w:type="dxa"/>
                  <w:tcBorders>
                    <w:tl2br w:val="nil"/>
                    <w:tr2bl w:val="nil"/>
                  </w:tcBorders>
                  <w:vAlign w:val="center"/>
                </w:tcPr>
                <w:p w14:paraId="039B834B">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5#槽钢</w:t>
                  </w:r>
                </w:p>
              </w:tc>
              <w:tc>
                <w:tcPr>
                  <w:tcW w:w="1568" w:type="dxa"/>
                  <w:tcBorders>
                    <w:tl2br w:val="nil"/>
                    <w:tr2bl w:val="nil"/>
                  </w:tcBorders>
                  <w:vAlign w:val="center"/>
                </w:tcPr>
                <w:p w14:paraId="00087658">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万吨</w:t>
                  </w:r>
                </w:p>
              </w:tc>
              <w:tc>
                <w:tcPr>
                  <w:tcW w:w="1959" w:type="dxa"/>
                  <w:tcBorders>
                    <w:tl2br w:val="nil"/>
                    <w:tr2bl w:val="nil"/>
                  </w:tcBorders>
                  <w:vAlign w:val="center"/>
                </w:tcPr>
                <w:p w14:paraId="5FB0B3E2">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w:t>
                  </w:r>
                </w:p>
              </w:tc>
            </w:tr>
            <w:tr w14:paraId="2A29CD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8" w:type="dxa"/>
                  <w:tcBorders>
                    <w:tl2br w:val="nil"/>
                    <w:tr2bl w:val="nil"/>
                  </w:tcBorders>
                  <w:vAlign w:val="center"/>
                </w:tcPr>
                <w:p w14:paraId="0CB2C8D0">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3658" w:type="dxa"/>
                  <w:tcBorders>
                    <w:tl2br w:val="nil"/>
                    <w:tr2bl w:val="nil"/>
                  </w:tcBorders>
                  <w:vAlign w:val="center"/>
                </w:tcPr>
                <w:p w14:paraId="41CE8697">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6.3#槽钢</w:t>
                  </w:r>
                </w:p>
              </w:tc>
              <w:tc>
                <w:tcPr>
                  <w:tcW w:w="1568" w:type="dxa"/>
                  <w:tcBorders>
                    <w:tl2br w:val="nil"/>
                    <w:tr2bl w:val="nil"/>
                  </w:tcBorders>
                  <w:vAlign w:val="center"/>
                </w:tcPr>
                <w:p w14:paraId="2B0E1D15">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万吨</w:t>
                  </w:r>
                </w:p>
              </w:tc>
              <w:tc>
                <w:tcPr>
                  <w:tcW w:w="1959" w:type="dxa"/>
                  <w:tcBorders>
                    <w:tl2br w:val="nil"/>
                    <w:tr2bl w:val="nil"/>
                  </w:tcBorders>
                  <w:vAlign w:val="center"/>
                </w:tcPr>
                <w:p w14:paraId="577E7A61">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w:t>
                  </w:r>
                </w:p>
              </w:tc>
            </w:tr>
            <w:tr w14:paraId="292ABE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8" w:type="dxa"/>
                  <w:tcBorders>
                    <w:tl2br w:val="nil"/>
                    <w:tr2bl w:val="nil"/>
                  </w:tcBorders>
                  <w:vAlign w:val="center"/>
                </w:tcPr>
                <w:p w14:paraId="20C087A6">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w:t>
                  </w:r>
                </w:p>
              </w:tc>
              <w:tc>
                <w:tcPr>
                  <w:tcW w:w="3658" w:type="dxa"/>
                  <w:tcBorders>
                    <w:tl2br w:val="nil"/>
                    <w:tr2bl w:val="nil"/>
                  </w:tcBorders>
                  <w:vAlign w:val="center"/>
                </w:tcPr>
                <w:p w14:paraId="1520BFD4">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8#槽钢</w:t>
                  </w:r>
                </w:p>
              </w:tc>
              <w:tc>
                <w:tcPr>
                  <w:tcW w:w="1568" w:type="dxa"/>
                  <w:tcBorders>
                    <w:tl2br w:val="nil"/>
                    <w:tr2bl w:val="nil"/>
                  </w:tcBorders>
                  <w:vAlign w:val="center"/>
                </w:tcPr>
                <w:p w14:paraId="246BD74C">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万吨</w:t>
                  </w:r>
                </w:p>
              </w:tc>
              <w:tc>
                <w:tcPr>
                  <w:tcW w:w="1959" w:type="dxa"/>
                  <w:tcBorders>
                    <w:tl2br w:val="nil"/>
                    <w:tr2bl w:val="nil"/>
                  </w:tcBorders>
                  <w:vAlign w:val="center"/>
                </w:tcPr>
                <w:p w14:paraId="582F49B0">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w:t>
                  </w:r>
                </w:p>
              </w:tc>
            </w:tr>
            <w:tr w14:paraId="21173D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8" w:type="dxa"/>
                  <w:tcBorders>
                    <w:tl2br w:val="nil"/>
                    <w:tr2bl w:val="nil"/>
                  </w:tcBorders>
                  <w:vAlign w:val="center"/>
                </w:tcPr>
                <w:p w14:paraId="67EB69B4">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4</w:t>
                  </w:r>
                </w:p>
              </w:tc>
              <w:tc>
                <w:tcPr>
                  <w:tcW w:w="3658" w:type="dxa"/>
                  <w:tcBorders>
                    <w:tl2br w:val="nil"/>
                    <w:tr2bl w:val="nil"/>
                  </w:tcBorders>
                  <w:vAlign w:val="center"/>
                </w:tcPr>
                <w:p w14:paraId="4D4315E7">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10#槽钢</w:t>
                  </w:r>
                </w:p>
              </w:tc>
              <w:tc>
                <w:tcPr>
                  <w:tcW w:w="1568" w:type="dxa"/>
                  <w:tcBorders>
                    <w:tl2br w:val="nil"/>
                    <w:tr2bl w:val="nil"/>
                  </w:tcBorders>
                  <w:vAlign w:val="center"/>
                </w:tcPr>
                <w:p w14:paraId="21AC0DE5">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万吨</w:t>
                  </w:r>
                </w:p>
              </w:tc>
              <w:tc>
                <w:tcPr>
                  <w:tcW w:w="1959" w:type="dxa"/>
                  <w:tcBorders>
                    <w:tl2br w:val="nil"/>
                    <w:tr2bl w:val="nil"/>
                  </w:tcBorders>
                  <w:vAlign w:val="center"/>
                </w:tcPr>
                <w:p w14:paraId="609DCEE6">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r>
            <w:tr w14:paraId="27D121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8" w:type="dxa"/>
                  <w:tcBorders>
                    <w:tl2br w:val="nil"/>
                    <w:tr2bl w:val="nil"/>
                  </w:tcBorders>
                  <w:vAlign w:val="center"/>
                </w:tcPr>
                <w:p w14:paraId="138DD9FE">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5</w:t>
                  </w:r>
                </w:p>
              </w:tc>
              <w:tc>
                <w:tcPr>
                  <w:tcW w:w="3658" w:type="dxa"/>
                  <w:tcBorders>
                    <w:tl2br w:val="nil"/>
                    <w:tr2bl w:val="nil"/>
                  </w:tcBorders>
                  <w:vAlign w:val="center"/>
                </w:tcPr>
                <w:p w14:paraId="43F09694">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12#槽钢</w:t>
                  </w:r>
                </w:p>
              </w:tc>
              <w:tc>
                <w:tcPr>
                  <w:tcW w:w="1568" w:type="dxa"/>
                  <w:tcBorders>
                    <w:tl2br w:val="nil"/>
                    <w:tr2bl w:val="nil"/>
                  </w:tcBorders>
                  <w:vAlign w:val="center"/>
                </w:tcPr>
                <w:p w14:paraId="7FCD732B">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万吨</w:t>
                  </w:r>
                </w:p>
              </w:tc>
              <w:tc>
                <w:tcPr>
                  <w:tcW w:w="1959" w:type="dxa"/>
                  <w:tcBorders>
                    <w:tl2br w:val="nil"/>
                    <w:tr2bl w:val="nil"/>
                  </w:tcBorders>
                  <w:vAlign w:val="center"/>
                </w:tcPr>
                <w:p w14:paraId="07C83CCC">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w:t>
                  </w:r>
                </w:p>
              </w:tc>
            </w:tr>
            <w:tr w14:paraId="4176CD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8" w:type="dxa"/>
                  <w:tcBorders>
                    <w:tl2br w:val="nil"/>
                    <w:tr2bl w:val="nil"/>
                  </w:tcBorders>
                  <w:vAlign w:val="center"/>
                </w:tcPr>
                <w:p w14:paraId="1CFDDDC0">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6</w:t>
                  </w:r>
                </w:p>
              </w:tc>
              <w:tc>
                <w:tcPr>
                  <w:tcW w:w="3658" w:type="dxa"/>
                  <w:tcBorders>
                    <w:tl2br w:val="nil"/>
                    <w:tr2bl w:val="nil"/>
                  </w:tcBorders>
                  <w:vAlign w:val="center"/>
                </w:tcPr>
                <w:p w14:paraId="5230CA78">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14#槽钢</w:t>
                  </w:r>
                </w:p>
              </w:tc>
              <w:tc>
                <w:tcPr>
                  <w:tcW w:w="1568" w:type="dxa"/>
                  <w:tcBorders>
                    <w:tl2br w:val="nil"/>
                    <w:tr2bl w:val="nil"/>
                  </w:tcBorders>
                  <w:vAlign w:val="center"/>
                </w:tcPr>
                <w:p w14:paraId="34D42E84">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万吨</w:t>
                  </w:r>
                </w:p>
              </w:tc>
              <w:tc>
                <w:tcPr>
                  <w:tcW w:w="1959" w:type="dxa"/>
                  <w:tcBorders>
                    <w:tl2br w:val="nil"/>
                    <w:tr2bl w:val="nil"/>
                  </w:tcBorders>
                  <w:vAlign w:val="center"/>
                </w:tcPr>
                <w:p w14:paraId="4B095E63">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r>
            <w:tr w14:paraId="4B9C4F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16" w:type="dxa"/>
                  <w:gridSpan w:val="2"/>
                  <w:tcBorders>
                    <w:tl2br w:val="nil"/>
                    <w:tr2bl w:val="nil"/>
                  </w:tcBorders>
                  <w:vAlign w:val="center"/>
                </w:tcPr>
                <w:p w14:paraId="05A4C0A5">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小计</w:t>
                  </w:r>
                </w:p>
              </w:tc>
              <w:tc>
                <w:tcPr>
                  <w:tcW w:w="1568" w:type="dxa"/>
                  <w:tcBorders>
                    <w:tl2br w:val="nil"/>
                    <w:tr2bl w:val="nil"/>
                  </w:tcBorders>
                  <w:vAlign w:val="center"/>
                </w:tcPr>
                <w:p w14:paraId="1C7F1C69">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万吨</w:t>
                  </w:r>
                </w:p>
              </w:tc>
              <w:tc>
                <w:tcPr>
                  <w:tcW w:w="1959" w:type="dxa"/>
                  <w:tcBorders>
                    <w:tl2br w:val="nil"/>
                    <w:tr2bl w:val="nil"/>
                  </w:tcBorders>
                  <w:vAlign w:val="center"/>
                </w:tcPr>
                <w:p w14:paraId="5371B0E6">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10</w:t>
                  </w:r>
                </w:p>
              </w:tc>
            </w:tr>
            <w:tr w14:paraId="7B8041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8" w:type="dxa"/>
                  <w:tcBorders>
                    <w:tl2br w:val="nil"/>
                    <w:tr2bl w:val="nil"/>
                  </w:tcBorders>
                  <w:vAlign w:val="center"/>
                </w:tcPr>
                <w:p w14:paraId="46AA98A9">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二</w:t>
                  </w:r>
                </w:p>
              </w:tc>
              <w:tc>
                <w:tcPr>
                  <w:tcW w:w="7185" w:type="dxa"/>
                  <w:gridSpan w:val="3"/>
                  <w:tcBorders>
                    <w:tl2br w:val="nil"/>
                    <w:tr2bl w:val="nil"/>
                  </w:tcBorders>
                  <w:vAlign w:val="center"/>
                </w:tcPr>
                <w:p w14:paraId="19AF774B">
                  <w:pPr>
                    <w:jc w:val="center"/>
                    <w:rPr>
                      <w:rFonts w:hint="default" w:ascii="Times New Roman" w:hAnsi="Times New Roman" w:cs="Times New Roman"/>
                      <w:bCs/>
                      <w:color w:val="auto"/>
                      <w:sz w:val="18"/>
                      <w:szCs w:val="18"/>
                    </w:rPr>
                  </w:pPr>
                  <w:r>
                    <w:rPr>
                      <w:rFonts w:hint="default" w:ascii="Times New Roman" w:hAnsi="Times New Roman" w:cs="Times New Roman"/>
                      <w:b/>
                      <w:color w:val="auto"/>
                      <w:sz w:val="18"/>
                      <w:szCs w:val="18"/>
                    </w:rPr>
                    <w:t>角钢（新建轧线）</w:t>
                  </w:r>
                </w:p>
              </w:tc>
            </w:tr>
            <w:tr w14:paraId="00F4A9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8" w:type="dxa"/>
                  <w:tcBorders>
                    <w:tl2br w:val="nil"/>
                    <w:tr2bl w:val="nil"/>
                  </w:tcBorders>
                  <w:vAlign w:val="center"/>
                </w:tcPr>
                <w:p w14:paraId="025604A3">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w:t>
                  </w:r>
                </w:p>
              </w:tc>
              <w:tc>
                <w:tcPr>
                  <w:tcW w:w="3658" w:type="dxa"/>
                  <w:tcBorders>
                    <w:tl2br w:val="nil"/>
                    <w:tr2bl w:val="nil"/>
                  </w:tcBorders>
                  <w:vAlign w:val="center"/>
                </w:tcPr>
                <w:p w14:paraId="38FC96CA">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3#角钢</w:t>
                  </w:r>
                </w:p>
              </w:tc>
              <w:tc>
                <w:tcPr>
                  <w:tcW w:w="1568" w:type="dxa"/>
                  <w:tcBorders>
                    <w:tl2br w:val="nil"/>
                    <w:tr2bl w:val="nil"/>
                  </w:tcBorders>
                  <w:vAlign w:val="center"/>
                </w:tcPr>
                <w:p w14:paraId="4D31985A">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万吨</w:t>
                  </w:r>
                </w:p>
              </w:tc>
              <w:tc>
                <w:tcPr>
                  <w:tcW w:w="1959" w:type="dxa"/>
                  <w:tcBorders>
                    <w:tl2br w:val="nil"/>
                    <w:tr2bl w:val="nil"/>
                  </w:tcBorders>
                  <w:vAlign w:val="center"/>
                </w:tcPr>
                <w:p w14:paraId="02AEA4CB">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r>
            <w:tr w14:paraId="567B1D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8" w:type="dxa"/>
                  <w:tcBorders>
                    <w:tl2br w:val="nil"/>
                    <w:tr2bl w:val="nil"/>
                  </w:tcBorders>
                  <w:vAlign w:val="center"/>
                </w:tcPr>
                <w:p w14:paraId="450574F8">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3658" w:type="dxa"/>
                  <w:tcBorders>
                    <w:tl2br w:val="nil"/>
                    <w:tr2bl w:val="nil"/>
                  </w:tcBorders>
                  <w:vAlign w:val="center"/>
                </w:tcPr>
                <w:p w14:paraId="7D652F7E">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4#角钢</w:t>
                  </w:r>
                </w:p>
              </w:tc>
              <w:tc>
                <w:tcPr>
                  <w:tcW w:w="1568" w:type="dxa"/>
                  <w:tcBorders>
                    <w:tl2br w:val="nil"/>
                    <w:tr2bl w:val="nil"/>
                  </w:tcBorders>
                  <w:vAlign w:val="center"/>
                </w:tcPr>
                <w:p w14:paraId="2DDBE6F7">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万吨</w:t>
                  </w:r>
                </w:p>
              </w:tc>
              <w:tc>
                <w:tcPr>
                  <w:tcW w:w="1959" w:type="dxa"/>
                  <w:tcBorders>
                    <w:tl2br w:val="nil"/>
                    <w:tr2bl w:val="nil"/>
                  </w:tcBorders>
                  <w:vAlign w:val="center"/>
                </w:tcPr>
                <w:p w14:paraId="683864AD">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w:t>
                  </w:r>
                </w:p>
              </w:tc>
            </w:tr>
            <w:tr w14:paraId="30211B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8" w:type="dxa"/>
                  <w:tcBorders>
                    <w:tl2br w:val="nil"/>
                    <w:tr2bl w:val="nil"/>
                  </w:tcBorders>
                  <w:vAlign w:val="center"/>
                </w:tcPr>
                <w:p w14:paraId="4C2BBE91">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w:t>
                  </w:r>
                </w:p>
              </w:tc>
              <w:tc>
                <w:tcPr>
                  <w:tcW w:w="3658" w:type="dxa"/>
                  <w:tcBorders>
                    <w:tl2br w:val="nil"/>
                    <w:tr2bl w:val="nil"/>
                  </w:tcBorders>
                  <w:vAlign w:val="center"/>
                </w:tcPr>
                <w:p w14:paraId="453A92CC">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5#角钢</w:t>
                  </w:r>
                </w:p>
              </w:tc>
              <w:tc>
                <w:tcPr>
                  <w:tcW w:w="1568" w:type="dxa"/>
                  <w:tcBorders>
                    <w:tl2br w:val="nil"/>
                    <w:tr2bl w:val="nil"/>
                  </w:tcBorders>
                  <w:vAlign w:val="center"/>
                </w:tcPr>
                <w:p w14:paraId="731E78F1">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万吨</w:t>
                  </w:r>
                </w:p>
              </w:tc>
              <w:tc>
                <w:tcPr>
                  <w:tcW w:w="1959" w:type="dxa"/>
                  <w:tcBorders>
                    <w:tl2br w:val="nil"/>
                    <w:tr2bl w:val="nil"/>
                  </w:tcBorders>
                  <w:vAlign w:val="center"/>
                </w:tcPr>
                <w:p w14:paraId="7312B7C6">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r>
            <w:tr w14:paraId="69EE05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8" w:type="dxa"/>
                  <w:tcBorders>
                    <w:tl2br w:val="nil"/>
                    <w:tr2bl w:val="nil"/>
                  </w:tcBorders>
                  <w:vAlign w:val="center"/>
                </w:tcPr>
                <w:p w14:paraId="0126A947">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4</w:t>
                  </w:r>
                </w:p>
              </w:tc>
              <w:tc>
                <w:tcPr>
                  <w:tcW w:w="3658" w:type="dxa"/>
                  <w:tcBorders>
                    <w:tl2br w:val="nil"/>
                    <w:tr2bl w:val="nil"/>
                  </w:tcBorders>
                  <w:vAlign w:val="center"/>
                </w:tcPr>
                <w:p w14:paraId="4338B97F">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6.3#角钢</w:t>
                  </w:r>
                </w:p>
              </w:tc>
              <w:tc>
                <w:tcPr>
                  <w:tcW w:w="1568" w:type="dxa"/>
                  <w:tcBorders>
                    <w:tl2br w:val="nil"/>
                    <w:tr2bl w:val="nil"/>
                  </w:tcBorders>
                  <w:vAlign w:val="center"/>
                </w:tcPr>
                <w:p w14:paraId="72311986">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万吨</w:t>
                  </w:r>
                </w:p>
              </w:tc>
              <w:tc>
                <w:tcPr>
                  <w:tcW w:w="1959" w:type="dxa"/>
                  <w:tcBorders>
                    <w:tl2br w:val="nil"/>
                    <w:tr2bl w:val="nil"/>
                  </w:tcBorders>
                  <w:vAlign w:val="center"/>
                </w:tcPr>
                <w:p w14:paraId="60AD0D8F">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w:t>
                  </w:r>
                </w:p>
              </w:tc>
            </w:tr>
            <w:tr w14:paraId="2336B1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8" w:type="dxa"/>
                  <w:tcBorders>
                    <w:tl2br w:val="nil"/>
                    <w:tr2bl w:val="nil"/>
                  </w:tcBorders>
                  <w:vAlign w:val="center"/>
                </w:tcPr>
                <w:p w14:paraId="6B5ECE84">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5</w:t>
                  </w:r>
                </w:p>
              </w:tc>
              <w:tc>
                <w:tcPr>
                  <w:tcW w:w="3658" w:type="dxa"/>
                  <w:tcBorders>
                    <w:tl2br w:val="nil"/>
                    <w:tr2bl w:val="nil"/>
                  </w:tcBorders>
                  <w:vAlign w:val="center"/>
                </w:tcPr>
                <w:p w14:paraId="2F259A43">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7.5#角钢</w:t>
                  </w:r>
                </w:p>
              </w:tc>
              <w:tc>
                <w:tcPr>
                  <w:tcW w:w="1568" w:type="dxa"/>
                  <w:tcBorders>
                    <w:tl2br w:val="nil"/>
                    <w:tr2bl w:val="nil"/>
                  </w:tcBorders>
                  <w:vAlign w:val="center"/>
                </w:tcPr>
                <w:p w14:paraId="509BBD01">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万吨</w:t>
                  </w:r>
                </w:p>
              </w:tc>
              <w:tc>
                <w:tcPr>
                  <w:tcW w:w="1959" w:type="dxa"/>
                  <w:tcBorders>
                    <w:tl2br w:val="nil"/>
                    <w:tr2bl w:val="nil"/>
                  </w:tcBorders>
                  <w:vAlign w:val="center"/>
                </w:tcPr>
                <w:p w14:paraId="01AE9FD7">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w:t>
                  </w:r>
                </w:p>
              </w:tc>
            </w:tr>
            <w:tr w14:paraId="72C229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8" w:type="dxa"/>
                  <w:tcBorders>
                    <w:tl2br w:val="nil"/>
                    <w:tr2bl w:val="nil"/>
                  </w:tcBorders>
                  <w:vAlign w:val="center"/>
                </w:tcPr>
                <w:p w14:paraId="044D1660">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6</w:t>
                  </w:r>
                </w:p>
              </w:tc>
              <w:tc>
                <w:tcPr>
                  <w:tcW w:w="3658" w:type="dxa"/>
                  <w:tcBorders>
                    <w:tl2br w:val="nil"/>
                    <w:tr2bl w:val="nil"/>
                  </w:tcBorders>
                  <w:vAlign w:val="center"/>
                </w:tcPr>
                <w:p w14:paraId="1C601747">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10#角钢</w:t>
                  </w:r>
                </w:p>
              </w:tc>
              <w:tc>
                <w:tcPr>
                  <w:tcW w:w="1568" w:type="dxa"/>
                  <w:tcBorders>
                    <w:tl2br w:val="nil"/>
                    <w:tr2bl w:val="nil"/>
                  </w:tcBorders>
                  <w:vAlign w:val="center"/>
                </w:tcPr>
                <w:p w14:paraId="2D69AD53">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万吨</w:t>
                  </w:r>
                </w:p>
              </w:tc>
              <w:tc>
                <w:tcPr>
                  <w:tcW w:w="1959" w:type="dxa"/>
                  <w:tcBorders>
                    <w:tl2br w:val="nil"/>
                    <w:tr2bl w:val="nil"/>
                  </w:tcBorders>
                  <w:vAlign w:val="center"/>
                </w:tcPr>
                <w:p w14:paraId="4A2B1B46">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w:t>
                  </w:r>
                </w:p>
              </w:tc>
            </w:tr>
            <w:tr w14:paraId="3709CA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16" w:type="dxa"/>
                  <w:gridSpan w:val="2"/>
                  <w:tcBorders>
                    <w:tl2br w:val="nil"/>
                    <w:tr2bl w:val="nil"/>
                  </w:tcBorders>
                  <w:vAlign w:val="center"/>
                </w:tcPr>
                <w:p w14:paraId="1DB5F191">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小计</w:t>
                  </w:r>
                </w:p>
              </w:tc>
              <w:tc>
                <w:tcPr>
                  <w:tcW w:w="1568" w:type="dxa"/>
                  <w:tcBorders>
                    <w:tl2br w:val="nil"/>
                    <w:tr2bl w:val="nil"/>
                  </w:tcBorders>
                  <w:vAlign w:val="center"/>
                </w:tcPr>
                <w:p w14:paraId="680115D3">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万吨</w:t>
                  </w:r>
                </w:p>
              </w:tc>
              <w:tc>
                <w:tcPr>
                  <w:tcW w:w="1959" w:type="dxa"/>
                  <w:tcBorders>
                    <w:tl2br w:val="nil"/>
                    <w:tr2bl w:val="nil"/>
                  </w:tcBorders>
                  <w:vAlign w:val="center"/>
                </w:tcPr>
                <w:p w14:paraId="0CAF2ACE">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10</w:t>
                  </w:r>
                </w:p>
              </w:tc>
            </w:tr>
            <w:tr w14:paraId="286C26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8" w:type="dxa"/>
                  <w:tcBorders>
                    <w:tl2br w:val="nil"/>
                    <w:tr2bl w:val="nil"/>
                  </w:tcBorders>
                  <w:vAlign w:val="center"/>
                </w:tcPr>
                <w:p w14:paraId="0DAD238D">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三</w:t>
                  </w:r>
                </w:p>
              </w:tc>
              <w:tc>
                <w:tcPr>
                  <w:tcW w:w="7185" w:type="dxa"/>
                  <w:gridSpan w:val="3"/>
                  <w:tcBorders>
                    <w:tl2br w:val="nil"/>
                    <w:tr2bl w:val="nil"/>
                  </w:tcBorders>
                  <w:vAlign w:val="center"/>
                </w:tcPr>
                <w:p w14:paraId="463989E6">
                  <w:pPr>
                    <w:jc w:val="center"/>
                    <w:rPr>
                      <w:rFonts w:hint="default" w:ascii="Times New Roman" w:hAnsi="Times New Roman" w:cs="Times New Roman"/>
                      <w:bCs/>
                      <w:color w:val="auto"/>
                      <w:sz w:val="18"/>
                      <w:szCs w:val="18"/>
                    </w:rPr>
                  </w:pPr>
                  <w:r>
                    <w:rPr>
                      <w:rFonts w:hint="default" w:ascii="Times New Roman" w:hAnsi="Times New Roman" w:cs="Times New Roman"/>
                      <w:b/>
                      <w:color w:val="auto"/>
                      <w:sz w:val="18"/>
                      <w:szCs w:val="18"/>
                    </w:rPr>
                    <w:t>工字钢（利用现有轧线生产）</w:t>
                  </w:r>
                </w:p>
              </w:tc>
            </w:tr>
            <w:tr w14:paraId="770019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8" w:type="dxa"/>
                  <w:tcBorders>
                    <w:tl2br w:val="nil"/>
                    <w:tr2bl w:val="nil"/>
                  </w:tcBorders>
                  <w:vAlign w:val="center"/>
                </w:tcPr>
                <w:p w14:paraId="5819760A">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w:t>
                  </w:r>
                </w:p>
              </w:tc>
              <w:tc>
                <w:tcPr>
                  <w:tcW w:w="3658" w:type="dxa"/>
                  <w:tcBorders>
                    <w:tl2br w:val="nil"/>
                    <w:tr2bl w:val="nil"/>
                  </w:tcBorders>
                  <w:vAlign w:val="center"/>
                </w:tcPr>
                <w:p w14:paraId="63D2493A">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10-20#</w:t>
                  </w:r>
                </w:p>
              </w:tc>
              <w:tc>
                <w:tcPr>
                  <w:tcW w:w="1568" w:type="dxa"/>
                  <w:tcBorders>
                    <w:tl2br w:val="nil"/>
                    <w:tr2bl w:val="nil"/>
                  </w:tcBorders>
                  <w:vAlign w:val="center"/>
                </w:tcPr>
                <w:p w14:paraId="15502FFB">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万吨</w:t>
                  </w:r>
                </w:p>
              </w:tc>
              <w:tc>
                <w:tcPr>
                  <w:tcW w:w="1959" w:type="dxa"/>
                  <w:tcBorders>
                    <w:tl2br w:val="nil"/>
                    <w:tr2bl w:val="nil"/>
                  </w:tcBorders>
                  <w:vAlign w:val="center"/>
                </w:tcPr>
                <w:p w14:paraId="404D77F7">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10</w:t>
                  </w:r>
                </w:p>
              </w:tc>
            </w:tr>
            <w:tr w14:paraId="045028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16" w:type="dxa"/>
                  <w:gridSpan w:val="2"/>
                  <w:tcBorders>
                    <w:tl2br w:val="nil"/>
                    <w:tr2bl w:val="nil"/>
                  </w:tcBorders>
                  <w:vAlign w:val="center"/>
                </w:tcPr>
                <w:p w14:paraId="59CCA9EF">
                  <w:pPr>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总  计</w:t>
                  </w:r>
                </w:p>
              </w:tc>
              <w:tc>
                <w:tcPr>
                  <w:tcW w:w="1568" w:type="dxa"/>
                  <w:tcBorders>
                    <w:tl2br w:val="nil"/>
                    <w:tr2bl w:val="nil"/>
                  </w:tcBorders>
                  <w:vAlign w:val="center"/>
                </w:tcPr>
                <w:p w14:paraId="1BA01CDA">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万吨</w:t>
                  </w:r>
                </w:p>
              </w:tc>
              <w:tc>
                <w:tcPr>
                  <w:tcW w:w="1959" w:type="dxa"/>
                  <w:tcBorders>
                    <w:tl2br w:val="nil"/>
                    <w:tr2bl w:val="nil"/>
                  </w:tcBorders>
                  <w:vAlign w:val="center"/>
                </w:tcPr>
                <w:p w14:paraId="687FA7AB">
                  <w:pPr>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30</w:t>
                  </w:r>
                </w:p>
              </w:tc>
            </w:tr>
            <w:tr w14:paraId="5D228F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43" w:type="dxa"/>
                  <w:gridSpan w:val="4"/>
                  <w:tcBorders>
                    <w:tl2br w:val="nil"/>
                    <w:tr2bl w:val="nil"/>
                  </w:tcBorders>
                  <w:vAlign w:val="center"/>
                </w:tcPr>
                <w:p w14:paraId="121F7D9C">
                  <w:pP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注：以上数量可根据市场需求进行调整。</w:t>
                  </w:r>
                </w:p>
              </w:tc>
            </w:tr>
          </w:tbl>
          <w:p w14:paraId="11E54CED">
            <w:pPr>
              <w:adjustRightInd w:val="0"/>
              <w:snapToGrid w:val="0"/>
              <w:spacing w:before="120" w:beforeLines="50" w:line="360" w:lineRule="auto"/>
              <w:jc w:val="left"/>
              <w:rPr>
                <w:rFonts w:hint="default" w:ascii="Times New Roman" w:hAnsi="Times New Roman" w:eastAsia="黑体" w:cs="Times New Roman"/>
                <w:bCs/>
                <w:color w:val="auto"/>
                <w:sz w:val="24"/>
              </w:rPr>
            </w:pPr>
            <w:bookmarkStart w:id="55" w:name="_Toc27437"/>
            <w:bookmarkStart w:id="56" w:name="_Toc27738"/>
            <w:r>
              <w:rPr>
                <w:rFonts w:hint="default" w:ascii="Times New Roman" w:hAnsi="Times New Roman" w:eastAsia="黑体" w:cs="Times New Roman"/>
                <w:bCs/>
                <w:color w:val="auto"/>
                <w:sz w:val="24"/>
              </w:rPr>
              <w:t>2.3在建项目水量平衡</w:t>
            </w:r>
            <w:bookmarkEnd w:id="55"/>
            <w:bookmarkEnd w:id="56"/>
          </w:p>
          <w:p w14:paraId="24C4CB09">
            <w:pPr>
              <w:pStyle w:val="18"/>
              <w:spacing w:line="360" w:lineRule="auto"/>
              <w:ind w:firstLine="480"/>
              <w:rPr>
                <w:rFonts w:hint="default" w:ascii="Times New Roman" w:hAnsi="Times New Roman" w:eastAsia="黑体" w:cs="Times New Roman"/>
                <w:color w:val="auto"/>
                <w:sz w:val="21"/>
              </w:rPr>
            </w:pPr>
            <w:r>
              <w:rPr>
                <w:rFonts w:hint="default" w:ascii="Times New Roman" w:hAnsi="Times New Roman" w:cs="Times New Roman"/>
                <w:color w:val="auto"/>
                <w:sz w:val="24"/>
              </w:rPr>
              <w:t>本次水平衡不计加热炉冷却用水量，只计算在建项目浊循环用水量和依托现有净循环水系统的用水量，根据已批复环评报告在建项目水量平衡见下图：</w:t>
            </w:r>
          </w:p>
          <w:p w14:paraId="2CADCED2">
            <w:pPr>
              <w:pStyle w:val="18"/>
              <w:spacing w:line="360" w:lineRule="auto"/>
              <w:jc w:val="center"/>
              <w:rPr>
                <w:rFonts w:hint="default" w:ascii="Times New Roman" w:hAnsi="Times New Roman" w:cs="Times New Roman"/>
                <w:b/>
                <w:bCs/>
                <w:color w:val="auto"/>
                <w:sz w:val="24"/>
              </w:rPr>
            </w:pPr>
            <w:r>
              <w:rPr>
                <w:rFonts w:hint="default" w:ascii="Times New Roman" w:hAnsi="Times New Roman" w:eastAsia="黑体" w:cs="Times New Roman"/>
                <w:color w:val="auto"/>
                <w:sz w:val="21"/>
              </w:rPr>
              <w:object>
                <v:shape id="_x0000_i1031" o:spt="75" type="#_x0000_t75" style="height:274.5pt;width:420.75pt;" o:ole="t" filled="f" o:preferrelative="t" stroked="f" coordsize="21600,21600">
                  <v:path/>
                  <v:fill on="f" focussize="0,0"/>
                  <v:stroke on="f" joinstyle="miter"/>
                  <v:imagedata r:id="rId23" o:title=""/>
                  <o:lock v:ext="edit" aspectratio="f"/>
                  <w10:wrap type="none"/>
                  <w10:anchorlock/>
                </v:shape>
                <o:OLEObject Type="Embed" ProgID="Visio.Drawing.11" ShapeID="_x0000_i1031" DrawAspect="Content" ObjectID="_1468075731" r:id="rId22">
                  <o:LockedField>false</o:LockedField>
                </o:OLEObject>
              </w:object>
            </w:r>
            <w:r>
              <w:rPr>
                <w:rFonts w:hint="default" w:ascii="Times New Roman" w:hAnsi="Times New Roman" w:cs="Times New Roman"/>
                <w:b/>
                <w:bCs/>
                <w:color w:val="auto"/>
                <w:sz w:val="21"/>
              </w:rPr>
              <w:t>图2-7   在建项目水量平衡图  单位：m</w:t>
            </w:r>
            <w:r>
              <w:rPr>
                <w:rFonts w:hint="default" w:ascii="Times New Roman" w:hAnsi="Times New Roman" w:cs="Times New Roman"/>
                <w:b/>
                <w:bCs/>
                <w:color w:val="auto"/>
                <w:sz w:val="21"/>
                <w:vertAlign w:val="superscript"/>
              </w:rPr>
              <w:t>3</w:t>
            </w:r>
            <w:r>
              <w:rPr>
                <w:rFonts w:hint="default" w:ascii="Times New Roman" w:hAnsi="Times New Roman" w:cs="Times New Roman"/>
                <w:b/>
                <w:bCs/>
                <w:color w:val="auto"/>
                <w:sz w:val="21"/>
              </w:rPr>
              <w:t>/d</w:t>
            </w:r>
          </w:p>
          <w:p w14:paraId="22E40AC2">
            <w:pPr>
              <w:adjustRightInd w:val="0"/>
              <w:snapToGrid w:val="0"/>
              <w:spacing w:before="120" w:beforeLines="50" w:line="360" w:lineRule="auto"/>
              <w:jc w:val="left"/>
              <w:rPr>
                <w:rFonts w:hint="default" w:ascii="Times New Roman" w:hAnsi="Times New Roman" w:eastAsia="黑体" w:cs="Times New Roman"/>
                <w:bCs/>
                <w:color w:val="auto"/>
                <w:sz w:val="24"/>
              </w:rPr>
            </w:pPr>
            <w:bookmarkStart w:id="57" w:name="_Toc16446"/>
            <w:bookmarkStart w:id="58" w:name="_Toc17070"/>
            <w:r>
              <w:rPr>
                <w:rFonts w:hint="default" w:ascii="Times New Roman" w:hAnsi="Times New Roman" w:eastAsia="黑体" w:cs="Times New Roman"/>
                <w:bCs/>
                <w:color w:val="auto"/>
                <w:sz w:val="24"/>
              </w:rPr>
              <w:t>2.4在建项目污染物产排情况</w:t>
            </w:r>
            <w:bookmarkEnd w:id="57"/>
            <w:bookmarkEnd w:id="58"/>
          </w:p>
          <w:p w14:paraId="217D7E5C">
            <w:pPr>
              <w:pStyle w:val="18"/>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在建项目属于现有已建工程的产品产量替代，利用现有型钢生产线的天然气加热炉（不对现有加热炉进行改动和扩能），保持现有的30万吨加热能力，仅有后续的连轧工序新增对应的轧机设备，优化产品方案，与现有的工字钢生产线进行产品产量的替换，增加产品种类，不新增生产产能。技改后的生产情况为：现有的生产线生产工字钢，新增轧机线生产槽钢和角钢，两条轧线共使用现有的天然气加热炉，其中生产工字钢时，槽钢和角钢轧线停产，当新轧线生产槽钢和角钢时，工字钢轧线停产，本次技改过后现有的生产线工字钢生产规模约10万吨/年，生产槽钢和角钢规模约20万吨/年。根据备案要求，由于加热炉不变，加热能力和规模不变，产生的废气污染物为颗粒物、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及NOx排放浓度、排放量与现有工程一致，因此不再重复核算。</w:t>
            </w:r>
          </w:p>
          <w:p w14:paraId="666546A4">
            <w:pPr>
              <w:adjustRightInd w:val="0"/>
              <w:snapToGrid w:val="0"/>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3、拟建工程概况（年产35万吨环保镀锌型钢项目）</w:t>
            </w:r>
          </w:p>
          <w:p w14:paraId="5653FCC2">
            <w:pPr>
              <w:pStyle w:val="111"/>
              <w:spacing w:line="360" w:lineRule="auto"/>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表2-17   本项目建设内容一览表</w:t>
            </w:r>
          </w:p>
          <w:tbl>
            <w:tblPr>
              <w:tblStyle w:val="35"/>
              <w:tblW w:w="50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8"/>
              <w:gridCol w:w="388"/>
              <w:gridCol w:w="1049"/>
              <w:gridCol w:w="850"/>
              <w:gridCol w:w="4653"/>
              <w:gridCol w:w="757"/>
            </w:tblGrid>
            <w:tr w14:paraId="6229E3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55" w:type="pct"/>
                  <w:tcBorders>
                    <w:tl2br w:val="nil"/>
                    <w:tr2bl w:val="nil"/>
                  </w:tcBorders>
                  <w:vAlign w:val="center"/>
                </w:tcPr>
                <w:p w14:paraId="6F148FFE">
                  <w:pPr>
                    <w:jc w:val="center"/>
                    <w:rPr>
                      <w:rFonts w:hint="default" w:ascii="Times New Roman" w:hAnsi="Times New Roman" w:cs="Times New Roman"/>
                      <w:color w:val="auto"/>
                      <w:sz w:val="18"/>
                      <w:szCs w:val="18"/>
                    </w:rPr>
                  </w:pPr>
                  <w:bookmarkStart w:id="59" w:name="_Hlk35936296"/>
                  <w:r>
                    <w:rPr>
                      <w:rFonts w:hint="default" w:ascii="Times New Roman" w:hAnsi="Times New Roman" w:cs="Times New Roman"/>
                      <w:color w:val="auto"/>
                      <w:sz w:val="18"/>
                      <w:szCs w:val="18"/>
                    </w:rPr>
                    <w:t>工程类别</w:t>
                  </w:r>
                </w:p>
              </w:tc>
              <w:tc>
                <w:tcPr>
                  <w:tcW w:w="867" w:type="pct"/>
                  <w:gridSpan w:val="2"/>
                  <w:tcBorders>
                    <w:tl2br w:val="nil"/>
                    <w:tr2bl w:val="nil"/>
                  </w:tcBorders>
                  <w:vAlign w:val="center"/>
                </w:tcPr>
                <w:p w14:paraId="02E4E43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工程（车间名称）</w:t>
                  </w:r>
                </w:p>
              </w:tc>
              <w:tc>
                <w:tcPr>
                  <w:tcW w:w="3320" w:type="pct"/>
                  <w:gridSpan w:val="2"/>
                  <w:tcBorders>
                    <w:tl2br w:val="nil"/>
                    <w:tr2bl w:val="nil"/>
                  </w:tcBorders>
                  <w:vAlign w:val="center"/>
                </w:tcPr>
                <w:p w14:paraId="2214871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建设内容</w:t>
                  </w:r>
                </w:p>
              </w:tc>
              <w:tc>
                <w:tcPr>
                  <w:tcW w:w="457" w:type="pct"/>
                  <w:tcBorders>
                    <w:tl2br w:val="nil"/>
                    <w:tr2bl w:val="nil"/>
                  </w:tcBorders>
                  <w:vAlign w:val="center"/>
                </w:tcPr>
                <w:p w14:paraId="088E9D0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备注</w:t>
                  </w:r>
                </w:p>
              </w:tc>
            </w:tr>
            <w:tr w14:paraId="0C69DC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Merge w:val="restart"/>
                  <w:tcBorders>
                    <w:tl2br w:val="nil"/>
                    <w:tr2bl w:val="nil"/>
                  </w:tcBorders>
                  <w:vAlign w:val="center"/>
                </w:tcPr>
                <w:p w14:paraId="7BFE832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主体工程</w:t>
                  </w:r>
                </w:p>
              </w:tc>
              <w:tc>
                <w:tcPr>
                  <w:tcW w:w="867" w:type="pct"/>
                  <w:gridSpan w:val="2"/>
                  <w:tcBorders>
                    <w:tl2br w:val="nil"/>
                    <w:tr2bl w:val="nil"/>
                  </w:tcBorders>
                  <w:vAlign w:val="center"/>
                </w:tcPr>
                <w:p w14:paraId="6DF9742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型钢镀锌车间</w:t>
                  </w:r>
                </w:p>
              </w:tc>
              <w:tc>
                <w:tcPr>
                  <w:tcW w:w="3320" w:type="pct"/>
                  <w:gridSpan w:val="2"/>
                  <w:tcBorders>
                    <w:tl2br w:val="nil"/>
                    <w:tr2bl w:val="nil"/>
                  </w:tcBorders>
                  <w:vAlign w:val="center"/>
                </w:tcPr>
                <w:p w14:paraId="15E932F7">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位于通海南方钢铁有限公司东南侧，占地面积为3000m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共设置2条型钢镀锌生产线，每条生产线分别设置1个8.5m*2m*10m的酸洗槽，2个水槽、1个助镀槽，同时根据工艺需求布设摆件链架区、摆件区、烘干床、钝化槽、锌锅等设施，同时配套型钢锌锅配套布袋除尘器和一套酸雾处理设施。设置1套助镀液再生系统。</w:t>
                  </w:r>
                </w:p>
              </w:tc>
              <w:tc>
                <w:tcPr>
                  <w:tcW w:w="457" w:type="pct"/>
                  <w:tcBorders>
                    <w:tl2br w:val="nil"/>
                    <w:tr2bl w:val="nil"/>
                  </w:tcBorders>
                  <w:vAlign w:val="center"/>
                </w:tcPr>
                <w:p w14:paraId="2E54F5E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14:paraId="180041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Merge w:val="continue"/>
                  <w:tcBorders>
                    <w:tl2br w:val="nil"/>
                    <w:tr2bl w:val="nil"/>
                  </w:tcBorders>
                </w:tcPr>
                <w:p w14:paraId="5432AA4F">
                  <w:pPr>
                    <w:jc w:val="center"/>
                    <w:rPr>
                      <w:rFonts w:hint="default" w:ascii="Times New Roman" w:hAnsi="Times New Roman" w:cs="Times New Roman"/>
                      <w:color w:val="auto"/>
                      <w:sz w:val="18"/>
                      <w:szCs w:val="18"/>
                    </w:rPr>
                  </w:pPr>
                </w:p>
              </w:tc>
              <w:tc>
                <w:tcPr>
                  <w:tcW w:w="867" w:type="pct"/>
                  <w:gridSpan w:val="2"/>
                  <w:tcBorders>
                    <w:tl2br w:val="nil"/>
                    <w:tr2bl w:val="nil"/>
                  </w:tcBorders>
                  <w:vAlign w:val="center"/>
                </w:tcPr>
                <w:p w14:paraId="36BC819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带钢酸洗及冷轧车间</w:t>
                  </w:r>
                </w:p>
              </w:tc>
              <w:tc>
                <w:tcPr>
                  <w:tcW w:w="3320" w:type="pct"/>
                  <w:gridSpan w:val="2"/>
                  <w:tcBorders>
                    <w:tl2br w:val="nil"/>
                    <w:tr2bl w:val="nil"/>
                  </w:tcBorders>
                  <w:vAlign w:val="center"/>
                </w:tcPr>
                <w:p w14:paraId="78C4AFCF">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位于通海南方钢铁有限公司东侧，占地面积为900m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，共设置2条带钢酸洗冷轧生产线，共同建设1套酸雾处理塔。每条线设置1个50m*1m*1.5m酸洗槽。车间北侧设置一个占地面积为100m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的氨分解车间。</w:t>
                  </w:r>
                </w:p>
              </w:tc>
              <w:tc>
                <w:tcPr>
                  <w:tcW w:w="457" w:type="pct"/>
                  <w:tcBorders>
                    <w:tl2br w:val="nil"/>
                    <w:tr2bl w:val="nil"/>
                  </w:tcBorders>
                  <w:vAlign w:val="center"/>
                </w:tcPr>
                <w:p w14:paraId="2C99814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14:paraId="14EA30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Merge w:val="continue"/>
                  <w:tcBorders>
                    <w:tl2br w:val="nil"/>
                    <w:tr2bl w:val="nil"/>
                  </w:tcBorders>
                </w:tcPr>
                <w:p w14:paraId="5CD23045">
                  <w:pPr>
                    <w:jc w:val="center"/>
                    <w:rPr>
                      <w:rFonts w:hint="default" w:ascii="Times New Roman" w:hAnsi="Times New Roman" w:cs="Times New Roman"/>
                      <w:color w:val="auto"/>
                      <w:sz w:val="18"/>
                      <w:szCs w:val="18"/>
                    </w:rPr>
                  </w:pPr>
                </w:p>
              </w:tc>
              <w:tc>
                <w:tcPr>
                  <w:tcW w:w="867" w:type="pct"/>
                  <w:gridSpan w:val="2"/>
                  <w:tcBorders>
                    <w:tl2br w:val="nil"/>
                    <w:tr2bl w:val="nil"/>
                  </w:tcBorders>
                  <w:vAlign w:val="center"/>
                </w:tcPr>
                <w:p w14:paraId="0692B2B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带钢镀锌车间</w:t>
                  </w:r>
                </w:p>
              </w:tc>
              <w:tc>
                <w:tcPr>
                  <w:tcW w:w="3320" w:type="pct"/>
                  <w:gridSpan w:val="2"/>
                  <w:tcBorders>
                    <w:tl2br w:val="nil"/>
                    <w:tr2bl w:val="nil"/>
                  </w:tcBorders>
                  <w:vAlign w:val="center"/>
                </w:tcPr>
                <w:p w14:paraId="44DFD72C">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位于带钢酸洗及冷轧车间西侧，占地面积为900m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，共设置2条带钢镀锌生产线，车间南侧设置一个占地面积为20m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的盐酸储罐区。同时配套带钢锌锅配套布袋除尘器。</w:t>
                  </w:r>
                </w:p>
              </w:tc>
              <w:tc>
                <w:tcPr>
                  <w:tcW w:w="457" w:type="pct"/>
                  <w:tcBorders>
                    <w:tl2br w:val="nil"/>
                    <w:tr2bl w:val="nil"/>
                  </w:tcBorders>
                  <w:vAlign w:val="center"/>
                </w:tcPr>
                <w:p w14:paraId="5A4E9D0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14:paraId="770B5A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Merge w:val="continue"/>
                  <w:tcBorders>
                    <w:tl2br w:val="nil"/>
                    <w:tr2bl w:val="nil"/>
                  </w:tcBorders>
                </w:tcPr>
                <w:p w14:paraId="774F3DEC">
                  <w:pPr>
                    <w:jc w:val="center"/>
                    <w:rPr>
                      <w:rFonts w:hint="default" w:ascii="Times New Roman" w:hAnsi="Times New Roman" w:cs="Times New Roman"/>
                      <w:color w:val="auto"/>
                      <w:sz w:val="18"/>
                      <w:szCs w:val="18"/>
                    </w:rPr>
                  </w:pPr>
                </w:p>
              </w:tc>
              <w:tc>
                <w:tcPr>
                  <w:tcW w:w="867" w:type="pct"/>
                  <w:gridSpan w:val="2"/>
                  <w:tcBorders>
                    <w:tl2br w:val="nil"/>
                    <w:tr2bl w:val="nil"/>
                  </w:tcBorders>
                  <w:vAlign w:val="center"/>
                </w:tcPr>
                <w:p w14:paraId="36077F8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焊管车间</w:t>
                  </w:r>
                </w:p>
              </w:tc>
              <w:tc>
                <w:tcPr>
                  <w:tcW w:w="3320" w:type="pct"/>
                  <w:gridSpan w:val="2"/>
                  <w:tcBorders>
                    <w:tl2br w:val="nil"/>
                    <w:tr2bl w:val="nil"/>
                  </w:tcBorders>
                  <w:vAlign w:val="center"/>
                </w:tcPr>
                <w:p w14:paraId="58B3E3A9">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位于通海南方钢铁有限公司西侧，占地面积为2200m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，分别设置2条高频焊接生产线，同时配套设置焊管车间冷却水净循环系统和浊循环系统。</w:t>
                  </w:r>
                </w:p>
              </w:tc>
              <w:tc>
                <w:tcPr>
                  <w:tcW w:w="457" w:type="pct"/>
                  <w:tcBorders>
                    <w:tl2br w:val="nil"/>
                    <w:tr2bl w:val="nil"/>
                  </w:tcBorders>
                  <w:vAlign w:val="center"/>
                </w:tcPr>
                <w:p w14:paraId="0831BC2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14:paraId="502443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Merge w:val="restart"/>
                  <w:tcBorders>
                    <w:tl2br w:val="nil"/>
                    <w:tr2bl w:val="nil"/>
                  </w:tcBorders>
                  <w:vAlign w:val="center"/>
                </w:tcPr>
                <w:p w14:paraId="0990BF1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辅助工程</w:t>
                  </w:r>
                </w:p>
              </w:tc>
              <w:tc>
                <w:tcPr>
                  <w:tcW w:w="867" w:type="pct"/>
                  <w:gridSpan w:val="2"/>
                  <w:tcBorders>
                    <w:tl2br w:val="nil"/>
                    <w:tr2bl w:val="nil"/>
                  </w:tcBorders>
                  <w:vAlign w:val="center"/>
                </w:tcPr>
                <w:p w14:paraId="1100417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成品库</w:t>
                  </w:r>
                </w:p>
              </w:tc>
              <w:tc>
                <w:tcPr>
                  <w:tcW w:w="3320" w:type="pct"/>
                  <w:gridSpan w:val="2"/>
                  <w:tcBorders>
                    <w:tl2br w:val="nil"/>
                    <w:tr2bl w:val="nil"/>
                  </w:tcBorders>
                  <w:vAlign w:val="center"/>
                </w:tcPr>
                <w:p w14:paraId="51DBE664">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位于带钢镀锌车间西侧，占地面积为1300m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，内设一个占地面积为30m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的锅炉房。</w:t>
                  </w:r>
                </w:p>
              </w:tc>
              <w:tc>
                <w:tcPr>
                  <w:tcW w:w="457" w:type="pct"/>
                  <w:tcBorders>
                    <w:tl2br w:val="nil"/>
                    <w:tr2bl w:val="nil"/>
                  </w:tcBorders>
                  <w:vAlign w:val="center"/>
                </w:tcPr>
                <w:p w14:paraId="7C226FB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14:paraId="156458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Merge w:val="continue"/>
                  <w:tcBorders>
                    <w:tl2br w:val="nil"/>
                    <w:tr2bl w:val="nil"/>
                  </w:tcBorders>
                  <w:vAlign w:val="center"/>
                </w:tcPr>
                <w:p w14:paraId="1A39A4CD">
                  <w:pPr>
                    <w:jc w:val="center"/>
                    <w:rPr>
                      <w:rFonts w:hint="default" w:ascii="Times New Roman" w:hAnsi="Times New Roman" w:cs="Times New Roman"/>
                      <w:color w:val="auto"/>
                      <w:sz w:val="18"/>
                      <w:szCs w:val="18"/>
                    </w:rPr>
                  </w:pPr>
                </w:p>
              </w:tc>
              <w:tc>
                <w:tcPr>
                  <w:tcW w:w="867" w:type="pct"/>
                  <w:gridSpan w:val="2"/>
                  <w:tcBorders>
                    <w:tl2br w:val="nil"/>
                    <w:tr2bl w:val="nil"/>
                  </w:tcBorders>
                  <w:vAlign w:val="center"/>
                </w:tcPr>
                <w:p w14:paraId="307407A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供电系统</w:t>
                  </w:r>
                </w:p>
              </w:tc>
              <w:tc>
                <w:tcPr>
                  <w:tcW w:w="3320" w:type="pct"/>
                  <w:gridSpan w:val="2"/>
                  <w:tcBorders>
                    <w:tl2br w:val="nil"/>
                    <w:tr2bl w:val="nil"/>
                  </w:tcBorders>
                  <w:vAlign w:val="center"/>
                </w:tcPr>
                <w:p w14:paraId="6E56F1A0">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本项目用电由工业园区变电站引入，通过变压器和配电箱接入项目区，能够满足项目用电负荷要求。</w:t>
                  </w:r>
                </w:p>
              </w:tc>
              <w:tc>
                <w:tcPr>
                  <w:tcW w:w="457" w:type="pct"/>
                  <w:tcBorders>
                    <w:tl2br w:val="nil"/>
                    <w:tr2bl w:val="nil"/>
                  </w:tcBorders>
                  <w:vAlign w:val="center"/>
                </w:tcPr>
                <w:p w14:paraId="1880846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依托原有项目</w:t>
                  </w:r>
                </w:p>
              </w:tc>
            </w:tr>
            <w:tr w14:paraId="34DADB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Merge w:val="continue"/>
                  <w:tcBorders>
                    <w:tl2br w:val="nil"/>
                    <w:tr2bl w:val="nil"/>
                  </w:tcBorders>
                </w:tcPr>
                <w:p w14:paraId="4599B017">
                  <w:pPr>
                    <w:jc w:val="center"/>
                    <w:rPr>
                      <w:rFonts w:hint="default" w:ascii="Times New Roman" w:hAnsi="Times New Roman" w:cs="Times New Roman"/>
                      <w:color w:val="auto"/>
                      <w:sz w:val="18"/>
                      <w:szCs w:val="18"/>
                    </w:rPr>
                  </w:pPr>
                </w:p>
              </w:tc>
              <w:tc>
                <w:tcPr>
                  <w:tcW w:w="867" w:type="pct"/>
                  <w:gridSpan w:val="2"/>
                  <w:tcBorders>
                    <w:tl2br w:val="nil"/>
                    <w:tr2bl w:val="nil"/>
                  </w:tcBorders>
                  <w:vAlign w:val="center"/>
                </w:tcPr>
                <w:p w14:paraId="3405485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给水系统</w:t>
                  </w:r>
                </w:p>
              </w:tc>
              <w:tc>
                <w:tcPr>
                  <w:tcW w:w="3320" w:type="pct"/>
                  <w:gridSpan w:val="2"/>
                  <w:tcBorders>
                    <w:tl2br w:val="nil"/>
                    <w:tr2bl w:val="nil"/>
                  </w:tcBorders>
                  <w:vAlign w:val="center"/>
                </w:tcPr>
                <w:p w14:paraId="49B4C6E3">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本项目生产、生活用水来源于工业园区供水管网。厂区现设置有2套软水装置，工艺为反渗透，每套规模为480m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/d。现闲置1套，本项目利用现有的1套软水处理装置。</w:t>
                  </w:r>
                </w:p>
                <w:p w14:paraId="373EBC6C">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项目新建1套脱盐水站，规模为5m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/h，处理工艺为反渗透+混床再生处理工艺。</w:t>
                  </w:r>
                </w:p>
              </w:tc>
              <w:tc>
                <w:tcPr>
                  <w:tcW w:w="457" w:type="pct"/>
                  <w:tcBorders>
                    <w:tl2br w:val="nil"/>
                    <w:tr2bl w:val="nil"/>
                  </w:tcBorders>
                  <w:vAlign w:val="center"/>
                </w:tcPr>
                <w:p w14:paraId="7CCF396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依托原有项目，新建1套脱盐水站</w:t>
                  </w:r>
                </w:p>
              </w:tc>
            </w:tr>
            <w:tr w14:paraId="45C8BC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Merge w:val="continue"/>
                  <w:tcBorders>
                    <w:tl2br w:val="nil"/>
                    <w:tr2bl w:val="nil"/>
                  </w:tcBorders>
                </w:tcPr>
                <w:p w14:paraId="4B1BBE36">
                  <w:pPr>
                    <w:jc w:val="center"/>
                    <w:rPr>
                      <w:rFonts w:hint="default" w:ascii="Times New Roman" w:hAnsi="Times New Roman" w:cs="Times New Roman"/>
                      <w:color w:val="auto"/>
                      <w:sz w:val="18"/>
                      <w:szCs w:val="18"/>
                    </w:rPr>
                  </w:pPr>
                </w:p>
              </w:tc>
              <w:tc>
                <w:tcPr>
                  <w:tcW w:w="867" w:type="pct"/>
                  <w:gridSpan w:val="2"/>
                  <w:tcBorders>
                    <w:tl2br w:val="nil"/>
                    <w:tr2bl w:val="nil"/>
                  </w:tcBorders>
                  <w:vAlign w:val="center"/>
                </w:tcPr>
                <w:p w14:paraId="025D020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天然气供给</w:t>
                  </w:r>
                </w:p>
              </w:tc>
              <w:tc>
                <w:tcPr>
                  <w:tcW w:w="3320" w:type="pct"/>
                  <w:gridSpan w:val="2"/>
                  <w:tcBorders>
                    <w:tl2br w:val="nil"/>
                    <w:tr2bl w:val="nil"/>
                  </w:tcBorders>
                  <w:vAlign w:val="center"/>
                </w:tcPr>
                <w:p w14:paraId="452362F1">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设置DN200的天燃气管道，厂区长度为150m。</w:t>
                  </w:r>
                </w:p>
              </w:tc>
              <w:tc>
                <w:tcPr>
                  <w:tcW w:w="457" w:type="pct"/>
                  <w:tcBorders>
                    <w:tl2br w:val="nil"/>
                    <w:tr2bl w:val="nil"/>
                  </w:tcBorders>
                  <w:vAlign w:val="center"/>
                </w:tcPr>
                <w:p w14:paraId="79978B5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14:paraId="4BC6EA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Merge w:val="continue"/>
                  <w:tcBorders>
                    <w:tl2br w:val="nil"/>
                    <w:tr2bl w:val="nil"/>
                  </w:tcBorders>
                </w:tcPr>
                <w:p w14:paraId="40F37F8B">
                  <w:pPr>
                    <w:jc w:val="center"/>
                    <w:rPr>
                      <w:rFonts w:hint="default" w:ascii="Times New Roman" w:hAnsi="Times New Roman" w:cs="Times New Roman"/>
                      <w:color w:val="auto"/>
                      <w:sz w:val="18"/>
                      <w:szCs w:val="18"/>
                    </w:rPr>
                  </w:pPr>
                </w:p>
              </w:tc>
              <w:tc>
                <w:tcPr>
                  <w:tcW w:w="867" w:type="pct"/>
                  <w:gridSpan w:val="2"/>
                  <w:tcBorders>
                    <w:tl2br w:val="nil"/>
                    <w:tr2bl w:val="nil"/>
                  </w:tcBorders>
                  <w:vAlign w:val="center"/>
                </w:tcPr>
                <w:p w14:paraId="5870CE9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道路</w:t>
                  </w:r>
                </w:p>
              </w:tc>
              <w:tc>
                <w:tcPr>
                  <w:tcW w:w="3320" w:type="pct"/>
                  <w:gridSpan w:val="2"/>
                  <w:tcBorders>
                    <w:tl2br w:val="nil"/>
                    <w:tr2bl w:val="nil"/>
                  </w:tcBorders>
                  <w:vAlign w:val="center"/>
                </w:tcPr>
                <w:p w14:paraId="7AB146B2">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厂区内原有道路</w:t>
                  </w:r>
                </w:p>
              </w:tc>
              <w:tc>
                <w:tcPr>
                  <w:tcW w:w="457" w:type="pct"/>
                  <w:tcBorders>
                    <w:tl2br w:val="nil"/>
                    <w:tr2bl w:val="nil"/>
                  </w:tcBorders>
                  <w:vAlign w:val="center"/>
                </w:tcPr>
                <w:p w14:paraId="7DF2197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依托原有项目</w:t>
                  </w:r>
                </w:p>
              </w:tc>
            </w:tr>
            <w:tr w14:paraId="6FB89C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Merge w:val="continue"/>
                  <w:tcBorders>
                    <w:tl2br w:val="nil"/>
                    <w:tr2bl w:val="nil"/>
                  </w:tcBorders>
                </w:tcPr>
                <w:p w14:paraId="2929AF55">
                  <w:pPr>
                    <w:jc w:val="center"/>
                    <w:rPr>
                      <w:rFonts w:hint="default" w:ascii="Times New Roman" w:hAnsi="Times New Roman" w:cs="Times New Roman"/>
                      <w:color w:val="auto"/>
                      <w:sz w:val="18"/>
                      <w:szCs w:val="18"/>
                    </w:rPr>
                  </w:pPr>
                </w:p>
              </w:tc>
              <w:tc>
                <w:tcPr>
                  <w:tcW w:w="867" w:type="pct"/>
                  <w:gridSpan w:val="2"/>
                  <w:tcBorders>
                    <w:tl2br w:val="nil"/>
                    <w:tr2bl w:val="nil"/>
                  </w:tcBorders>
                  <w:vAlign w:val="center"/>
                </w:tcPr>
                <w:p w14:paraId="3F381DF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储罐区</w:t>
                  </w:r>
                </w:p>
              </w:tc>
              <w:tc>
                <w:tcPr>
                  <w:tcW w:w="3320" w:type="pct"/>
                  <w:gridSpan w:val="2"/>
                  <w:tcBorders>
                    <w:tl2br w:val="nil"/>
                    <w:tr2bl w:val="nil"/>
                  </w:tcBorders>
                  <w:vAlign w:val="center"/>
                </w:tcPr>
                <w:p w14:paraId="66E1FDD1">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项目氨分解系统设置2个容积为6m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的液氨罐、项目在带钢镀锌车间南面设1个11m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盐酸储罐。</w:t>
                  </w:r>
                </w:p>
              </w:tc>
              <w:tc>
                <w:tcPr>
                  <w:tcW w:w="457" w:type="pct"/>
                  <w:tcBorders>
                    <w:tl2br w:val="nil"/>
                    <w:tr2bl w:val="nil"/>
                  </w:tcBorders>
                  <w:vAlign w:val="center"/>
                </w:tcPr>
                <w:p w14:paraId="06D3358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14:paraId="1F5044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Merge w:val="restart"/>
                  <w:tcBorders>
                    <w:tl2br w:val="nil"/>
                    <w:tr2bl w:val="nil"/>
                  </w:tcBorders>
                  <w:vAlign w:val="center"/>
                </w:tcPr>
                <w:p w14:paraId="185350F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环保工程</w:t>
                  </w:r>
                </w:p>
              </w:tc>
              <w:tc>
                <w:tcPr>
                  <w:tcW w:w="234" w:type="pct"/>
                  <w:vMerge w:val="restart"/>
                  <w:tcBorders>
                    <w:tl2br w:val="nil"/>
                    <w:tr2bl w:val="nil"/>
                  </w:tcBorders>
                  <w:vAlign w:val="center"/>
                </w:tcPr>
                <w:p w14:paraId="4F56AC3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633" w:type="pct"/>
                  <w:vMerge w:val="restart"/>
                  <w:tcBorders>
                    <w:tl2br w:val="nil"/>
                    <w:tr2bl w:val="nil"/>
                  </w:tcBorders>
                  <w:vAlign w:val="center"/>
                </w:tcPr>
                <w:p w14:paraId="4B1882B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生产废水</w:t>
                  </w:r>
                </w:p>
              </w:tc>
              <w:tc>
                <w:tcPr>
                  <w:tcW w:w="513" w:type="pct"/>
                  <w:tcBorders>
                    <w:tl2br w:val="nil"/>
                    <w:tr2bl w:val="nil"/>
                  </w:tcBorders>
                  <w:vAlign w:val="center"/>
                </w:tcPr>
                <w:p w14:paraId="065B285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净循环系统</w:t>
                  </w:r>
                </w:p>
              </w:tc>
              <w:tc>
                <w:tcPr>
                  <w:tcW w:w="2806" w:type="pct"/>
                  <w:tcBorders>
                    <w:tl2br w:val="nil"/>
                    <w:tr2bl w:val="nil"/>
                  </w:tcBorders>
                  <w:vAlign w:val="center"/>
                </w:tcPr>
                <w:p w14:paraId="7227F349">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型钢镀型、带钢冷轧及镀锌净循环系统：设2座冷却塔，1个容积为600m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净循环水池。</w:t>
                  </w:r>
                </w:p>
                <w:p w14:paraId="01AD3B9F">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焊管净循环系统：设1座冷却塔，1个容积为100m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的净循环水池。</w:t>
                  </w:r>
                </w:p>
              </w:tc>
              <w:tc>
                <w:tcPr>
                  <w:tcW w:w="457" w:type="pct"/>
                  <w:tcBorders>
                    <w:tl2br w:val="nil"/>
                    <w:tr2bl w:val="nil"/>
                  </w:tcBorders>
                  <w:vAlign w:val="center"/>
                </w:tcPr>
                <w:p w14:paraId="6DD4FF3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14:paraId="592D00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Merge w:val="continue"/>
                  <w:tcBorders>
                    <w:tl2br w:val="nil"/>
                    <w:tr2bl w:val="nil"/>
                  </w:tcBorders>
                  <w:vAlign w:val="center"/>
                </w:tcPr>
                <w:p w14:paraId="6559A5B9">
                  <w:pPr>
                    <w:jc w:val="center"/>
                    <w:rPr>
                      <w:rFonts w:hint="default" w:ascii="Times New Roman" w:hAnsi="Times New Roman" w:cs="Times New Roman"/>
                      <w:color w:val="auto"/>
                      <w:sz w:val="18"/>
                      <w:szCs w:val="18"/>
                    </w:rPr>
                  </w:pPr>
                </w:p>
              </w:tc>
              <w:tc>
                <w:tcPr>
                  <w:tcW w:w="234" w:type="pct"/>
                  <w:vMerge w:val="continue"/>
                  <w:tcBorders>
                    <w:tl2br w:val="nil"/>
                    <w:tr2bl w:val="nil"/>
                  </w:tcBorders>
                  <w:vAlign w:val="center"/>
                </w:tcPr>
                <w:p w14:paraId="3B37A34B">
                  <w:pPr>
                    <w:jc w:val="center"/>
                    <w:rPr>
                      <w:rFonts w:hint="default" w:ascii="Times New Roman" w:hAnsi="Times New Roman" w:cs="Times New Roman"/>
                      <w:color w:val="auto"/>
                      <w:sz w:val="18"/>
                      <w:szCs w:val="18"/>
                    </w:rPr>
                  </w:pPr>
                </w:p>
              </w:tc>
              <w:tc>
                <w:tcPr>
                  <w:tcW w:w="633" w:type="pct"/>
                  <w:vMerge w:val="continue"/>
                  <w:tcBorders>
                    <w:tl2br w:val="nil"/>
                    <w:tr2bl w:val="nil"/>
                  </w:tcBorders>
                  <w:vAlign w:val="center"/>
                </w:tcPr>
                <w:p w14:paraId="60803C1A">
                  <w:pPr>
                    <w:jc w:val="center"/>
                    <w:rPr>
                      <w:rFonts w:hint="default" w:ascii="Times New Roman" w:hAnsi="Times New Roman" w:cs="Times New Roman"/>
                      <w:color w:val="auto"/>
                      <w:sz w:val="18"/>
                      <w:szCs w:val="18"/>
                    </w:rPr>
                  </w:pPr>
                </w:p>
              </w:tc>
              <w:tc>
                <w:tcPr>
                  <w:tcW w:w="513" w:type="pct"/>
                  <w:tcBorders>
                    <w:tl2br w:val="nil"/>
                    <w:tr2bl w:val="nil"/>
                  </w:tcBorders>
                  <w:vAlign w:val="center"/>
                </w:tcPr>
                <w:p w14:paraId="328E92B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浊循环系统</w:t>
                  </w:r>
                </w:p>
              </w:tc>
              <w:tc>
                <w:tcPr>
                  <w:tcW w:w="2806" w:type="pct"/>
                  <w:tcBorders>
                    <w:tl2br w:val="nil"/>
                    <w:tr2bl w:val="nil"/>
                  </w:tcBorders>
                  <w:vAlign w:val="center"/>
                </w:tcPr>
                <w:p w14:paraId="229ED464">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酸雾洗涤塔为浊循环系统：设置2个150m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循环沉池池。</w:t>
                  </w:r>
                </w:p>
                <w:p w14:paraId="4246C15E">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高频焊管喷淋浊循环系统：设置2个18m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循环沉池池。</w:t>
                  </w:r>
                </w:p>
                <w:p w14:paraId="2F75001A">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镀锌淬水浊循环系统：设置有2个15m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的循环沉淀池。</w:t>
                  </w:r>
                </w:p>
                <w:p w14:paraId="3691ADD4">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乳化液废水浊循环系统：置有1个1m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的循环沉淀池。</w:t>
                  </w:r>
                </w:p>
                <w:p w14:paraId="0DC66354">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漂洗废水浊循环系统：带钢设置有1个75m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的漂洗池，型钢设置有2个170m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的漂洗池，池内分格设置。</w:t>
                  </w:r>
                </w:p>
              </w:tc>
              <w:tc>
                <w:tcPr>
                  <w:tcW w:w="457" w:type="pct"/>
                  <w:tcBorders>
                    <w:tl2br w:val="nil"/>
                    <w:tr2bl w:val="nil"/>
                  </w:tcBorders>
                  <w:vAlign w:val="center"/>
                </w:tcPr>
                <w:p w14:paraId="0EDD41A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14:paraId="19DF72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Merge w:val="continue"/>
                  <w:tcBorders>
                    <w:tl2br w:val="nil"/>
                    <w:tr2bl w:val="nil"/>
                  </w:tcBorders>
                  <w:vAlign w:val="center"/>
                </w:tcPr>
                <w:p w14:paraId="2E83D352">
                  <w:pPr>
                    <w:jc w:val="center"/>
                    <w:rPr>
                      <w:rFonts w:hint="default" w:ascii="Times New Roman" w:hAnsi="Times New Roman" w:cs="Times New Roman"/>
                      <w:color w:val="auto"/>
                      <w:sz w:val="18"/>
                      <w:szCs w:val="18"/>
                    </w:rPr>
                  </w:pPr>
                </w:p>
              </w:tc>
              <w:tc>
                <w:tcPr>
                  <w:tcW w:w="234" w:type="pct"/>
                  <w:vMerge w:val="continue"/>
                  <w:tcBorders>
                    <w:tl2br w:val="nil"/>
                    <w:tr2bl w:val="nil"/>
                  </w:tcBorders>
                  <w:vAlign w:val="center"/>
                </w:tcPr>
                <w:p w14:paraId="124EC264">
                  <w:pPr>
                    <w:jc w:val="center"/>
                    <w:rPr>
                      <w:rFonts w:hint="default" w:ascii="Times New Roman" w:hAnsi="Times New Roman" w:cs="Times New Roman"/>
                      <w:color w:val="auto"/>
                      <w:sz w:val="18"/>
                      <w:szCs w:val="18"/>
                    </w:rPr>
                  </w:pPr>
                </w:p>
              </w:tc>
              <w:tc>
                <w:tcPr>
                  <w:tcW w:w="633" w:type="pct"/>
                  <w:vMerge w:val="continue"/>
                  <w:tcBorders>
                    <w:tl2br w:val="nil"/>
                    <w:tr2bl w:val="nil"/>
                  </w:tcBorders>
                  <w:vAlign w:val="center"/>
                </w:tcPr>
                <w:p w14:paraId="72842262">
                  <w:pPr>
                    <w:jc w:val="center"/>
                    <w:rPr>
                      <w:rFonts w:hint="default" w:ascii="Times New Roman" w:hAnsi="Times New Roman" w:cs="Times New Roman"/>
                      <w:color w:val="auto"/>
                      <w:sz w:val="18"/>
                      <w:szCs w:val="18"/>
                    </w:rPr>
                  </w:pPr>
                </w:p>
              </w:tc>
              <w:tc>
                <w:tcPr>
                  <w:tcW w:w="513" w:type="pct"/>
                  <w:tcBorders>
                    <w:tl2br w:val="nil"/>
                    <w:tr2bl w:val="nil"/>
                  </w:tcBorders>
                  <w:vAlign w:val="center"/>
                </w:tcPr>
                <w:p w14:paraId="5228024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生产废水处理站</w:t>
                  </w:r>
                </w:p>
              </w:tc>
              <w:tc>
                <w:tcPr>
                  <w:tcW w:w="2806" w:type="pct"/>
                  <w:tcBorders>
                    <w:tl2br w:val="nil"/>
                    <w:tr2bl w:val="nil"/>
                  </w:tcBorders>
                  <w:vAlign w:val="center"/>
                </w:tcPr>
                <w:p w14:paraId="63ED8283">
                  <w:pPr>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1套规模为450m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/d的污水处理站，处理工艺为：中和+混凝沉淀+过滤+离子交换器。</w:t>
                  </w:r>
                </w:p>
              </w:tc>
              <w:tc>
                <w:tcPr>
                  <w:tcW w:w="457" w:type="pct"/>
                  <w:tcBorders>
                    <w:tl2br w:val="nil"/>
                    <w:tr2bl w:val="nil"/>
                  </w:tcBorders>
                  <w:vAlign w:val="center"/>
                </w:tcPr>
                <w:p w14:paraId="29B4D86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14:paraId="4C5874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Merge w:val="continue"/>
                  <w:tcBorders>
                    <w:tl2br w:val="nil"/>
                    <w:tr2bl w:val="nil"/>
                  </w:tcBorders>
                  <w:vAlign w:val="center"/>
                </w:tcPr>
                <w:p w14:paraId="2C2E612F">
                  <w:pPr>
                    <w:jc w:val="center"/>
                    <w:rPr>
                      <w:rFonts w:hint="default" w:ascii="Times New Roman" w:hAnsi="Times New Roman" w:cs="Times New Roman"/>
                      <w:color w:val="auto"/>
                      <w:sz w:val="18"/>
                      <w:szCs w:val="18"/>
                    </w:rPr>
                  </w:pPr>
                </w:p>
              </w:tc>
              <w:tc>
                <w:tcPr>
                  <w:tcW w:w="234" w:type="pct"/>
                  <w:vMerge w:val="continue"/>
                  <w:tcBorders>
                    <w:tl2br w:val="nil"/>
                    <w:tr2bl w:val="nil"/>
                  </w:tcBorders>
                  <w:vAlign w:val="center"/>
                </w:tcPr>
                <w:p w14:paraId="0A530572">
                  <w:pPr>
                    <w:jc w:val="center"/>
                    <w:rPr>
                      <w:rFonts w:hint="default" w:ascii="Times New Roman" w:hAnsi="Times New Roman" w:cs="Times New Roman"/>
                      <w:color w:val="auto"/>
                      <w:sz w:val="18"/>
                      <w:szCs w:val="18"/>
                    </w:rPr>
                  </w:pPr>
                </w:p>
              </w:tc>
              <w:tc>
                <w:tcPr>
                  <w:tcW w:w="633" w:type="pct"/>
                  <w:tcBorders>
                    <w:tl2br w:val="nil"/>
                    <w:tr2bl w:val="nil"/>
                  </w:tcBorders>
                  <w:vAlign w:val="center"/>
                </w:tcPr>
                <w:p w14:paraId="2E0490D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生活废水</w:t>
                  </w:r>
                </w:p>
              </w:tc>
              <w:tc>
                <w:tcPr>
                  <w:tcW w:w="3320" w:type="pct"/>
                  <w:gridSpan w:val="2"/>
                  <w:tcBorders>
                    <w:tl2br w:val="nil"/>
                    <w:tr2bl w:val="nil"/>
                  </w:tcBorders>
                  <w:vAlign w:val="center"/>
                </w:tcPr>
                <w:p w14:paraId="0034C127">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1个隔油池、1个化粪池。</w:t>
                  </w:r>
                </w:p>
              </w:tc>
              <w:tc>
                <w:tcPr>
                  <w:tcW w:w="457" w:type="pct"/>
                  <w:tcBorders>
                    <w:tl2br w:val="nil"/>
                    <w:tr2bl w:val="nil"/>
                  </w:tcBorders>
                  <w:vAlign w:val="center"/>
                </w:tcPr>
                <w:p w14:paraId="02E2A82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依托现有</w:t>
                  </w:r>
                </w:p>
              </w:tc>
            </w:tr>
            <w:tr w14:paraId="4F84AD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Merge w:val="continue"/>
                  <w:tcBorders>
                    <w:tl2br w:val="nil"/>
                    <w:tr2bl w:val="nil"/>
                  </w:tcBorders>
                  <w:vAlign w:val="center"/>
                </w:tcPr>
                <w:p w14:paraId="787AF090">
                  <w:pPr>
                    <w:jc w:val="center"/>
                    <w:rPr>
                      <w:rFonts w:hint="default" w:ascii="Times New Roman" w:hAnsi="Times New Roman" w:cs="Times New Roman"/>
                      <w:color w:val="auto"/>
                      <w:sz w:val="18"/>
                      <w:szCs w:val="18"/>
                    </w:rPr>
                  </w:pPr>
                </w:p>
              </w:tc>
              <w:tc>
                <w:tcPr>
                  <w:tcW w:w="234" w:type="pct"/>
                  <w:vMerge w:val="continue"/>
                  <w:tcBorders>
                    <w:tl2br w:val="nil"/>
                    <w:tr2bl w:val="nil"/>
                  </w:tcBorders>
                  <w:vAlign w:val="center"/>
                </w:tcPr>
                <w:p w14:paraId="1F6BB18F">
                  <w:pPr>
                    <w:jc w:val="center"/>
                    <w:rPr>
                      <w:rFonts w:hint="default" w:ascii="Times New Roman" w:hAnsi="Times New Roman" w:cs="Times New Roman"/>
                      <w:color w:val="auto"/>
                      <w:sz w:val="18"/>
                      <w:szCs w:val="18"/>
                    </w:rPr>
                  </w:pPr>
                </w:p>
              </w:tc>
              <w:tc>
                <w:tcPr>
                  <w:tcW w:w="633" w:type="pct"/>
                  <w:tcBorders>
                    <w:tl2br w:val="nil"/>
                    <w:tr2bl w:val="nil"/>
                  </w:tcBorders>
                  <w:vAlign w:val="center"/>
                </w:tcPr>
                <w:p w14:paraId="01878E8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事故废水</w:t>
                  </w:r>
                </w:p>
              </w:tc>
              <w:tc>
                <w:tcPr>
                  <w:tcW w:w="3320" w:type="pct"/>
                  <w:gridSpan w:val="2"/>
                  <w:tcBorders>
                    <w:tl2br w:val="nil"/>
                    <w:tr2bl w:val="nil"/>
                  </w:tcBorders>
                  <w:vAlign w:val="center"/>
                </w:tcPr>
                <w:p w14:paraId="487265EB">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污水处理站旁设置一个事故池容积为200m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w:t>
                  </w:r>
                </w:p>
              </w:tc>
              <w:tc>
                <w:tcPr>
                  <w:tcW w:w="457" w:type="pct"/>
                  <w:tcBorders>
                    <w:tl2br w:val="nil"/>
                    <w:tr2bl w:val="nil"/>
                  </w:tcBorders>
                  <w:vAlign w:val="center"/>
                </w:tcPr>
                <w:p w14:paraId="67BCC2A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14:paraId="0BAC7E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Merge w:val="continue"/>
                  <w:tcBorders>
                    <w:tl2br w:val="nil"/>
                    <w:tr2bl w:val="nil"/>
                  </w:tcBorders>
                  <w:vAlign w:val="center"/>
                </w:tcPr>
                <w:p w14:paraId="30132ED5">
                  <w:pPr>
                    <w:jc w:val="center"/>
                    <w:rPr>
                      <w:rFonts w:hint="default" w:ascii="Times New Roman" w:hAnsi="Times New Roman" w:cs="Times New Roman"/>
                      <w:color w:val="auto"/>
                      <w:sz w:val="18"/>
                      <w:szCs w:val="18"/>
                    </w:rPr>
                  </w:pPr>
                </w:p>
              </w:tc>
              <w:tc>
                <w:tcPr>
                  <w:tcW w:w="234" w:type="pct"/>
                  <w:vMerge w:val="continue"/>
                  <w:tcBorders>
                    <w:tl2br w:val="nil"/>
                    <w:tr2bl w:val="nil"/>
                  </w:tcBorders>
                  <w:vAlign w:val="center"/>
                </w:tcPr>
                <w:p w14:paraId="6AF86124">
                  <w:pPr>
                    <w:jc w:val="center"/>
                    <w:rPr>
                      <w:rFonts w:hint="default" w:ascii="Times New Roman" w:hAnsi="Times New Roman" w:cs="Times New Roman"/>
                      <w:color w:val="auto"/>
                      <w:sz w:val="18"/>
                      <w:szCs w:val="18"/>
                    </w:rPr>
                  </w:pPr>
                </w:p>
              </w:tc>
              <w:tc>
                <w:tcPr>
                  <w:tcW w:w="633" w:type="pct"/>
                  <w:tcBorders>
                    <w:tl2br w:val="nil"/>
                    <w:tr2bl w:val="nil"/>
                  </w:tcBorders>
                  <w:vAlign w:val="center"/>
                </w:tcPr>
                <w:p w14:paraId="55B3920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初期雨水</w:t>
                  </w:r>
                </w:p>
              </w:tc>
              <w:tc>
                <w:tcPr>
                  <w:tcW w:w="3320" w:type="pct"/>
                  <w:gridSpan w:val="2"/>
                  <w:tcBorders>
                    <w:tl2br w:val="nil"/>
                    <w:tr2bl w:val="nil"/>
                  </w:tcBorders>
                  <w:vAlign w:val="center"/>
                </w:tcPr>
                <w:p w14:paraId="64F5B20A">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设置1个容积为62m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的初期雨水池</w:t>
                  </w:r>
                </w:p>
              </w:tc>
              <w:tc>
                <w:tcPr>
                  <w:tcW w:w="457" w:type="pct"/>
                  <w:tcBorders>
                    <w:tl2br w:val="nil"/>
                    <w:tr2bl w:val="nil"/>
                  </w:tcBorders>
                  <w:vAlign w:val="center"/>
                </w:tcPr>
                <w:p w14:paraId="40BC1CD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14:paraId="7632FF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Merge w:val="continue"/>
                  <w:tcBorders>
                    <w:tl2br w:val="nil"/>
                    <w:tr2bl w:val="nil"/>
                  </w:tcBorders>
                </w:tcPr>
                <w:p w14:paraId="7388D4CF">
                  <w:pPr>
                    <w:jc w:val="center"/>
                    <w:rPr>
                      <w:rFonts w:hint="default" w:ascii="Times New Roman" w:hAnsi="Times New Roman" w:cs="Times New Roman"/>
                      <w:color w:val="auto"/>
                      <w:sz w:val="18"/>
                      <w:szCs w:val="18"/>
                    </w:rPr>
                  </w:pPr>
                </w:p>
              </w:tc>
              <w:tc>
                <w:tcPr>
                  <w:tcW w:w="234" w:type="pct"/>
                  <w:vMerge w:val="restart"/>
                  <w:tcBorders>
                    <w:tl2br w:val="nil"/>
                    <w:tr2bl w:val="nil"/>
                  </w:tcBorders>
                  <w:vAlign w:val="center"/>
                </w:tcPr>
                <w:p w14:paraId="635909B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633" w:type="pct"/>
                  <w:tcBorders>
                    <w:tl2br w:val="nil"/>
                    <w:tr2bl w:val="nil"/>
                  </w:tcBorders>
                  <w:vAlign w:val="center"/>
                </w:tcPr>
                <w:p w14:paraId="69D605A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带钢冷轧、镀锌</w:t>
                  </w:r>
                </w:p>
              </w:tc>
              <w:tc>
                <w:tcPr>
                  <w:tcW w:w="3320" w:type="pct"/>
                  <w:gridSpan w:val="2"/>
                  <w:tcBorders>
                    <w:tl2br w:val="nil"/>
                    <w:tr2bl w:val="nil"/>
                  </w:tcBorders>
                  <w:vAlign w:val="center"/>
                </w:tcPr>
                <w:p w14:paraId="52A3812D">
                  <w:pPr>
                    <w:autoSpaceDE w:val="0"/>
                    <w:autoSpaceDN w:val="0"/>
                    <w:rPr>
                      <w:rFonts w:hint="default" w:ascii="Times New Roman" w:hAnsi="Times New Roman" w:cs="Times New Roman"/>
                      <w:color w:val="auto"/>
                      <w:spacing w:val="-1"/>
                      <w:position w:val="1"/>
                      <w:sz w:val="18"/>
                      <w:szCs w:val="18"/>
                    </w:rPr>
                  </w:pPr>
                  <w:r>
                    <w:rPr>
                      <w:rFonts w:hint="default" w:ascii="Times New Roman" w:hAnsi="Times New Roman" w:cs="Times New Roman"/>
                      <w:color w:val="auto"/>
                      <w:spacing w:val="-1"/>
                      <w:position w:val="1"/>
                      <w:sz w:val="18"/>
                      <w:szCs w:val="18"/>
                    </w:rPr>
                    <w:t>项目生产线设置于生产车间内。</w:t>
                  </w:r>
                </w:p>
                <w:p w14:paraId="659F8D50">
                  <w:pPr>
                    <w:autoSpaceDE w:val="0"/>
                    <w:autoSpaceDN w:val="0"/>
                    <w:ind w:firstLine="356" w:firstLineChars="200"/>
                    <w:rPr>
                      <w:rFonts w:hint="default" w:ascii="Times New Roman" w:hAnsi="Times New Roman" w:cs="Times New Roman"/>
                      <w:color w:val="auto"/>
                      <w:spacing w:val="-1"/>
                      <w:position w:val="1"/>
                      <w:sz w:val="18"/>
                      <w:szCs w:val="18"/>
                    </w:rPr>
                  </w:pPr>
                  <w:r>
                    <w:rPr>
                      <w:rFonts w:hint="default" w:ascii="Times New Roman" w:hAnsi="Times New Roman" w:cs="Times New Roman"/>
                      <w:color w:val="auto"/>
                      <w:spacing w:val="-1"/>
                      <w:position w:val="1"/>
                      <w:sz w:val="18"/>
                      <w:szCs w:val="18"/>
                    </w:rPr>
                    <w:t>（1）带钢镀锌原料处理开卷机、焊接机、机械剥壳处设置集气罩，设置1套布袋收尘，1根18m高排气筒。</w:t>
                  </w:r>
                </w:p>
                <w:p w14:paraId="34FD1A78">
                  <w:pPr>
                    <w:autoSpaceDE w:val="0"/>
                    <w:autoSpaceDN w:val="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（2）带钢酸洗槽设置密闭槽，废气负压抽吸后经冷凝+二级喷淋组合工艺吸收后，由1根30m高排筒排放。两条带钢共设置1套酸雾处理系统，1根排气筒。</w:t>
                  </w:r>
                </w:p>
                <w:p w14:paraId="6CED305A">
                  <w:pPr>
                    <w:autoSpaceDE w:val="0"/>
                    <w:autoSpaceDN w:val="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（3）锅炉废气设置1根15m高排气筒。</w:t>
                  </w:r>
                </w:p>
                <w:p w14:paraId="6264E6D4">
                  <w:pPr>
                    <w:autoSpaceDE w:val="0"/>
                    <w:autoSpaceDN w:val="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（4）轧机上方设置集气罩，油雾经集气罩收集后送入1套油雾净化器处理，项目两条轧线分别收集后，统一由1套过滤式油雾净化器处理，处理后由1根高18m排气筒排放。</w:t>
                  </w:r>
                </w:p>
                <w:p w14:paraId="53F82FDA">
                  <w:pPr>
                    <w:autoSpaceDE w:val="0"/>
                    <w:autoSpaceDN w:val="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（5）项目对2台锌锅分别设置集尘罩对锌烟尘进行收集，锌尘通过收集后，一起引至共用的布袋除尘器内除尘后经18m高的排气筒排放。</w:t>
                  </w:r>
                </w:p>
              </w:tc>
              <w:tc>
                <w:tcPr>
                  <w:tcW w:w="457" w:type="pct"/>
                  <w:tcBorders>
                    <w:tl2br w:val="nil"/>
                    <w:tr2bl w:val="nil"/>
                  </w:tcBorders>
                  <w:vAlign w:val="center"/>
                </w:tcPr>
                <w:p w14:paraId="73509A0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14:paraId="21A223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Merge w:val="continue"/>
                  <w:tcBorders>
                    <w:tl2br w:val="nil"/>
                    <w:tr2bl w:val="nil"/>
                  </w:tcBorders>
                </w:tcPr>
                <w:p w14:paraId="1D7EBC11">
                  <w:pPr>
                    <w:jc w:val="center"/>
                    <w:rPr>
                      <w:rFonts w:hint="default" w:ascii="Times New Roman" w:hAnsi="Times New Roman" w:cs="Times New Roman"/>
                      <w:color w:val="auto"/>
                      <w:sz w:val="18"/>
                      <w:szCs w:val="18"/>
                    </w:rPr>
                  </w:pPr>
                </w:p>
              </w:tc>
              <w:tc>
                <w:tcPr>
                  <w:tcW w:w="234" w:type="pct"/>
                  <w:vMerge w:val="continue"/>
                  <w:tcBorders>
                    <w:tl2br w:val="nil"/>
                    <w:tr2bl w:val="nil"/>
                  </w:tcBorders>
                  <w:vAlign w:val="center"/>
                </w:tcPr>
                <w:p w14:paraId="22019133">
                  <w:pPr>
                    <w:jc w:val="center"/>
                    <w:rPr>
                      <w:rFonts w:hint="default" w:ascii="Times New Roman" w:hAnsi="Times New Roman" w:cs="Times New Roman"/>
                      <w:color w:val="auto"/>
                      <w:sz w:val="18"/>
                      <w:szCs w:val="18"/>
                    </w:rPr>
                  </w:pPr>
                </w:p>
              </w:tc>
              <w:tc>
                <w:tcPr>
                  <w:tcW w:w="633" w:type="pct"/>
                  <w:tcBorders>
                    <w:tl2br w:val="nil"/>
                    <w:tr2bl w:val="nil"/>
                  </w:tcBorders>
                  <w:vAlign w:val="center"/>
                </w:tcPr>
                <w:p w14:paraId="312C0DC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型钢镀锌</w:t>
                  </w:r>
                </w:p>
              </w:tc>
              <w:tc>
                <w:tcPr>
                  <w:tcW w:w="3320" w:type="pct"/>
                  <w:gridSpan w:val="2"/>
                  <w:tcBorders>
                    <w:tl2br w:val="nil"/>
                    <w:tr2bl w:val="nil"/>
                  </w:tcBorders>
                  <w:vAlign w:val="center"/>
                </w:tcPr>
                <w:p w14:paraId="021919E8">
                  <w:pPr>
                    <w:autoSpaceDE w:val="0"/>
                    <w:autoSpaceDN w:val="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项目生产线设置于车间内。</w:t>
                  </w:r>
                </w:p>
                <w:p w14:paraId="18039CDF">
                  <w:pPr>
                    <w:autoSpaceDE w:val="0"/>
                    <w:autoSpaceDN w:val="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项目型钢酸洗槽废气经负压密闭收集后进入一套酸雾处理系统，盐酸雾经酸雾处理系统处理后经1根30m高排气筒排放。助镀废气经集气罩收集后送入盐酸雾处理系统一同处理。</w:t>
                  </w:r>
                </w:p>
                <w:p w14:paraId="5DA5C458">
                  <w:pPr>
                    <w:autoSpaceDE w:val="0"/>
                    <w:autoSpaceDN w:val="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型钢锌锅加热炉分别设置1根18m高排气筒排放。项目共设置2根排气筒。</w:t>
                  </w:r>
                </w:p>
                <w:p w14:paraId="3B6A50B1">
                  <w:pPr>
                    <w:autoSpaceDE w:val="0"/>
                    <w:autoSpaceDN w:val="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项目对2台锌锅分别设置集尘罩对锌烟尘进行收集，锌尘通过收集后，一起引至共用的布袋除尘器内除尘后经18m高的排气筒排放。</w:t>
                  </w:r>
                </w:p>
              </w:tc>
              <w:tc>
                <w:tcPr>
                  <w:tcW w:w="457" w:type="pct"/>
                  <w:tcBorders>
                    <w:tl2br w:val="nil"/>
                    <w:tr2bl w:val="nil"/>
                  </w:tcBorders>
                  <w:vAlign w:val="center"/>
                </w:tcPr>
                <w:p w14:paraId="78A65F4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14:paraId="30182D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Merge w:val="continue"/>
                  <w:tcBorders>
                    <w:tl2br w:val="nil"/>
                    <w:tr2bl w:val="nil"/>
                  </w:tcBorders>
                </w:tcPr>
                <w:p w14:paraId="64461BD0">
                  <w:pPr>
                    <w:jc w:val="center"/>
                    <w:rPr>
                      <w:rFonts w:hint="default" w:ascii="Times New Roman" w:hAnsi="Times New Roman" w:cs="Times New Roman"/>
                      <w:color w:val="auto"/>
                      <w:sz w:val="18"/>
                      <w:szCs w:val="18"/>
                    </w:rPr>
                  </w:pPr>
                </w:p>
              </w:tc>
              <w:tc>
                <w:tcPr>
                  <w:tcW w:w="234" w:type="pct"/>
                  <w:tcBorders>
                    <w:tl2br w:val="nil"/>
                    <w:tr2bl w:val="nil"/>
                  </w:tcBorders>
                  <w:vAlign w:val="center"/>
                </w:tcPr>
                <w:p w14:paraId="70A5EE8D">
                  <w:pPr>
                    <w:jc w:val="center"/>
                    <w:rPr>
                      <w:rFonts w:hint="default" w:ascii="Times New Roman" w:hAnsi="Times New Roman" w:cs="Times New Roman"/>
                      <w:color w:val="auto"/>
                      <w:sz w:val="18"/>
                      <w:szCs w:val="18"/>
                    </w:rPr>
                  </w:pPr>
                </w:p>
              </w:tc>
              <w:tc>
                <w:tcPr>
                  <w:tcW w:w="633" w:type="pct"/>
                  <w:tcBorders>
                    <w:tl2br w:val="nil"/>
                    <w:tr2bl w:val="nil"/>
                  </w:tcBorders>
                  <w:vAlign w:val="center"/>
                </w:tcPr>
                <w:p w14:paraId="28BD77F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焊管</w:t>
                  </w:r>
                </w:p>
              </w:tc>
              <w:tc>
                <w:tcPr>
                  <w:tcW w:w="3320" w:type="pct"/>
                  <w:gridSpan w:val="2"/>
                  <w:tcBorders>
                    <w:tl2br w:val="nil"/>
                    <w:tr2bl w:val="nil"/>
                  </w:tcBorders>
                  <w:vAlign w:val="center"/>
                </w:tcPr>
                <w:p w14:paraId="07AFB8AA">
                  <w:pPr>
                    <w:ind w:firstLine="360" w:firstLineChars="200"/>
                    <w:rPr>
                      <w:rFonts w:hint="default" w:ascii="Times New Roman" w:hAnsi="Times New Roman" w:cs="Times New Roman"/>
                      <w:color w:val="auto"/>
                      <w:spacing w:val="-1"/>
                      <w:position w:val="1"/>
                      <w:sz w:val="18"/>
                      <w:szCs w:val="18"/>
                    </w:rPr>
                  </w:pPr>
                  <w:r>
                    <w:rPr>
                      <w:rFonts w:hint="default" w:ascii="Times New Roman" w:hAnsi="Times New Roman" w:cs="Times New Roman"/>
                      <w:color w:val="auto"/>
                      <w:sz w:val="18"/>
                      <w:szCs w:val="18"/>
                    </w:rPr>
                    <w:t>项目生产线设置于生产车间内，高频焊管采取喷淋措施，减少无组织粉尘的产生。</w:t>
                  </w:r>
                </w:p>
              </w:tc>
              <w:tc>
                <w:tcPr>
                  <w:tcW w:w="457" w:type="pct"/>
                  <w:tcBorders>
                    <w:tl2br w:val="nil"/>
                    <w:tr2bl w:val="nil"/>
                  </w:tcBorders>
                  <w:vAlign w:val="center"/>
                </w:tcPr>
                <w:p w14:paraId="7B4C103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14:paraId="0930B9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Merge w:val="continue"/>
                  <w:tcBorders>
                    <w:tl2br w:val="nil"/>
                    <w:tr2bl w:val="nil"/>
                  </w:tcBorders>
                </w:tcPr>
                <w:p w14:paraId="2A94C2FD">
                  <w:pPr>
                    <w:jc w:val="center"/>
                    <w:rPr>
                      <w:rFonts w:hint="default" w:ascii="Times New Roman" w:hAnsi="Times New Roman" w:cs="Times New Roman"/>
                      <w:color w:val="auto"/>
                      <w:sz w:val="18"/>
                      <w:szCs w:val="18"/>
                    </w:rPr>
                  </w:pPr>
                </w:p>
              </w:tc>
              <w:tc>
                <w:tcPr>
                  <w:tcW w:w="867" w:type="pct"/>
                  <w:gridSpan w:val="2"/>
                  <w:tcBorders>
                    <w:tl2br w:val="nil"/>
                    <w:tr2bl w:val="nil"/>
                  </w:tcBorders>
                  <w:vAlign w:val="center"/>
                </w:tcPr>
                <w:p w14:paraId="2809237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固废防治设施</w:t>
                  </w:r>
                </w:p>
              </w:tc>
              <w:tc>
                <w:tcPr>
                  <w:tcW w:w="3320" w:type="pct"/>
                  <w:gridSpan w:val="2"/>
                  <w:tcBorders>
                    <w:tl2br w:val="nil"/>
                    <w:tr2bl w:val="nil"/>
                  </w:tcBorders>
                  <w:vAlign w:val="center"/>
                </w:tcPr>
                <w:p w14:paraId="01A1CDD2">
                  <w:pPr>
                    <w:autoSpaceDE w:val="0"/>
                    <w:autoSpaceDN w:val="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（1）一般工业固废堆存点：位于带钢酸洗冷轧车间，占地面积为20m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w:t>
                  </w:r>
                </w:p>
                <w:p w14:paraId="37619900">
                  <w:pPr>
                    <w:autoSpaceDE w:val="0"/>
                    <w:autoSpaceDN w:val="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（2）危险废物贮存库：位于成品库北侧，占地面积为100m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w:t>
                  </w:r>
                </w:p>
              </w:tc>
              <w:tc>
                <w:tcPr>
                  <w:tcW w:w="457" w:type="pct"/>
                  <w:tcBorders>
                    <w:tl2br w:val="nil"/>
                    <w:tr2bl w:val="nil"/>
                  </w:tcBorders>
                  <w:vAlign w:val="center"/>
                </w:tcPr>
                <w:p w14:paraId="3637792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14:paraId="480AAD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Merge w:val="continue"/>
                  <w:tcBorders>
                    <w:tl2br w:val="nil"/>
                    <w:tr2bl w:val="nil"/>
                  </w:tcBorders>
                </w:tcPr>
                <w:p w14:paraId="2D452FCF">
                  <w:pPr>
                    <w:jc w:val="center"/>
                    <w:rPr>
                      <w:rFonts w:hint="default" w:ascii="Times New Roman" w:hAnsi="Times New Roman" w:cs="Times New Roman"/>
                      <w:color w:val="auto"/>
                      <w:sz w:val="18"/>
                      <w:szCs w:val="18"/>
                    </w:rPr>
                  </w:pPr>
                </w:p>
              </w:tc>
              <w:tc>
                <w:tcPr>
                  <w:tcW w:w="867" w:type="pct"/>
                  <w:gridSpan w:val="2"/>
                  <w:tcBorders>
                    <w:tl2br w:val="nil"/>
                    <w:tr2bl w:val="nil"/>
                  </w:tcBorders>
                  <w:vAlign w:val="center"/>
                </w:tcPr>
                <w:p w14:paraId="5247E30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风险防治设施</w:t>
                  </w:r>
                </w:p>
              </w:tc>
              <w:tc>
                <w:tcPr>
                  <w:tcW w:w="3320" w:type="pct"/>
                  <w:gridSpan w:val="2"/>
                  <w:tcBorders>
                    <w:tl2br w:val="nil"/>
                    <w:tr2bl w:val="nil"/>
                  </w:tcBorders>
                  <w:vAlign w:val="center"/>
                </w:tcPr>
                <w:p w14:paraId="2ADE552C">
                  <w:pPr>
                    <w:autoSpaceDE w:val="0"/>
                    <w:autoSpaceDN w:val="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（1）盐酸储罐区：</w:t>
                  </w:r>
                  <w:r>
                    <w:rPr>
                      <w:rFonts w:hint="default" w:ascii="Times New Roman" w:hAnsi="Times New Roman" w:cs="Times New Roman"/>
                      <w:bCs/>
                      <w:color w:val="auto"/>
                      <w:sz w:val="18"/>
                      <w:szCs w:val="18"/>
                    </w:rPr>
                    <w:t>围堰尺寸为：5×5×0.5m，容积为12.5m</w:t>
                  </w:r>
                  <w:r>
                    <w:rPr>
                      <w:rFonts w:hint="default" w:ascii="Times New Roman" w:hAnsi="Times New Roman" w:cs="Times New Roman"/>
                      <w:bCs/>
                      <w:color w:val="auto"/>
                      <w:sz w:val="18"/>
                      <w:szCs w:val="18"/>
                      <w:vertAlign w:val="superscript"/>
                    </w:rPr>
                    <w:t>3</w:t>
                  </w:r>
                  <w:r>
                    <w:rPr>
                      <w:rFonts w:hint="default" w:ascii="Times New Roman" w:hAnsi="Times New Roman" w:cs="Times New Roman"/>
                      <w:bCs/>
                      <w:color w:val="auto"/>
                      <w:sz w:val="18"/>
                      <w:szCs w:val="18"/>
                    </w:rPr>
                    <w:t>，罐区设置1个13m</w:t>
                  </w:r>
                  <w:r>
                    <w:rPr>
                      <w:rFonts w:hint="default" w:ascii="Times New Roman" w:hAnsi="Times New Roman" w:cs="Times New Roman"/>
                      <w:bCs/>
                      <w:color w:val="auto"/>
                      <w:sz w:val="18"/>
                      <w:szCs w:val="18"/>
                      <w:vertAlign w:val="superscript"/>
                    </w:rPr>
                    <w:t>3</w:t>
                  </w:r>
                  <w:r>
                    <w:rPr>
                      <w:rFonts w:hint="default" w:ascii="Times New Roman" w:hAnsi="Times New Roman" w:cs="Times New Roman"/>
                      <w:bCs/>
                      <w:color w:val="auto"/>
                      <w:sz w:val="18"/>
                      <w:szCs w:val="18"/>
                    </w:rPr>
                    <w:t>事故池。</w:t>
                  </w:r>
                </w:p>
                <w:p w14:paraId="2E763E98">
                  <w:pPr>
                    <w:autoSpaceDE w:val="0"/>
                    <w:autoSpaceDN w:val="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（2）氨水储存区：围堰尺寸为：5×4×0.5m，</w:t>
                  </w:r>
                  <w:r>
                    <w:rPr>
                      <w:rFonts w:hint="default" w:ascii="Times New Roman" w:hAnsi="Times New Roman" w:cs="Times New Roman"/>
                      <w:bCs/>
                      <w:color w:val="auto"/>
                      <w:sz w:val="18"/>
                      <w:szCs w:val="18"/>
                    </w:rPr>
                    <w:t>容积为10m</w:t>
                  </w:r>
                  <w:r>
                    <w:rPr>
                      <w:rFonts w:hint="default" w:ascii="Times New Roman" w:hAnsi="Times New Roman" w:cs="Times New Roman"/>
                      <w:bCs/>
                      <w:color w:val="auto"/>
                      <w:sz w:val="18"/>
                      <w:szCs w:val="18"/>
                      <w:vertAlign w:val="superscript"/>
                    </w:rPr>
                    <w:t>3</w:t>
                  </w:r>
                  <w:r>
                    <w:rPr>
                      <w:rFonts w:hint="default" w:ascii="Times New Roman" w:hAnsi="Times New Roman" w:cs="Times New Roman"/>
                      <w:bCs/>
                      <w:color w:val="auto"/>
                      <w:sz w:val="18"/>
                      <w:szCs w:val="18"/>
                    </w:rPr>
                    <w:t>，</w:t>
                  </w:r>
                  <w:r>
                    <w:rPr>
                      <w:rFonts w:hint="default" w:ascii="Times New Roman" w:hAnsi="Times New Roman" w:cs="Times New Roman"/>
                      <w:color w:val="auto"/>
                      <w:sz w:val="18"/>
                      <w:szCs w:val="18"/>
                    </w:rPr>
                    <w:t>设置1个15m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事故池。</w:t>
                  </w:r>
                </w:p>
              </w:tc>
              <w:tc>
                <w:tcPr>
                  <w:tcW w:w="457" w:type="pct"/>
                  <w:tcBorders>
                    <w:tl2br w:val="nil"/>
                    <w:tr2bl w:val="nil"/>
                  </w:tcBorders>
                  <w:vAlign w:val="center"/>
                </w:tcPr>
                <w:p w14:paraId="094C1D3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tr w14:paraId="372BB4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 w:type="pct"/>
                  <w:vMerge w:val="continue"/>
                  <w:tcBorders>
                    <w:tl2br w:val="nil"/>
                    <w:tr2bl w:val="nil"/>
                  </w:tcBorders>
                </w:tcPr>
                <w:p w14:paraId="5C9E1AF9">
                  <w:pPr>
                    <w:jc w:val="center"/>
                    <w:rPr>
                      <w:rFonts w:hint="default" w:ascii="Times New Roman" w:hAnsi="Times New Roman" w:cs="Times New Roman"/>
                      <w:color w:val="auto"/>
                      <w:sz w:val="18"/>
                      <w:szCs w:val="18"/>
                    </w:rPr>
                  </w:pPr>
                </w:p>
              </w:tc>
              <w:tc>
                <w:tcPr>
                  <w:tcW w:w="867" w:type="pct"/>
                  <w:gridSpan w:val="2"/>
                  <w:tcBorders>
                    <w:tl2br w:val="nil"/>
                    <w:tr2bl w:val="nil"/>
                  </w:tcBorders>
                  <w:vAlign w:val="center"/>
                </w:tcPr>
                <w:p w14:paraId="387DAC5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地下水防治措施</w:t>
                  </w:r>
                </w:p>
              </w:tc>
              <w:tc>
                <w:tcPr>
                  <w:tcW w:w="3320" w:type="pct"/>
                  <w:gridSpan w:val="2"/>
                  <w:tcBorders>
                    <w:tl2br w:val="nil"/>
                    <w:tr2bl w:val="nil"/>
                  </w:tcBorders>
                  <w:vAlign w:val="center"/>
                </w:tcPr>
                <w:p w14:paraId="4849059B">
                  <w:pPr>
                    <w:autoSpaceDE w:val="0"/>
                    <w:autoSpaceDN w:val="0"/>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将危险废物贮存库、污水处理站、酸洗槽、助镀槽、漂洗槽、事故池、初期雨水收集池、盐酸储罐区、氨分解车间、冷轧镀锌生产线净/浊循环水系统、焊管车间净/浊循环水系统等划分为重点防渗区，渗透系数不大于1×10</w:t>
                  </w:r>
                  <w:r>
                    <w:rPr>
                      <w:rFonts w:hint="default" w:ascii="Times New Roman" w:hAnsi="Times New Roman" w:cs="Times New Roman"/>
                      <w:color w:val="auto"/>
                      <w:sz w:val="18"/>
                      <w:szCs w:val="18"/>
                      <w:vertAlign w:val="superscript"/>
                    </w:rPr>
                    <w:t>-10</w:t>
                  </w:r>
                  <w:r>
                    <w:rPr>
                      <w:rFonts w:hint="default" w:ascii="Times New Roman" w:hAnsi="Times New Roman" w:cs="Times New Roman"/>
                      <w:color w:val="auto"/>
                      <w:sz w:val="18"/>
                      <w:szCs w:val="18"/>
                    </w:rPr>
                    <w:t>cm/s；生产车间内、隔油池、化粪池划分为一般防渗区，等效粘土防水层Mb≥1.5m，K≤1×10</w:t>
                  </w:r>
                  <w:r>
                    <w:rPr>
                      <w:rFonts w:hint="default" w:ascii="Times New Roman" w:hAnsi="Times New Roman" w:cs="Times New Roman"/>
                      <w:color w:val="auto"/>
                      <w:sz w:val="18"/>
                      <w:szCs w:val="18"/>
                      <w:vertAlign w:val="superscript"/>
                    </w:rPr>
                    <w:t>-7</w:t>
                  </w:r>
                  <w:r>
                    <w:rPr>
                      <w:rFonts w:hint="default" w:ascii="Times New Roman" w:hAnsi="Times New Roman" w:cs="Times New Roman"/>
                      <w:color w:val="auto"/>
                      <w:sz w:val="18"/>
                      <w:szCs w:val="18"/>
                    </w:rPr>
                    <w:t>cm/s；其他区域为简单防渗区，进行简单硬化。</w:t>
                  </w:r>
                </w:p>
              </w:tc>
              <w:tc>
                <w:tcPr>
                  <w:tcW w:w="457" w:type="pct"/>
                  <w:tcBorders>
                    <w:tl2br w:val="nil"/>
                    <w:tr2bl w:val="nil"/>
                  </w:tcBorders>
                  <w:vAlign w:val="center"/>
                </w:tcPr>
                <w:p w14:paraId="3468E52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w:t>
                  </w:r>
                </w:p>
              </w:tc>
            </w:tr>
            <w:bookmarkEnd w:id="59"/>
          </w:tbl>
          <w:p w14:paraId="22B785B6">
            <w:pPr>
              <w:adjustRightInd w:val="0"/>
              <w:snapToGrid w:val="0"/>
              <w:spacing w:before="120" w:beforeLines="50" w:line="360" w:lineRule="auto"/>
              <w:jc w:val="left"/>
              <w:rPr>
                <w:rFonts w:hint="default" w:ascii="Times New Roman" w:hAnsi="Times New Roman" w:eastAsia="黑体" w:cs="Times New Roman"/>
                <w:bCs/>
                <w:color w:val="auto"/>
                <w:sz w:val="24"/>
              </w:rPr>
            </w:pPr>
            <w:bookmarkStart w:id="60" w:name="_Toc10759"/>
            <w:bookmarkStart w:id="61" w:name="_Toc17718"/>
            <w:r>
              <w:rPr>
                <w:rFonts w:hint="default" w:ascii="Times New Roman" w:hAnsi="Times New Roman" w:eastAsia="黑体" w:cs="Times New Roman"/>
                <w:bCs/>
                <w:color w:val="auto"/>
                <w:sz w:val="24"/>
              </w:rPr>
              <w:t>3.1生产规模及产品方案</w:t>
            </w:r>
            <w:bookmarkEnd w:id="60"/>
            <w:bookmarkEnd w:id="61"/>
          </w:p>
          <w:p w14:paraId="75916557">
            <w:pPr>
              <w:spacing w:line="360" w:lineRule="auto"/>
              <w:ind w:firstLine="480" w:firstLineChars="200"/>
              <w:rPr>
                <w:rFonts w:hint="default" w:ascii="Times New Roman" w:hAnsi="Times New Roman" w:cs="Times New Roman"/>
                <w:snapToGrid w:val="0"/>
                <w:color w:val="auto"/>
                <w:sz w:val="24"/>
              </w:rPr>
            </w:pPr>
            <w:r>
              <w:rPr>
                <w:rFonts w:hint="default" w:ascii="Times New Roman" w:hAnsi="Times New Roman" w:cs="Times New Roman"/>
                <w:color w:val="auto"/>
                <w:sz w:val="24"/>
              </w:rPr>
              <w:t>项目建成后主要生产产品为环保镀锌型钢，设计生产能力为年产35万吨环保镀锌型钢，其中生产镀锌工字钢10万t/a、镀锌槽钢5万t/a、镀锌角钢5万t/a、镀锌圆管10万t/a、镀锌钢带5万t/a，具体详见下表：</w:t>
            </w:r>
          </w:p>
          <w:p w14:paraId="65E9ACB8">
            <w:pPr>
              <w:pStyle w:val="111"/>
              <w:spacing w:line="360" w:lineRule="auto"/>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表2-18   产品方案</w:t>
            </w:r>
          </w:p>
          <w:tbl>
            <w:tblPr>
              <w:tblStyle w:val="35"/>
              <w:tblW w:w="4998"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1125"/>
              <w:gridCol w:w="2989"/>
              <w:gridCol w:w="2084"/>
              <w:gridCol w:w="2084"/>
            </w:tblGrid>
            <w:tr w14:paraId="3F279F9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680" w:type="pct"/>
                  <w:tcBorders>
                    <w:tl2br w:val="nil"/>
                    <w:tr2bl w:val="nil"/>
                  </w:tcBorders>
                  <w:vAlign w:val="center"/>
                </w:tcPr>
                <w:p w14:paraId="50940142">
                  <w:pPr>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1804" w:type="pct"/>
                  <w:tcBorders>
                    <w:tl2br w:val="nil"/>
                    <w:tr2bl w:val="nil"/>
                  </w:tcBorders>
                  <w:vAlign w:val="center"/>
                </w:tcPr>
                <w:p w14:paraId="590128D3">
                  <w:pPr>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产品名称</w:t>
                  </w:r>
                </w:p>
              </w:tc>
              <w:tc>
                <w:tcPr>
                  <w:tcW w:w="1257" w:type="pct"/>
                  <w:tcBorders>
                    <w:tl2br w:val="nil"/>
                    <w:tr2bl w:val="nil"/>
                  </w:tcBorders>
                  <w:vAlign w:val="center"/>
                </w:tcPr>
                <w:p w14:paraId="1C881D6B">
                  <w:pPr>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单位</w:t>
                  </w:r>
                </w:p>
              </w:tc>
              <w:tc>
                <w:tcPr>
                  <w:tcW w:w="1257" w:type="pct"/>
                  <w:tcBorders>
                    <w:tl2br w:val="nil"/>
                    <w:tr2bl w:val="nil"/>
                  </w:tcBorders>
                  <w:vAlign w:val="center"/>
                </w:tcPr>
                <w:p w14:paraId="2CDD4187">
                  <w:pPr>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年产量</w:t>
                  </w:r>
                </w:p>
              </w:tc>
            </w:tr>
            <w:tr w14:paraId="32283FF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680" w:type="pct"/>
                  <w:tcBorders>
                    <w:tl2br w:val="nil"/>
                    <w:tr2bl w:val="nil"/>
                  </w:tcBorders>
                  <w:vAlign w:val="center"/>
                </w:tcPr>
                <w:p w14:paraId="6E229C54">
                  <w:pPr>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804" w:type="pct"/>
                  <w:tcBorders>
                    <w:tl2br w:val="nil"/>
                    <w:tr2bl w:val="nil"/>
                  </w:tcBorders>
                  <w:vAlign w:val="center"/>
                </w:tcPr>
                <w:p w14:paraId="40D423FF">
                  <w:pPr>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镀锌工字钢</w:t>
                  </w:r>
                </w:p>
              </w:tc>
              <w:tc>
                <w:tcPr>
                  <w:tcW w:w="1257" w:type="pct"/>
                  <w:tcBorders>
                    <w:tl2br w:val="nil"/>
                    <w:tr2bl w:val="nil"/>
                  </w:tcBorders>
                  <w:vAlign w:val="center"/>
                </w:tcPr>
                <w:p w14:paraId="2575D39E">
                  <w:pPr>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1257" w:type="pct"/>
                  <w:tcBorders>
                    <w:tl2br w:val="nil"/>
                    <w:tr2bl w:val="nil"/>
                  </w:tcBorders>
                  <w:vAlign w:val="center"/>
                </w:tcPr>
                <w:p w14:paraId="3444100B">
                  <w:pPr>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100000</w:t>
                  </w:r>
                </w:p>
              </w:tc>
            </w:tr>
            <w:tr w14:paraId="0C139DF6">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680" w:type="pct"/>
                  <w:tcBorders>
                    <w:tl2br w:val="nil"/>
                    <w:tr2bl w:val="nil"/>
                  </w:tcBorders>
                  <w:vAlign w:val="center"/>
                </w:tcPr>
                <w:p w14:paraId="4D2A31D5">
                  <w:pPr>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804" w:type="pct"/>
                  <w:tcBorders>
                    <w:tl2br w:val="nil"/>
                    <w:tr2bl w:val="nil"/>
                  </w:tcBorders>
                  <w:vAlign w:val="center"/>
                </w:tcPr>
                <w:p w14:paraId="66C68913">
                  <w:pPr>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镀锌槽钢</w:t>
                  </w:r>
                </w:p>
              </w:tc>
              <w:tc>
                <w:tcPr>
                  <w:tcW w:w="1257" w:type="pct"/>
                  <w:tcBorders>
                    <w:tl2br w:val="nil"/>
                    <w:tr2bl w:val="nil"/>
                  </w:tcBorders>
                  <w:vAlign w:val="center"/>
                </w:tcPr>
                <w:p w14:paraId="69858FCB">
                  <w:pPr>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1257" w:type="pct"/>
                  <w:tcBorders>
                    <w:tl2br w:val="nil"/>
                    <w:tr2bl w:val="nil"/>
                  </w:tcBorders>
                  <w:vAlign w:val="center"/>
                </w:tcPr>
                <w:p w14:paraId="43EA3C2F">
                  <w:pPr>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50000</w:t>
                  </w:r>
                </w:p>
              </w:tc>
            </w:tr>
            <w:tr w14:paraId="1D81564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680" w:type="pct"/>
                  <w:tcBorders>
                    <w:tl2br w:val="nil"/>
                    <w:tr2bl w:val="nil"/>
                  </w:tcBorders>
                  <w:vAlign w:val="center"/>
                </w:tcPr>
                <w:p w14:paraId="679F9366">
                  <w:pPr>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1804" w:type="pct"/>
                  <w:tcBorders>
                    <w:tl2br w:val="nil"/>
                    <w:tr2bl w:val="nil"/>
                  </w:tcBorders>
                  <w:vAlign w:val="center"/>
                </w:tcPr>
                <w:p w14:paraId="6FE69043">
                  <w:pPr>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镀锌角钢</w:t>
                  </w:r>
                </w:p>
              </w:tc>
              <w:tc>
                <w:tcPr>
                  <w:tcW w:w="1257" w:type="pct"/>
                  <w:tcBorders>
                    <w:tl2br w:val="nil"/>
                    <w:tr2bl w:val="nil"/>
                  </w:tcBorders>
                  <w:vAlign w:val="center"/>
                </w:tcPr>
                <w:p w14:paraId="7B393CDE">
                  <w:pPr>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1257" w:type="pct"/>
                  <w:tcBorders>
                    <w:tl2br w:val="nil"/>
                    <w:tr2bl w:val="nil"/>
                  </w:tcBorders>
                  <w:vAlign w:val="center"/>
                </w:tcPr>
                <w:p w14:paraId="5DE10B74">
                  <w:pPr>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50000</w:t>
                  </w:r>
                </w:p>
              </w:tc>
            </w:tr>
            <w:tr w14:paraId="5851056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680" w:type="pct"/>
                  <w:tcBorders>
                    <w:tl2br w:val="nil"/>
                    <w:tr2bl w:val="nil"/>
                  </w:tcBorders>
                  <w:vAlign w:val="center"/>
                </w:tcPr>
                <w:p w14:paraId="05D6D1C9">
                  <w:pPr>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804" w:type="pct"/>
                  <w:tcBorders>
                    <w:tl2br w:val="nil"/>
                    <w:tr2bl w:val="nil"/>
                  </w:tcBorders>
                  <w:vAlign w:val="center"/>
                </w:tcPr>
                <w:p w14:paraId="1D3ABB27">
                  <w:pPr>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镀锌圆管</w:t>
                  </w:r>
                </w:p>
              </w:tc>
              <w:tc>
                <w:tcPr>
                  <w:tcW w:w="1257" w:type="pct"/>
                  <w:tcBorders>
                    <w:tl2br w:val="nil"/>
                    <w:tr2bl w:val="nil"/>
                  </w:tcBorders>
                  <w:vAlign w:val="center"/>
                </w:tcPr>
                <w:p w14:paraId="712A844F">
                  <w:pPr>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1257" w:type="pct"/>
                  <w:tcBorders>
                    <w:tl2br w:val="nil"/>
                    <w:tr2bl w:val="nil"/>
                  </w:tcBorders>
                  <w:vAlign w:val="center"/>
                </w:tcPr>
                <w:p w14:paraId="0722ACEF">
                  <w:pPr>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100000</w:t>
                  </w:r>
                </w:p>
              </w:tc>
            </w:tr>
            <w:tr w14:paraId="19118DEE">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680" w:type="pct"/>
                  <w:tcBorders>
                    <w:tl2br w:val="nil"/>
                    <w:tr2bl w:val="nil"/>
                  </w:tcBorders>
                  <w:vAlign w:val="center"/>
                </w:tcPr>
                <w:p w14:paraId="3748D2DA">
                  <w:pPr>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804" w:type="pct"/>
                  <w:tcBorders>
                    <w:tl2br w:val="nil"/>
                    <w:tr2bl w:val="nil"/>
                  </w:tcBorders>
                  <w:vAlign w:val="center"/>
                </w:tcPr>
                <w:p w14:paraId="7FCDC2E4">
                  <w:pPr>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镀锌钢带</w:t>
                  </w:r>
                </w:p>
              </w:tc>
              <w:tc>
                <w:tcPr>
                  <w:tcW w:w="1257" w:type="pct"/>
                  <w:tcBorders>
                    <w:tl2br w:val="nil"/>
                    <w:tr2bl w:val="nil"/>
                  </w:tcBorders>
                  <w:vAlign w:val="center"/>
                </w:tcPr>
                <w:p w14:paraId="13BAB2E5">
                  <w:pPr>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1257" w:type="pct"/>
                  <w:tcBorders>
                    <w:tl2br w:val="nil"/>
                    <w:tr2bl w:val="nil"/>
                  </w:tcBorders>
                  <w:vAlign w:val="center"/>
                </w:tcPr>
                <w:p w14:paraId="7C6DBDA6">
                  <w:pPr>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50000</w:t>
                  </w:r>
                </w:p>
              </w:tc>
            </w:tr>
          </w:tbl>
          <w:p w14:paraId="517EAA6B">
            <w:pPr>
              <w:adjustRightInd w:val="0"/>
              <w:snapToGrid w:val="0"/>
              <w:spacing w:before="120" w:beforeLines="50" w:line="360" w:lineRule="auto"/>
              <w:jc w:val="left"/>
              <w:rPr>
                <w:rFonts w:hint="default" w:ascii="Times New Roman" w:hAnsi="Times New Roman" w:eastAsia="黑体" w:cs="Times New Roman"/>
                <w:bCs/>
                <w:color w:val="auto"/>
                <w:sz w:val="24"/>
              </w:rPr>
            </w:pPr>
            <w:bookmarkStart w:id="62" w:name="_Toc24074"/>
            <w:bookmarkStart w:id="63" w:name="_Toc1859"/>
            <w:r>
              <w:rPr>
                <w:rFonts w:hint="default" w:ascii="Times New Roman" w:hAnsi="Times New Roman" w:eastAsia="黑体" w:cs="Times New Roman"/>
                <w:bCs/>
                <w:color w:val="auto"/>
                <w:sz w:val="24"/>
              </w:rPr>
              <w:t>3.2水平衡</w:t>
            </w:r>
            <w:bookmarkEnd w:id="62"/>
            <w:bookmarkEnd w:id="63"/>
          </w:p>
          <w:p w14:paraId="035CA53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项目盐酸稀释用水为4m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/d，由软水制备系统补充。</w:t>
            </w:r>
          </w:p>
          <w:p w14:paraId="143BCAE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项目型钢生产线、带钢生产线漂洗用水量为490m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/d，内部循环回水量为305m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/d，外排163m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/d经污水处理站处理后回用于本系统，损耗水量为22m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/d，补充新水量为22m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p>
          <w:p w14:paraId="54E32302">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项目两套酸雾处理喷淋总用水量为5400m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/d，内部循环回水量为5330m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/d，损耗水量为70m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/d，中水回用128.7m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/d，补充新水量为31.3m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p>
          <w:p w14:paraId="28C2D49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盐酸水封槽补水量为1m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/d，直接损耗，由软水制备系统补充。</w:t>
            </w:r>
          </w:p>
          <w:p w14:paraId="5561E4DE">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项目设备冷用水量为15000m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/d，回水量为14738m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/d，损耗水量210m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/d，强制排污52m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/d，补充水量为262m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/d，由软水制备系统补充。强制排污经中和沉淀处理后回用于浊循环系统补充用水。</w:t>
            </w:r>
          </w:p>
          <w:p w14:paraId="2795EDD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锅炉用水量为51m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/d，循环回水量46m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/d，锅炉排污3m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/d，损耗水量2m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/d，补充脱盐水量为5m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p>
          <w:p w14:paraId="3DD23F1A">
            <w:pPr>
              <w:pStyle w:val="13"/>
              <w:widowControl w:val="0"/>
              <w:snapToGrid/>
              <w:spacing w:after="0" w:line="360" w:lineRule="auto"/>
              <w:ind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钝化液配制用水量为3m</w:t>
            </w:r>
            <w:r>
              <w:rPr>
                <w:rFonts w:hint="default" w:ascii="Times New Roman" w:hAnsi="Times New Roman" w:cs="Times New Roman"/>
                <w:color w:val="auto"/>
                <w:kern w:val="2"/>
                <w:sz w:val="24"/>
                <w:szCs w:val="24"/>
                <w:vertAlign w:val="superscript"/>
              </w:rPr>
              <w:t>3</w:t>
            </w:r>
            <w:r>
              <w:rPr>
                <w:rFonts w:hint="default" w:ascii="Times New Roman" w:hAnsi="Times New Roman" w:cs="Times New Roman"/>
                <w:color w:val="auto"/>
                <w:kern w:val="2"/>
                <w:sz w:val="24"/>
                <w:szCs w:val="24"/>
              </w:rPr>
              <w:t>/d，由软水系统补充。</w:t>
            </w:r>
          </w:p>
          <w:p w14:paraId="45CB94C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高频焊管喷淋用水量为720m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/d，系统回水量为670m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/d，中水回水用量为50m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p>
          <w:p w14:paraId="2E183379">
            <w:pPr>
              <w:pStyle w:val="13"/>
              <w:widowControl w:val="0"/>
              <w:snapToGrid/>
              <w:spacing w:after="0" w:line="360" w:lineRule="auto"/>
              <w:ind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镀锌淬水用水量为500m</w:t>
            </w:r>
            <w:r>
              <w:rPr>
                <w:rFonts w:hint="default" w:ascii="Times New Roman" w:hAnsi="Times New Roman" w:cs="Times New Roman"/>
                <w:color w:val="auto"/>
                <w:kern w:val="2"/>
                <w:sz w:val="24"/>
                <w:szCs w:val="24"/>
                <w:vertAlign w:val="superscript"/>
              </w:rPr>
              <w:t>3</w:t>
            </w:r>
            <w:r>
              <w:rPr>
                <w:rFonts w:hint="default" w:ascii="Times New Roman" w:hAnsi="Times New Roman" w:cs="Times New Roman"/>
                <w:color w:val="auto"/>
                <w:kern w:val="2"/>
                <w:sz w:val="24"/>
                <w:szCs w:val="24"/>
              </w:rPr>
              <w:t>/d，系统回水量为464m</w:t>
            </w:r>
            <w:r>
              <w:rPr>
                <w:rFonts w:hint="default" w:ascii="Times New Roman" w:hAnsi="Times New Roman" w:cs="Times New Roman"/>
                <w:color w:val="auto"/>
                <w:kern w:val="2"/>
                <w:sz w:val="24"/>
                <w:szCs w:val="24"/>
                <w:vertAlign w:val="superscript"/>
              </w:rPr>
              <w:t>3</w:t>
            </w:r>
            <w:r>
              <w:rPr>
                <w:rFonts w:hint="default" w:ascii="Times New Roman" w:hAnsi="Times New Roman" w:cs="Times New Roman"/>
                <w:color w:val="auto"/>
                <w:kern w:val="2"/>
                <w:sz w:val="24"/>
                <w:szCs w:val="24"/>
              </w:rPr>
              <w:t>/d，中水回水用量为36m</w:t>
            </w:r>
            <w:r>
              <w:rPr>
                <w:rFonts w:hint="default" w:ascii="Times New Roman" w:hAnsi="Times New Roman" w:cs="Times New Roman"/>
                <w:color w:val="auto"/>
                <w:kern w:val="2"/>
                <w:sz w:val="24"/>
                <w:szCs w:val="24"/>
                <w:vertAlign w:val="superscript"/>
              </w:rPr>
              <w:t>3</w:t>
            </w:r>
            <w:r>
              <w:rPr>
                <w:rFonts w:hint="default" w:ascii="Times New Roman" w:hAnsi="Times New Roman" w:cs="Times New Roman"/>
                <w:color w:val="auto"/>
                <w:kern w:val="2"/>
                <w:sz w:val="24"/>
                <w:szCs w:val="24"/>
              </w:rPr>
              <w:t>/d。</w:t>
            </w:r>
          </w:p>
          <w:p w14:paraId="717B68DE">
            <w:pPr>
              <w:pStyle w:val="13"/>
              <w:widowControl w:val="0"/>
              <w:snapToGrid/>
              <w:spacing w:after="0" w:line="360" w:lineRule="auto"/>
              <w:ind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软水制备用水量为334.2m</w:t>
            </w:r>
            <w:r>
              <w:rPr>
                <w:rFonts w:hint="default" w:ascii="Times New Roman" w:hAnsi="Times New Roman" w:cs="Times New Roman"/>
                <w:color w:val="auto"/>
                <w:kern w:val="2"/>
                <w:sz w:val="24"/>
                <w:szCs w:val="24"/>
                <w:vertAlign w:val="superscript"/>
              </w:rPr>
              <w:t>3</w:t>
            </w:r>
            <w:r>
              <w:rPr>
                <w:rFonts w:hint="default" w:ascii="Times New Roman" w:hAnsi="Times New Roman" w:cs="Times New Roman"/>
                <w:color w:val="auto"/>
                <w:kern w:val="2"/>
                <w:sz w:val="24"/>
                <w:szCs w:val="24"/>
              </w:rPr>
              <w:t>/d，产生软水267.2m</w:t>
            </w:r>
            <w:r>
              <w:rPr>
                <w:rFonts w:hint="default" w:ascii="Times New Roman" w:hAnsi="Times New Roman" w:cs="Times New Roman"/>
                <w:color w:val="auto"/>
                <w:kern w:val="2"/>
                <w:sz w:val="24"/>
                <w:szCs w:val="24"/>
                <w:vertAlign w:val="superscript"/>
              </w:rPr>
              <w:t>3</w:t>
            </w:r>
            <w:r>
              <w:rPr>
                <w:rFonts w:hint="default" w:ascii="Times New Roman" w:hAnsi="Times New Roman" w:cs="Times New Roman"/>
                <w:color w:val="auto"/>
                <w:kern w:val="2"/>
                <w:sz w:val="24"/>
                <w:szCs w:val="24"/>
              </w:rPr>
              <w:t>/d，排污67m</w:t>
            </w:r>
            <w:r>
              <w:rPr>
                <w:rFonts w:hint="default" w:ascii="Times New Roman" w:hAnsi="Times New Roman" w:cs="Times New Roman"/>
                <w:color w:val="auto"/>
                <w:kern w:val="2"/>
                <w:sz w:val="24"/>
                <w:szCs w:val="24"/>
                <w:vertAlign w:val="superscript"/>
              </w:rPr>
              <w:t>3</w:t>
            </w:r>
            <w:r>
              <w:rPr>
                <w:rFonts w:hint="default" w:ascii="Times New Roman" w:hAnsi="Times New Roman" w:cs="Times New Roman"/>
                <w:color w:val="auto"/>
                <w:kern w:val="2"/>
                <w:sz w:val="24"/>
                <w:szCs w:val="24"/>
              </w:rPr>
              <w:t>/d，排污经生产废水站处理后回用于浊循环补充用水。</w:t>
            </w:r>
          </w:p>
          <w:p w14:paraId="26730A88">
            <w:pPr>
              <w:pStyle w:val="13"/>
              <w:widowControl w:val="0"/>
              <w:snapToGrid/>
              <w:spacing w:after="0" w:line="360" w:lineRule="auto"/>
              <w:ind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脱盐水站用水量为10.7m</w:t>
            </w:r>
            <w:r>
              <w:rPr>
                <w:rFonts w:hint="default" w:ascii="Times New Roman" w:hAnsi="Times New Roman" w:cs="Times New Roman"/>
                <w:color w:val="auto"/>
                <w:kern w:val="2"/>
                <w:sz w:val="24"/>
                <w:szCs w:val="24"/>
                <w:vertAlign w:val="superscript"/>
              </w:rPr>
              <w:t>3</w:t>
            </w:r>
            <w:r>
              <w:rPr>
                <w:rFonts w:hint="default" w:ascii="Times New Roman" w:hAnsi="Times New Roman" w:cs="Times New Roman"/>
                <w:color w:val="auto"/>
                <w:kern w:val="2"/>
                <w:sz w:val="24"/>
                <w:szCs w:val="24"/>
              </w:rPr>
              <w:t>/d，产生脱盐水8m</w:t>
            </w:r>
            <w:r>
              <w:rPr>
                <w:rFonts w:hint="default" w:ascii="Times New Roman" w:hAnsi="Times New Roman" w:cs="Times New Roman"/>
                <w:color w:val="auto"/>
                <w:kern w:val="2"/>
                <w:sz w:val="24"/>
                <w:szCs w:val="24"/>
                <w:vertAlign w:val="superscript"/>
              </w:rPr>
              <w:t>3</w:t>
            </w:r>
            <w:r>
              <w:rPr>
                <w:rFonts w:hint="default" w:ascii="Times New Roman" w:hAnsi="Times New Roman" w:cs="Times New Roman"/>
                <w:color w:val="auto"/>
                <w:kern w:val="2"/>
                <w:sz w:val="24"/>
                <w:szCs w:val="24"/>
              </w:rPr>
              <w:t>/d，排污2.7m</w:t>
            </w:r>
            <w:r>
              <w:rPr>
                <w:rFonts w:hint="default" w:ascii="Times New Roman" w:hAnsi="Times New Roman" w:cs="Times New Roman"/>
                <w:color w:val="auto"/>
                <w:kern w:val="2"/>
                <w:sz w:val="24"/>
                <w:szCs w:val="24"/>
                <w:vertAlign w:val="superscript"/>
              </w:rPr>
              <w:t>3</w:t>
            </w:r>
            <w:r>
              <w:rPr>
                <w:rFonts w:hint="default" w:ascii="Times New Roman" w:hAnsi="Times New Roman" w:cs="Times New Roman"/>
                <w:color w:val="auto"/>
                <w:kern w:val="2"/>
                <w:sz w:val="24"/>
                <w:szCs w:val="24"/>
              </w:rPr>
              <w:t>/d，排污经生产废水处理站处理后回用于浊循环补充用水。</w:t>
            </w:r>
          </w:p>
          <w:p w14:paraId="2667BCE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生活污水用水量10m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/d，污水产生量为8m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/d，生活污水经化粪池收集处理后排入园区生活污水管网。</w:t>
            </w:r>
          </w:p>
          <w:p w14:paraId="74C5C36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项目水量平衡见下图：</w:t>
            </w:r>
          </w:p>
          <w:p w14:paraId="223A6375">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object>
                <v:shape id="_x0000_i1032" o:spt="75" type="#_x0000_t75" style="height:567.25pt;width:385.75pt;" o:ole="t" filled="f" o:preferrelative="t" stroked="f" coordsize="21600,21600">
                  <v:path/>
                  <v:fill on="f" focussize="0,0"/>
                  <v:stroke on="f" joinstyle="miter"/>
                  <v:imagedata r:id="rId25" o:title=""/>
                  <o:lock v:ext="edit" aspectratio="f"/>
                  <w10:wrap type="none"/>
                  <w10:anchorlock/>
                </v:shape>
                <o:OLEObject Type="Embed" ProgID="Visio.Drawing.11" ShapeID="_x0000_i1032" DrawAspect="Content" ObjectID="_1468075732" r:id="rId24">
                  <o:LockedField>false</o:LockedField>
                </o:OLEObject>
              </w:object>
            </w:r>
          </w:p>
          <w:p w14:paraId="53858EA3">
            <w:pPr>
              <w:spacing w:line="36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图2-8   本项目水量平衡图    单位：m</w:t>
            </w:r>
            <w:r>
              <w:rPr>
                <w:rFonts w:hint="default" w:ascii="Times New Roman" w:hAnsi="Times New Roman" w:cs="Times New Roman"/>
                <w:b/>
                <w:bCs/>
                <w:color w:val="auto"/>
                <w:szCs w:val="21"/>
                <w:vertAlign w:val="superscript"/>
              </w:rPr>
              <w:t>3</w:t>
            </w:r>
            <w:r>
              <w:rPr>
                <w:rFonts w:hint="default" w:ascii="Times New Roman" w:hAnsi="Times New Roman" w:cs="Times New Roman"/>
                <w:b/>
                <w:bCs/>
                <w:color w:val="auto"/>
                <w:szCs w:val="21"/>
              </w:rPr>
              <w:t>/d</w:t>
            </w:r>
          </w:p>
          <w:p w14:paraId="45BDE0E0">
            <w:pPr>
              <w:adjustRightInd w:val="0"/>
              <w:snapToGrid w:val="0"/>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3.3拟建项目污染物产排情况</w:t>
            </w:r>
          </w:p>
          <w:p w14:paraId="2068CD2A">
            <w:pPr>
              <w:pStyle w:val="34"/>
              <w:spacing w:line="360" w:lineRule="auto"/>
              <w:ind w:left="0" w:leftChars="0" w:firstLine="0" w:firstLineChars="0"/>
              <w:rPr>
                <w:rFonts w:hint="default" w:ascii="Times New Roman" w:hAnsi="Times New Roman" w:eastAsia="黑体" w:cs="Times New Roman"/>
                <w:color w:val="auto"/>
              </w:rPr>
            </w:pPr>
            <w:bookmarkStart w:id="64" w:name="_Toc185"/>
            <w:bookmarkStart w:id="65" w:name="_Toc10840"/>
            <w:r>
              <w:rPr>
                <w:rFonts w:hint="default" w:ascii="Times New Roman" w:hAnsi="Times New Roman" w:eastAsia="黑体" w:cs="Times New Roman"/>
                <w:color w:val="auto"/>
              </w:rPr>
              <w:t>3.3.1废气</w:t>
            </w:r>
          </w:p>
          <w:p w14:paraId="6F938B4A">
            <w:pPr>
              <w:pStyle w:val="13"/>
              <w:widowControl w:val="0"/>
              <w:snapToGrid/>
              <w:spacing w:after="0" w:line="360" w:lineRule="auto"/>
              <w:ind w:firstLine="482" w:firstLineChars="200"/>
              <w:rPr>
                <w:rFonts w:hint="default" w:ascii="Times New Roman" w:hAnsi="Times New Roman" w:cs="Times New Roman"/>
                <w:b/>
                <w:bCs/>
                <w:color w:val="auto"/>
                <w:kern w:val="2"/>
                <w:sz w:val="24"/>
                <w:szCs w:val="24"/>
              </w:rPr>
            </w:pPr>
            <w:r>
              <w:rPr>
                <w:rFonts w:hint="default" w:ascii="Times New Roman" w:hAnsi="Times New Roman" w:cs="Times New Roman"/>
                <w:b/>
                <w:bCs/>
                <w:color w:val="auto"/>
                <w:kern w:val="2"/>
                <w:sz w:val="24"/>
                <w:szCs w:val="24"/>
              </w:rPr>
              <w:t>1、有组织废气</w:t>
            </w:r>
            <w:bookmarkEnd w:id="64"/>
            <w:bookmarkEnd w:id="65"/>
          </w:p>
          <w:p w14:paraId="0A53773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本项目运行过程中有组织废气排放情况如下表所示：</w:t>
            </w:r>
          </w:p>
          <w:p w14:paraId="3F115106">
            <w:pPr>
              <w:pStyle w:val="111"/>
              <w:spacing w:line="360" w:lineRule="auto"/>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表2-19   本项目有组织废气排放情况一览表</w:t>
            </w:r>
          </w:p>
          <w:tbl>
            <w:tblPr>
              <w:tblStyle w:val="3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3"/>
              <w:gridCol w:w="659"/>
              <w:gridCol w:w="894"/>
              <w:gridCol w:w="775"/>
              <w:gridCol w:w="774"/>
              <w:gridCol w:w="1082"/>
              <w:gridCol w:w="952"/>
              <w:gridCol w:w="797"/>
              <w:gridCol w:w="783"/>
              <w:gridCol w:w="623"/>
            </w:tblGrid>
            <w:tr w14:paraId="4A3B40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restart"/>
                  <w:tcBorders>
                    <w:tl2br w:val="nil"/>
                    <w:tr2bl w:val="nil"/>
                  </w:tcBorders>
                  <w:vAlign w:val="center"/>
                </w:tcPr>
                <w:p w14:paraId="165E171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污染源</w:t>
                  </w:r>
                </w:p>
              </w:tc>
              <w:tc>
                <w:tcPr>
                  <w:tcW w:w="397" w:type="pct"/>
                  <w:vMerge w:val="restart"/>
                  <w:tcBorders>
                    <w:tl2br w:val="nil"/>
                    <w:tr2bl w:val="nil"/>
                  </w:tcBorders>
                  <w:vAlign w:val="center"/>
                </w:tcPr>
                <w:p w14:paraId="32A7B06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539" w:type="pct"/>
                  <w:vMerge w:val="restart"/>
                  <w:tcBorders>
                    <w:tl2br w:val="nil"/>
                    <w:tr2bl w:val="nil"/>
                  </w:tcBorders>
                  <w:vAlign w:val="center"/>
                </w:tcPr>
                <w:p w14:paraId="662664D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风量</w:t>
                  </w:r>
                </w:p>
                <w:p w14:paraId="69F7394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c>
                <w:tcPr>
                  <w:tcW w:w="467" w:type="pct"/>
                  <w:vMerge w:val="restart"/>
                  <w:tcBorders>
                    <w:tl2br w:val="nil"/>
                    <w:tr2bl w:val="nil"/>
                  </w:tcBorders>
                  <w:vAlign w:val="center"/>
                </w:tcPr>
                <w:p w14:paraId="4C5D93A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烟囱高度（m）</w:t>
                  </w:r>
                </w:p>
              </w:tc>
              <w:tc>
                <w:tcPr>
                  <w:tcW w:w="467" w:type="pct"/>
                  <w:vMerge w:val="restart"/>
                  <w:tcBorders>
                    <w:tl2br w:val="nil"/>
                    <w:tr2bl w:val="nil"/>
                  </w:tcBorders>
                  <w:vAlign w:val="center"/>
                </w:tcPr>
                <w:p w14:paraId="3CF6BB0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烟囱内径（m）</w:t>
                  </w:r>
                </w:p>
              </w:tc>
              <w:tc>
                <w:tcPr>
                  <w:tcW w:w="653" w:type="pct"/>
                  <w:vMerge w:val="restart"/>
                  <w:tcBorders>
                    <w:tl2br w:val="nil"/>
                    <w:tr2bl w:val="nil"/>
                  </w:tcBorders>
                  <w:vAlign w:val="center"/>
                </w:tcPr>
                <w:p w14:paraId="6072907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治理措施及效率</w:t>
                  </w:r>
                </w:p>
              </w:tc>
              <w:tc>
                <w:tcPr>
                  <w:tcW w:w="1529" w:type="pct"/>
                  <w:gridSpan w:val="3"/>
                  <w:tcBorders>
                    <w:tl2br w:val="nil"/>
                    <w:tr2bl w:val="nil"/>
                  </w:tcBorders>
                  <w:vAlign w:val="center"/>
                </w:tcPr>
                <w:p w14:paraId="261D7F5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排放情况</w:t>
                  </w:r>
                </w:p>
              </w:tc>
              <w:tc>
                <w:tcPr>
                  <w:tcW w:w="376" w:type="pct"/>
                  <w:vMerge w:val="restart"/>
                  <w:tcBorders>
                    <w:tl2br w:val="nil"/>
                    <w:tr2bl w:val="nil"/>
                  </w:tcBorders>
                  <w:vAlign w:val="center"/>
                </w:tcPr>
                <w:p w14:paraId="54AB49CE">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年工作时间/h</w:t>
                  </w:r>
                </w:p>
              </w:tc>
            </w:tr>
            <w:tr w14:paraId="429F68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tcBorders>
                    <w:tl2br w:val="nil"/>
                    <w:tr2bl w:val="nil"/>
                  </w:tcBorders>
                  <w:vAlign w:val="center"/>
                </w:tcPr>
                <w:p w14:paraId="5E32A216">
                  <w:pPr>
                    <w:jc w:val="center"/>
                    <w:rPr>
                      <w:rFonts w:hint="default" w:ascii="Times New Roman" w:hAnsi="Times New Roman" w:cs="Times New Roman"/>
                      <w:color w:val="auto"/>
                      <w:sz w:val="18"/>
                      <w:szCs w:val="18"/>
                    </w:rPr>
                  </w:pPr>
                </w:p>
              </w:tc>
              <w:tc>
                <w:tcPr>
                  <w:tcW w:w="397" w:type="pct"/>
                  <w:vMerge w:val="continue"/>
                  <w:tcBorders>
                    <w:tl2br w:val="nil"/>
                    <w:tr2bl w:val="nil"/>
                  </w:tcBorders>
                  <w:vAlign w:val="center"/>
                </w:tcPr>
                <w:p w14:paraId="5781121D">
                  <w:pPr>
                    <w:jc w:val="center"/>
                    <w:rPr>
                      <w:rFonts w:hint="default" w:ascii="Times New Roman" w:hAnsi="Times New Roman" w:cs="Times New Roman"/>
                      <w:color w:val="auto"/>
                      <w:sz w:val="18"/>
                      <w:szCs w:val="18"/>
                    </w:rPr>
                  </w:pPr>
                </w:p>
              </w:tc>
              <w:tc>
                <w:tcPr>
                  <w:tcW w:w="539" w:type="pct"/>
                  <w:vMerge w:val="continue"/>
                  <w:tcBorders>
                    <w:tl2br w:val="nil"/>
                    <w:tr2bl w:val="nil"/>
                  </w:tcBorders>
                  <w:vAlign w:val="center"/>
                </w:tcPr>
                <w:p w14:paraId="0DA0C080">
                  <w:pPr>
                    <w:jc w:val="center"/>
                    <w:rPr>
                      <w:rFonts w:hint="default" w:ascii="Times New Roman" w:hAnsi="Times New Roman" w:cs="Times New Roman"/>
                      <w:color w:val="auto"/>
                      <w:sz w:val="18"/>
                      <w:szCs w:val="18"/>
                    </w:rPr>
                  </w:pPr>
                </w:p>
              </w:tc>
              <w:tc>
                <w:tcPr>
                  <w:tcW w:w="467" w:type="pct"/>
                  <w:vMerge w:val="continue"/>
                  <w:tcBorders>
                    <w:tl2br w:val="nil"/>
                    <w:tr2bl w:val="nil"/>
                  </w:tcBorders>
                  <w:vAlign w:val="center"/>
                </w:tcPr>
                <w:p w14:paraId="6B05996E">
                  <w:pPr>
                    <w:jc w:val="center"/>
                    <w:rPr>
                      <w:rFonts w:hint="default" w:ascii="Times New Roman" w:hAnsi="Times New Roman" w:cs="Times New Roman"/>
                      <w:color w:val="auto"/>
                      <w:sz w:val="18"/>
                      <w:szCs w:val="18"/>
                    </w:rPr>
                  </w:pPr>
                </w:p>
              </w:tc>
              <w:tc>
                <w:tcPr>
                  <w:tcW w:w="467" w:type="pct"/>
                  <w:vMerge w:val="continue"/>
                  <w:tcBorders>
                    <w:tl2br w:val="nil"/>
                    <w:tr2bl w:val="nil"/>
                  </w:tcBorders>
                  <w:vAlign w:val="center"/>
                </w:tcPr>
                <w:p w14:paraId="50DC143C">
                  <w:pPr>
                    <w:jc w:val="center"/>
                    <w:rPr>
                      <w:rFonts w:hint="default" w:ascii="Times New Roman" w:hAnsi="Times New Roman" w:cs="Times New Roman"/>
                      <w:color w:val="auto"/>
                      <w:sz w:val="18"/>
                      <w:szCs w:val="18"/>
                    </w:rPr>
                  </w:pPr>
                </w:p>
              </w:tc>
              <w:tc>
                <w:tcPr>
                  <w:tcW w:w="653" w:type="pct"/>
                  <w:vMerge w:val="continue"/>
                  <w:tcBorders>
                    <w:tl2br w:val="nil"/>
                    <w:tr2bl w:val="nil"/>
                  </w:tcBorders>
                  <w:vAlign w:val="center"/>
                </w:tcPr>
                <w:p w14:paraId="260124A1">
                  <w:pPr>
                    <w:jc w:val="center"/>
                    <w:rPr>
                      <w:rFonts w:hint="default" w:ascii="Times New Roman" w:hAnsi="Times New Roman" w:cs="Times New Roman"/>
                      <w:color w:val="auto"/>
                      <w:sz w:val="18"/>
                      <w:szCs w:val="18"/>
                    </w:rPr>
                  </w:pPr>
                </w:p>
              </w:tc>
              <w:tc>
                <w:tcPr>
                  <w:tcW w:w="575" w:type="pct"/>
                  <w:tcBorders>
                    <w:tl2br w:val="nil"/>
                    <w:tr2bl w:val="nil"/>
                  </w:tcBorders>
                  <w:vAlign w:val="center"/>
                </w:tcPr>
                <w:p w14:paraId="14E6FE5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排放浓度</w:t>
                  </w:r>
                </w:p>
              </w:tc>
              <w:tc>
                <w:tcPr>
                  <w:tcW w:w="953" w:type="pct"/>
                  <w:gridSpan w:val="2"/>
                  <w:tcBorders>
                    <w:tl2br w:val="nil"/>
                    <w:tr2bl w:val="nil"/>
                  </w:tcBorders>
                  <w:vAlign w:val="center"/>
                </w:tcPr>
                <w:p w14:paraId="7CB939B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排放量</w:t>
                  </w:r>
                </w:p>
              </w:tc>
              <w:tc>
                <w:tcPr>
                  <w:tcW w:w="376" w:type="pct"/>
                  <w:vMerge w:val="continue"/>
                  <w:tcBorders>
                    <w:tl2br w:val="nil"/>
                    <w:tr2bl w:val="nil"/>
                  </w:tcBorders>
                  <w:vAlign w:val="center"/>
                </w:tcPr>
                <w:p w14:paraId="68E8B61D">
                  <w:pPr>
                    <w:widowControl/>
                    <w:autoSpaceDE w:val="0"/>
                    <w:autoSpaceDN w:val="0"/>
                    <w:spacing w:line="320" w:lineRule="exact"/>
                    <w:jc w:val="center"/>
                    <w:rPr>
                      <w:rFonts w:hint="default" w:ascii="Times New Roman" w:hAnsi="Times New Roman" w:cs="Times New Roman"/>
                      <w:color w:val="auto"/>
                      <w:kern w:val="0"/>
                      <w:sz w:val="18"/>
                      <w:szCs w:val="18"/>
                    </w:rPr>
                  </w:pPr>
                </w:p>
              </w:tc>
            </w:tr>
            <w:tr w14:paraId="5B0ED7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tcBorders>
                    <w:tl2br w:val="nil"/>
                    <w:tr2bl w:val="nil"/>
                  </w:tcBorders>
                  <w:vAlign w:val="center"/>
                </w:tcPr>
                <w:p w14:paraId="78679BAD">
                  <w:pPr>
                    <w:jc w:val="center"/>
                    <w:rPr>
                      <w:rFonts w:hint="default" w:ascii="Times New Roman" w:hAnsi="Times New Roman" w:cs="Times New Roman"/>
                      <w:color w:val="auto"/>
                      <w:sz w:val="18"/>
                      <w:szCs w:val="18"/>
                    </w:rPr>
                  </w:pPr>
                </w:p>
              </w:tc>
              <w:tc>
                <w:tcPr>
                  <w:tcW w:w="397" w:type="pct"/>
                  <w:vMerge w:val="continue"/>
                  <w:tcBorders>
                    <w:tl2br w:val="nil"/>
                    <w:tr2bl w:val="nil"/>
                  </w:tcBorders>
                  <w:vAlign w:val="center"/>
                </w:tcPr>
                <w:p w14:paraId="39CC3DB3">
                  <w:pPr>
                    <w:jc w:val="center"/>
                    <w:rPr>
                      <w:rFonts w:hint="default" w:ascii="Times New Roman" w:hAnsi="Times New Roman" w:cs="Times New Roman"/>
                      <w:color w:val="auto"/>
                      <w:sz w:val="18"/>
                      <w:szCs w:val="18"/>
                    </w:rPr>
                  </w:pPr>
                </w:p>
              </w:tc>
              <w:tc>
                <w:tcPr>
                  <w:tcW w:w="539" w:type="pct"/>
                  <w:vMerge w:val="continue"/>
                  <w:tcBorders>
                    <w:tl2br w:val="nil"/>
                    <w:tr2bl w:val="nil"/>
                  </w:tcBorders>
                  <w:vAlign w:val="center"/>
                </w:tcPr>
                <w:p w14:paraId="6B67CD9F">
                  <w:pPr>
                    <w:jc w:val="center"/>
                    <w:rPr>
                      <w:rFonts w:hint="default" w:ascii="Times New Roman" w:hAnsi="Times New Roman" w:cs="Times New Roman"/>
                      <w:color w:val="auto"/>
                      <w:sz w:val="18"/>
                      <w:szCs w:val="18"/>
                    </w:rPr>
                  </w:pPr>
                </w:p>
              </w:tc>
              <w:tc>
                <w:tcPr>
                  <w:tcW w:w="467" w:type="pct"/>
                  <w:vMerge w:val="continue"/>
                  <w:tcBorders>
                    <w:tl2br w:val="nil"/>
                    <w:tr2bl w:val="nil"/>
                  </w:tcBorders>
                  <w:vAlign w:val="center"/>
                </w:tcPr>
                <w:p w14:paraId="0848458D">
                  <w:pPr>
                    <w:jc w:val="center"/>
                    <w:rPr>
                      <w:rFonts w:hint="default" w:ascii="Times New Roman" w:hAnsi="Times New Roman" w:cs="Times New Roman"/>
                      <w:color w:val="auto"/>
                      <w:sz w:val="18"/>
                      <w:szCs w:val="18"/>
                    </w:rPr>
                  </w:pPr>
                </w:p>
              </w:tc>
              <w:tc>
                <w:tcPr>
                  <w:tcW w:w="467" w:type="pct"/>
                  <w:vMerge w:val="continue"/>
                  <w:tcBorders>
                    <w:tl2br w:val="nil"/>
                    <w:tr2bl w:val="nil"/>
                  </w:tcBorders>
                  <w:vAlign w:val="center"/>
                </w:tcPr>
                <w:p w14:paraId="57A0DE34">
                  <w:pPr>
                    <w:jc w:val="center"/>
                    <w:rPr>
                      <w:rFonts w:hint="default" w:ascii="Times New Roman" w:hAnsi="Times New Roman" w:cs="Times New Roman"/>
                      <w:color w:val="auto"/>
                      <w:sz w:val="18"/>
                      <w:szCs w:val="18"/>
                    </w:rPr>
                  </w:pPr>
                </w:p>
              </w:tc>
              <w:tc>
                <w:tcPr>
                  <w:tcW w:w="653" w:type="pct"/>
                  <w:vMerge w:val="continue"/>
                  <w:tcBorders>
                    <w:tl2br w:val="nil"/>
                    <w:tr2bl w:val="nil"/>
                  </w:tcBorders>
                  <w:vAlign w:val="center"/>
                </w:tcPr>
                <w:p w14:paraId="517962A2">
                  <w:pPr>
                    <w:jc w:val="center"/>
                    <w:rPr>
                      <w:rFonts w:hint="default" w:ascii="Times New Roman" w:hAnsi="Times New Roman" w:cs="Times New Roman"/>
                      <w:color w:val="auto"/>
                      <w:sz w:val="18"/>
                      <w:szCs w:val="18"/>
                    </w:rPr>
                  </w:pPr>
                </w:p>
              </w:tc>
              <w:tc>
                <w:tcPr>
                  <w:tcW w:w="575" w:type="pct"/>
                  <w:tcBorders>
                    <w:tl2br w:val="nil"/>
                    <w:tr2bl w:val="nil"/>
                  </w:tcBorders>
                  <w:vAlign w:val="center"/>
                </w:tcPr>
                <w:p w14:paraId="38C9B05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mg/m</w:t>
                  </w:r>
                  <w:r>
                    <w:rPr>
                      <w:rFonts w:hint="default" w:ascii="Times New Roman" w:hAnsi="Times New Roman" w:cs="Times New Roman"/>
                      <w:color w:val="auto"/>
                      <w:sz w:val="18"/>
                      <w:szCs w:val="18"/>
                      <w:vertAlign w:val="superscript"/>
                    </w:rPr>
                    <w:t>3</w:t>
                  </w:r>
                </w:p>
              </w:tc>
              <w:tc>
                <w:tcPr>
                  <w:tcW w:w="481" w:type="pct"/>
                  <w:tcBorders>
                    <w:tl2br w:val="nil"/>
                    <w:tr2bl w:val="nil"/>
                  </w:tcBorders>
                  <w:vAlign w:val="center"/>
                </w:tcPr>
                <w:p w14:paraId="2C7F3BD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kg/h</w:t>
                  </w:r>
                </w:p>
              </w:tc>
              <w:tc>
                <w:tcPr>
                  <w:tcW w:w="472" w:type="pct"/>
                  <w:tcBorders>
                    <w:tl2br w:val="nil"/>
                    <w:tr2bl w:val="nil"/>
                  </w:tcBorders>
                  <w:vAlign w:val="center"/>
                </w:tcPr>
                <w:p w14:paraId="2826B9F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t/a</w:t>
                  </w:r>
                </w:p>
              </w:tc>
              <w:tc>
                <w:tcPr>
                  <w:tcW w:w="376" w:type="pct"/>
                  <w:vMerge w:val="continue"/>
                  <w:tcBorders>
                    <w:tl2br w:val="nil"/>
                    <w:tr2bl w:val="nil"/>
                  </w:tcBorders>
                  <w:vAlign w:val="center"/>
                </w:tcPr>
                <w:p w14:paraId="70B7ED13">
                  <w:pPr>
                    <w:widowControl/>
                    <w:autoSpaceDE w:val="0"/>
                    <w:autoSpaceDN w:val="0"/>
                    <w:spacing w:line="320" w:lineRule="exact"/>
                    <w:jc w:val="center"/>
                    <w:rPr>
                      <w:rFonts w:hint="default" w:ascii="Times New Roman" w:hAnsi="Times New Roman" w:cs="Times New Roman"/>
                      <w:color w:val="auto"/>
                      <w:kern w:val="0"/>
                      <w:sz w:val="18"/>
                      <w:szCs w:val="18"/>
                    </w:rPr>
                  </w:pPr>
                </w:p>
              </w:tc>
            </w:tr>
            <w:tr w14:paraId="2DC6A3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tcBorders>
                    <w:tl2br w:val="nil"/>
                    <w:tr2bl w:val="nil"/>
                  </w:tcBorders>
                  <w:vAlign w:val="center"/>
                </w:tcPr>
                <w:p w14:paraId="6365B5D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G1:带钢镀锌原料处理</w:t>
                  </w:r>
                </w:p>
              </w:tc>
              <w:tc>
                <w:tcPr>
                  <w:tcW w:w="397" w:type="pct"/>
                  <w:tcBorders>
                    <w:tl2br w:val="nil"/>
                    <w:tr2bl w:val="nil"/>
                  </w:tcBorders>
                  <w:vAlign w:val="center"/>
                </w:tcPr>
                <w:p w14:paraId="4FFE5E1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粉尘</w:t>
                  </w:r>
                </w:p>
              </w:tc>
              <w:tc>
                <w:tcPr>
                  <w:tcW w:w="539" w:type="pct"/>
                  <w:tcBorders>
                    <w:tl2br w:val="nil"/>
                    <w:tr2bl w:val="nil"/>
                  </w:tcBorders>
                  <w:vAlign w:val="center"/>
                </w:tcPr>
                <w:p w14:paraId="6C6C4F6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86805</w:t>
                  </w:r>
                </w:p>
              </w:tc>
              <w:tc>
                <w:tcPr>
                  <w:tcW w:w="467" w:type="pct"/>
                  <w:tcBorders>
                    <w:tl2br w:val="nil"/>
                    <w:tr2bl w:val="nil"/>
                  </w:tcBorders>
                  <w:vAlign w:val="center"/>
                </w:tcPr>
                <w:p w14:paraId="122FF5D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18</w:t>
                  </w:r>
                </w:p>
              </w:tc>
              <w:tc>
                <w:tcPr>
                  <w:tcW w:w="467" w:type="pct"/>
                  <w:tcBorders>
                    <w:tl2br w:val="nil"/>
                    <w:tr2bl w:val="nil"/>
                  </w:tcBorders>
                  <w:vAlign w:val="center"/>
                </w:tcPr>
                <w:p w14:paraId="54F7330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1.3</w:t>
                  </w:r>
                </w:p>
              </w:tc>
              <w:tc>
                <w:tcPr>
                  <w:tcW w:w="653" w:type="pct"/>
                  <w:tcBorders>
                    <w:tl2br w:val="nil"/>
                    <w:tr2bl w:val="nil"/>
                  </w:tcBorders>
                  <w:vAlign w:val="center"/>
                </w:tcPr>
                <w:p w14:paraId="2A6CE83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布袋除尘，除尘效率99%</w:t>
                  </w:r>
                </w:p>
              </w:tc>
              <w:tc>
                <w:tcPr>
                  <w:tcW w:w="575" w:type="pct"/>
                  <w:tcBorders>
                    <w:tl2br w:val="nil"/>
                    <w:tr2bl w:val="nil"/>
                  </w:tcBorders>
                  <w:vAlign w:val="center"/>
                </w:tcPr>
                <w:p w14:paraId="2F16201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481" w:type="pct"/>
                  <w:tcBorders>
                    <w:tl2br w:val="nil"/>
                    <w:tr2bl w:val="nil"/>
                  </w:tcBorders>
                  <w:vAlign w:val="center"/>
                </w:tcPr>
                <w:p w14:paraId="7ED9C11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0.52</w:t>
                  </w:r>
                </w:p>
              </w:tc>
              <w:tc>
                <w:tcPr>
                  <w:tcW w:w="472" w:type="pct"/>
                  <w:tcBorders>
                    <w:tl2br w:val="nil"/>
                    <w:tr2bl w:val="nil"/>
                  </w:tcBorders>
                  <w:vAlign w:val="center"/>
                </w:tcPr>
                <w:p w14:paraId="02D2363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3.75</w:t>
                  </w:r>
                </w:p>
              </w:tc>
              <w:tc>
                <w:tcPr>
                  <w:tcW w:w="376" w:type="pct"/>
                  <w:tcBorders>
                    <w:tl2br w:val="nil"/>
                    <w:tr2bl w:val="nil"/>
                  </w:tcBorders>
                  <w:vAlign w:val="center"/>
                </w:tcPr>
                <w:p w14:paraId="5576131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7200</w:t>
                  </w:r>
                </w:p>
              </w:tc>
            </w:tr>
            <w:tr w14:paraId="24F96D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tcBorders>
                    <w:tl2br w:val="nil"/>
                    <w:tr2bl w:val="nil"/>
                  </w:tcBorders>
                  <w:vAlign w:val="center"/>
                </w:tcPr>
                <w:p w14:paraId="3889053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G2:带钢酸洗废气</w:t>
                  </w:r>
                </w:p>
              </w:tc>
              <w:tc>
                <w:tcPr>
                  <w:tcW w:w="397" w:type="pct"/>
                  <w:tcBorders>
                    <w:tl2br w:val="nil"/>
                    <w:tr2bl w:val="nil"/>
                  </w:tcBorders>
                  <w:vAlign w:val="center"/>
                </w:tcPr>
                <w:p w14:paraId="7B9AD89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HCl</w:t>
                  </w:r>
                </w:p>
              </w:tc>
              <w:tc>
                <w:tcPr>
                  <w:tcW w:w="539" w:type="pct"/>
                  <w:tcBorders>
                    <w:tl2br w:val="nil"/>
                    <w:tr2bl w:val="nil"/>
                  </w:tcBorders>
                  <w:vAlign w:val="center"/>
                </w:tcPr>
                <w:p w14:paraId="7E73F41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30000</w:t>
                  </w:r>
                </w:p>
              </w:tc>
              <w:tc>
                <w:tcPr>
                  <w:tcW w:w="467" w:type="pct"/>
                  <w:tcBorders>
                    <w:tl2br w:val="nil"/>
                    <w:tr2bl w:val="nil"/>
                  </w:tcBorders>
                  <w:vAlign w:val="center"/>
                </w:tcPr>
                <w:p w14:paraId="4169060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467" w:type="pct"/>
                  <w:tcBorders>
                    <w:tl2br w:val="nil"/>
                    <w:tr2bl w:val="nil"/>
                  </w:tcBorders>
                  <w:vAlign w:val="center"/>
                </w:tcPr>
                <w:p w14:paraId="7519205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0.8</w:t>
                  </w:r>
                </w:p>
              </w:tc>
              <w:tc>
                <w:tcPr>
                  <w:tcW w:w="653" w:type="pct"/>
                  <w:tcBorders>
                    <w:tl2br w:val="nil"/>
                    <w:tr2bl w:val="nil"/>
                  </w:tcBorders>
                  <w:vAlign w:val="center"/>
                </w:tcPr>
                <w:p w14:paraId="5FFBB09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酸雾处理系统（冷凝+二级喷淋组合），去除交率98%</w:t>
                  </w:r>
                </w:p>
              </w:tc>
              <w:tc>
                <w:tcPr>
                  <w:tcW w:w="575" w:type="pct"/>
                  <w:tcBorders>
                    <w:tl2br w:val="nil"/>
                    <w:tr2bl w:val="nil"/>
                  </w:tcBorders>
                  <w:vAlign w:val="center"/>
                </w:tcPr>
                <w:p w14:paraId="55B2167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3.28</w:t>
                  </w:r>
                </w:p>
              </w:tc>
              <w:tc>
                <w:tcPr>
                  <w:tcW w:w="481" w:type="pct"/>
                  <w:tcBorders>
                    <w:tl2br w:val="nil"/>
                    <w:tr2bl w:val="nil"/>
                  </w:tcBorders>
                  <w:vAlign w:val="center"/>
                </w:tcPr>
                <w:p w14:paraId="2C1511B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0.098</w:t>
                  </w:r>
                </w:p>
              </w:tc>
              <w:tc>
                <w:tcPr>
                  <w:tcW w:w="472" w:type="pct"/>
                  <w:tcBorders>
                    <w:tl2br w:val="nil"/>
                    <w:tr2bl w:val="nil"/>
                  </w:tcBorders>
                  <w:vAlign w:val="center"/>
                </w:tcPr>
                <w:p w14:paraId="3F54CF8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0.710</w:t>
                  </w:r>
                </w:p>
              </w:tc>
              <w:tc>
                <w:tcPr>
                  <w:tcW w:w="376" w:type="pct"/>
                  <w:tcBorders>
                    <w:tl2br w:val="nil"/>
                    <w:tr2bl w:val="nil"/>
                  </w:tcBorders>
                  <w:vAlign w:val="center"/>
                </w:tcPr>
                <w:p w14:paraId="33AA3D2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7200</w:t>
                  </w:r>
                </w:p>
              </w:tc>
            </w:tr>
            <w:tr w14:paraId="6EDB8B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569" w:type="pct"/>
                  <w:vMerge w:val="restart"/>
                  <w:tcBorders>
                    <w:tl2br w:val="nil"/>
                    <w:tr2bl w:val="nil"/>
                  </w:tcBorders>
                  <w:vAlign w:val="center"/>
                </w:tcPr>
                <w:p w14:paraId="0FE1B0F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G3:型钢生产线酸洗、助镀废气</w:t>
                  </w:r>
                </w:p>
              </w:tc>
              <w:tc>
                <w:tcPr>
                  <w:tcW w:w="397" w:type="pct"/>
                  <w:tcBorders>
                    <w:tl2br w:val="nil"/>
                    <w:tr2bl w:val="nil"/>
                  </w:tcBorders>
                  <w:vAlign w:val="center"/>
                </w:tcPr>
                <w:p w14:paraId="604E660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HCl</w:t>
                  </w:r>
                </w:p>
              </w:tc>
              <w:tc>
                <w:tcPr>
                  <w:tcW w:w="539" w:type="pct"/>
                  <w:vMerge w:val="restart"/>
                  <w:tcBorders>
                    <w:tl2br w:val="nil"/>
                    <w:tr2bl w:val="nil"/>
                  </w:tcBorders>
                  <w:vAlign w:val="center"/>
                </w:tcPr>
                <w:p w14:paraId="3AAC9E7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45000</w:t>
                  </w:r>
                </w:p>
              </w:tc>
              <w:tc>
                <w:tcPr>
                  <w:tcW w:w="467" w:type="pct"/>
                  <w:vMerge w:val="restart"/>
                  <w:tcBorders>
                    <w:tl2br w:val="nil"/>
                    <w:tr2bl w:val="nil"/>
                  </w:tcBorders>
                  <w:vAlign w:val="center"/>
                </w:tcPr>
                <w:p w14:paraId="0B47199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467" w:type="pct"/>
                  <w:vMerge w:val="restart"/>
                  <w:tcBorders>
                    <w:tl2br w:val="nil"/>
                    <w:tr2bl w:val="nil"/>
                  </w:tcBorders>
                  <w:vAlign w:val="center"/>
                </w:tcPr>
                <w:p w14:paraId="41AE573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0.9</w:t>
                  </w:r>
                </w:p>
              </w:tc>
              <w:tc>
                <w:tcPr>
                  <w:tcW w:w="653" w:type="pct"/>
                  <w:vMerge w:val="restart"/>
                  <w:tcBorders>
                    <w:tl2br w:val="nil"/>
                    <w:tr2bl w:val="nil"/>
                  </w:tcBorders>
                  <w:vAlign w:val="center"/>
                </w:tcPr>
                <w:p w14:paraId="585538F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分别收集后一同经酸雾处理系统（冷凝+二级喷淋组合）处理，HCl去除效率98%，NH</w:t>
                  </w:r>
                  <w:r>
                    <w:rPr>
                      <w:rFonts w:hint="default" w:ascii="Times New Roman" w:hAnsi="Times New Roman" w:cs="Times New Roman"/>
                      <w:color w:val="auto"/>
                      <w:sz w:val="18"/>
                      <w:szCs w:val="18"/>
                      <w:vertAlign w:val="subscript"/>
                    </w:rPr>
                    <w:t>3</w:t>
                  </w:r>
                  <w:r>
                    <w:rPr>
                      <w:rFonts w:hint="default" w:ascii="Times New Roman" w:hAnsi="Times New Roman" w:cs="Times New Roman"/>
                      <w:color w:val="auto"/>
                      <w:sz w:val="18"/>
                      <w:szCs w:val="18"/>
                    </w:rPr>
                    <w:t>去除效率70%</w:t>
                  </w:r>
                </w:p>
              </w:tc>
              <w:tc>
                <w:tcPr>
                  <w:tcW w:w="575" w:type="pct"/>
                  <w:tcBorders>
                    <w:tl2br w:val="nil"/>
                    <w:tr2bl w:val="nil"/>
                  </w:tcBorders>
                  <w:vAlign w:val="center"/>
                </w:tcPr>
                <w:p w14:paraId="58764C7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3.92</w:t>
                  </w:r>
                </w:p>
              </w:tc>
              <w:tc>
                <w:tcPr>
                  <w:tcW w:w="481" w:type="pct"/>
                  <w:tcBorders>
                    <w:tl2br w:val="nil"/>
                    <w:tr2bl w:val="nil"/>
                  </w:tcBorders>
                  <w:vAlign w:val="center"/>
                </w:tcPr>
                <w:p w14:paraId="4D60660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0.176</w:t>
                  </w:r>
                </w:p>
              </w:tc>
              <w:tc>
                <w:tcPr>
                  <w:tcW w:w="472" w:type="pct"/>
                  <w:tcBorders>
                    <w:tl2br w:val="nil"/>
                    <w:tr2bl w:val="nil"/>
                  </w:tcBorders>
                  <w:vAlign w:val="center"/>
                </w:tcPr>
                <w:p w14:paraId="063794A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1.27</w:t>
                  </w:r>
                </w:p>
              </w:tc>
              <w:tc>
                <w:tcPr>
                  <w:tcW w:w="376" w:type="pct"/>
                  <w:vMerge w:val="restart"/>
                  <w:tcBorders>
                    <w:tl2br w:val="nil"/>
                    <w:tr2bl w:val="nil"/>
                  </w:tcBorders>
                  <w:vAlign w:val="center"/>
                </w:tcPr>
                <w:p w14:paraId="1D4EB0A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7200</w:t>
                  </w:r>
                </w:p>
              </w:tc>
            </w:tr>
            <w:tr w14:paraId="2F5FC9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tcBorders>
                    <w:tl2br w:val="nil"/>
                    <w:tr2bl w:val="nil"/>
                  </w:tcBorders>
                  <w:vAlign w:val="center"/>
                </w:tcPr>
                <w:p w14:paraId="7794B33A">
                  <w:pPr>
                    <w:jc w:val="center"/>
                    <w:rPr>
                      <w:rFonts w:hint="default" w:ascii="Times New Roman" w:hAnsi="Times New Roman" w:cs="Times New Roman"/>
                      <w:color w:val="auto"/>
                      <w:sz w:val="18"/>
                      <w:szCs w:val="18"/>
                    </w:rPr>
                  </w:pPr>
                </w:p>
              </w:tc>
              <w:tc>
                <w:tcPr>
                  <w:tcW w:w="397" w:type="pct"/>
                  <w:tcBorders>
                    <w:tl2br w:val="nil"/>
                    <w:tr2bl w:val="nil"/>
                  </w:tcBorders>
                  <w:vAlign w:val="center"/>
                </w:tcPr>
                <w:p w14:paraId="1EACC31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NH</w:t>
                  </w:r>
                  <w:r>
                    <w:rPr>
                      <w:rFonts w:hint="default" w:ascii="Times New Roman" w:hAnsi="Times New Roman" w:cs="Times New Roman"/>
                      <w:color w:val="auto"/>
                      <w:sz w:val="18"/>
                      <w:szCs w:val="18"/>
                      <w:vertAlign w:val="subscript"/>
                    </w:rPr>
                    <w:t>3</w:t>
                  </w:r>
                </w:p>
              </w:tc>
              <w:tc>
                <w:tcPr>
                  <w:tcW w:w="539" w:type="pct"/>
                  <w:vMerge w:val="continue"/>
                  <w:tcBorders>
                    <w:tl2br w:val="nil"/>
                    <w:tr2bl w:val="nil"/>
                  </w:tcBorders>
                  <w:vAlign w:val="center"/>
                </w:tcPr>
                <w:p w14:paraId="64C4148D">
                  <w:pPr>
                    <w:jc w:val="center"/>
                    <w:rPr>
                      <w:rFonts w:hint="default" w:ascii="Times New Roman" w:hAnsi="Times New Roman" w:cs="Times New Roman"/>
                      <w:color w:val="auto"/>
                      <w:sz w:val="18"/>
                      <w:szCs w:val="18"/>
                    </w:rPr>
                  </w:pPr>
                </w:p>
              </w:tc>
              <w:tc>
                <w:tcPr>
                  <w:tcW w:w="467" w:type="pct"/>
                  <w:vMerge w:val="continue"/>
                  <w:tcBorders>
                    <w:tl2br w:val="nil"/>
                    <w:tr2bl w:val="nil"/>
                  </w:tcBorders>
                  <w:vAlign w:val="center"/>
                </w:tcPr>
                <w:p w14:paraId="515559F6">
                  <w:pPr>
                    <w:jc w:val="center"/>
                    <w:rPr>
                      <w:rFonts w:hint="default" w:ascii="Times New Roman" w:hAnsi="Times New Roman" w:cs="Times New Roman"/>
                      <w:color w:val="auto"/>
                      <w:sz w:val="18"/>
                      <w:szCs w:val="18"/>
                    </w:rPr>
                  </w:pPr>
                </w:p>
              </w:tc>
              <w:tc>
                <w:tcPr>
                  <w:tcW w:w="467" w:type="pct"/>
                  <w:vMerge w:val="continue"/>
                  <w:tcBorders>
                    <w:tl2br w:val="nil"/>
                    <w:tr2bl w:val="nil"/>
                  </w:tcBorders>
                  <w:vAlign w:val="center"/>
                </w:tcPr>
                <w:p w14:paraId="52690C0E">
                  <w:pPr>
                    <w:jc w:val="center"/>
                    <w:rPr>
                      <w:rFonts w:hint="default" w:ascii="Times New Roman" w:hAnsi="Times New Roman" w:cs="Times New Roman"/>
                      <w:color w:val="auto"/>
                      <w:sz w:val="18"/>
                      <w:szCs w:val="18"/>
                    </w:rPr>
                  </w:pPr>
                </w:p>
              </w:tc>
              <w:tc>
                <w:tcPr>
                  <w:tcW w:w="653" w:type="pct"/>
                  <w:vMerge w:val="continue"/>
                  <w:tcBorders>
                    <w:tl2br w:val="nil"/>
                    <w:tr2bl w:val="nil"/>
                  </w:tcBorders>
                  <w:vAlign w:val="center"/>
                </w:tcPr>
                <w:p w14:paraId="23005F30">
                  <w:pPr>
                    <w:jc w:val="center"/>
                    <w:rPr>
                      <w:rFonts w:hint="default" w:ascii="Times New Roman" w:hAnsi="Times New Roman" w:cs="Times New Roman"/>
                      <w:color w:val="auto"/>
                      <w:sz w:val="18"/>
                      <w:szCs w:val="18"/>
                    </w:rPr>
                  </w:pPr>
                </w:p>
              </w:tc>
              <w:tc>
                <w:tcPr>
                  <w:tcW w:w="575" w:type="pct"/>
                  <w:tcBorders>
                    <w:tl2br w:val="nil"/>
                    <w:tr2bl w:val="nil"/>
                  </w:tcBorders>
                  <w:vAlign w:val="center"/>
                </w:tcPr>
                <w:p w14:paraId="60506FB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1.41</w:t>
                  </w:r>
                </w:p>
              </w:tc>
              <w:tc>
                <w:tcPr>
                  <w:tcW w:w="481" w:type="pct"/>
                  <w:tcBorders>
                    <w:tl2br w:val="nil"/>
                    <w:tr2bl w:val="nil"/>
                  </w:tcBorders>
                  <w:vAlign w:val="center"/>
                </w:tcPr>
                <w:p w14:paraId="08DA403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0.063</w:t>
                  </w:r>
                </w:p>
              </w:tc>
              <w:tc>
                <w:tcPr>
                  <w:tcW w:w="472" w:type="pct"/>
                  <w:tcBorders>
                    <w:tl2br w:val="nil"/>
                    <w:tr2bl w:val="nil"/>
                  </w:tcBorders>
                  <w:vAlign w:val="center"/>
                </w:tcPr>
                <w:p w14:paraId="37DEEA3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0.46</w:t>
                  </w:r>
                </w:p>
              </w:tc>
              <w:tc>
                <w:tcPr>
                  <w:tcW w:w="376" w:type="pct"/>
                  <w:vMerge w:val="continue"/>
                  <w:tcBorders>
                    <w:tl2br w:val="nil"/>
                    <w:tr2bl w:val="nil"/>
                  </w:tcBorders>
                  <w:vAlign w:val="center"/>
                </w:tcPr>
                <w:p w14:paraId="7DCCA841">
                  <w:pPr>
                    <w:widowControl/>
                    <w:autoSpaceDE w:val="0"/>
                    <w:autoSpaceDN w:val="0"/>
                    <w:spacing w:line="320" w:lineRule="exact"/>
                    <w:jc w:val="center"/>
                    <w:rPr>
                      <w:rFonts w:hint="default" w:ascii="Times New Roman" w:hAnsi="Times New Roman" w:cs="Times New Roman"/>
                      <w:color w:val="auto"/>
                      <w:kern w:val="0"/>
                      <w:sz w:val="18"/>
                      <w:szCs w:val="18"/>
                    </w:rPr>
                  </w:pPr>
                </w:p>
              </w:tc>
            </w:tr>
            <w:tr w14:paraId="663E30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restart"/>
                  <w:tcBorders>
                    <w:tl2br w:val="nil"/>
                    <w:tr2bl w:val="nil"/>
                  </w:tcBorders>
                  <w:vAlign w:val="center"/>
                </w:tcPr>
                <w:p w14:paraId="08B32EF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G4:锅炉废气</w:t>
                  </w:r>
                </w:p>
              </w:tc>
              <w:tc>
                <w:tcPr>
                  <w:tcW w:w="397" w:type="pct"/>
                  <w:tcBorders>
                    <w:tl2br w:val="nil"/>
                    <w:tr2bl w:val="nil"/>
                  </w:tcBorders>
                  <w:vAlign w:val="center"/>
                </w:tcPr>
                <w:p w14:paraId="5D1E3E08">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烟尘</w:t>
                  </w:r>
                </w:p>
              </w:tc>
              <w:tc>
                <w:tcPr>
                  <w:tcW w:w="539" w:type="pct"/>
                  <w:vMerge w:val="restart"/>
                  <w:tcBorders>
                    <w:tl2br w:val="nil"/>
                    <w:tr2bl w:val="nil"/>
                  </w:tcBorders>
                  <w:vAlign w:val="center"/>
                </w:tcPr>
                <w:p w14:paraId="6C3E937E">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2215</w:t>
                  </w:r>
                </w:p>
              </w:tc>
              <w:tc>
                <w:tcPr>
                  <w:tcW w:w="467" w:type="pct"/>
                  <w:vMerge w:val="restart"/>
                  <w:tcBorders>
                    <w:tl2br w:val="nil"/>
                    <w:tr2bl w:val="nil"/>
                  </w:tcBorders>
                  <w:vAlign w:val="center"/>
                </w:tcPr>
                <w:p w14:paraId="37AD39C4">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15</w:t>
                  </w:r>
                </w:p>
              </w:tc>
              <w:tc>
                <w:tcPr>
                  <w:tcW w:w="467" w:type="pct"/>
                  <w:vMerge w:val="restart"/>
                  <w:tcBorders>
                    <w:tl2br w:val="nil"/>
                    <w:tr2bl w:val="nil"/>
                  </w:tcBorders>
                  <w:vAlign w:val="center"/>
                </w:tcPr>
                <w:p w14:paraId="0B8DEAC0">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0.2</w:t>
                  </w:r>
                </w:p>
              </w:tc>
              <w:tc>
                <w:tcPr>
                  <w:tcW w:w="653" w:type="pct"/>
                  <w:vMerge w:val="restart"/>
                  <w:tcBorders>
                    <w:tl2br w:val="nil"/>
                    <w:tr2bl w:val="nil"/>
                  </w:tcBorders>
                  <w:vAlign w:val="center"/>
                </w:tcPr>
                <w:p w14:paraId="5E73735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废气由排气筒直接排放</w:t>
                  </w:r>
                </w:p>
              </w:tc>
              <w:tc>
                <w:tcPr>
                  <w:tcW w:w="575" w:type="pct"/>
                  <w:tcBorders>
                    <w:tl2br w:val="nil"/>
                    <w:tr2bl w:val="nil"/>
                  </w:tcBorders>
                  <w:vAlign w:val="center"/>
                </w:tcPr>
                <w:p w14:paraId="0E1D5F53">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0.143</w:t>
                  </w:r>
                </w:p>
              </w:tc>
              <w:tc>
                <w:tcPr>
                  <w:tcW w:w="481" w:type="pct"/>
                  <w:tcBorders>
                    <w:tl2br w:val="nil"/>
                    <w:tr2bl w:val="nil"/>
                  </w:tcBorders>
                  <w:vAlign w:val="center"/>
                </w:tcPr>
                <w:p w14:paraId="17DEB0E5">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0.0002</w:t>
                  </w:r>
                </w:p>
              </w:tc>
              <w:tc>
                <w:tcPr>
                  <w:tcW w:w="472" w:type="pct"/>
                  <w:tcBorders>
                    <w:tl2br w:val="nil"/>
                    <w:tr2bl w:val="nil"/>
                  </w:tcBorders>
                  <w:vAlign w:val="center"/>
                </w:tcPr>
                <w:p w14:paraId="55350E71">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0.0003</w:t>
                  </w:r>
                </w:p>
              </w:tc>
              <w:tc>
                <w:tcPr>
                  <w:tcW w:w="376" w:type="pct"/>
                  <w:vMerge w:val="restart"/>
                  <w:tcBorders>
                    <w:tl2br w:val="nil"/>
                    <w:tr2bl w:val="nil"/>
                  </w:tcBorders>
                  <w:vAlign w:val="center"/>
                </w:tcPr>
                <w:p w14:paraId="6F77E94D">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1440</w:t>
                  </w:r>
                </w:p>
              </w:tc>
            </w:tr>
            <w:tr w14:paraId="5CA976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tcBorders>
                    <w:tl2br w:val="nil"/>
                    <w:tr2bl w:val="nil"/>
                  </w:tcBorders>
                  <w:vAlign w:val="center"/>
                </w:tcPr>
                <w:p w14:paraId="7AD860C3">
                  <w:pPr>
                    <w:jc w:val="center"/>
                    <w:rPr>
                      <w:rFonts w:hint="default" w:ascii="Times New Roman" w:hAnsi="Times New Roman" w:cs="Times New Roman"/>
                      <w:color w:val="auto"/>
                      <w:sz w:val="18"/>
                      <w:szCs w:val="18"/>
                    </w:rPr>
                  </w:pPr>
                </w:p>
              </w:tc>
              <w:tc>
                <w:tcPr>
                  <w:tcW w:w="397" w:type="pct"/>
                  <w:tcBorders>
                    <w:tl2br w:val="nil"/>
                    <w:tr2bl w:val="nil"/>
                  </w:tcBorders>
                  <w:vAlign w:val="center"/>
                </w:tcPr>
                <w:p w14:paraId="5A05221B">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SO</w:t>
                  </w:r>
                  <w:r>
                    <w:rPr>
                      <w:rFonts w:hint="default" w:ascii="Times New Roman" w:hAnsi="Times New Roman" w:cs="Times New Roman"/>
                      <w:color w:val="auto"/>
                      <w:kern w:val="0"/>
                      <w:sz w:val="18"/>
                      <w:szCs w:val="18"/>
                      <w:vertAlign w:val="subscript"/>
                    </w:rPr>
                    <w:t>2</w:t>
                  </w:r>
                </w:p>
              </w:tc>
              <w:tc>
                <w:tcPr>
                  <w:tcW w:w="539" w:type="pct"/>
                  <w:vMerge w:val="continue"/>
                  <w:tcBorders>
                    <w:tl2br w:val="nil"/>
                    <w:tr2bl w:val="nil"/>
                  </w:tcBorders>
                  <w:vAlign w:val="center"/>
                </w:tcPr>
                <w:p w14:paraId="11FA5D06">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467" w:type="pct"/>
                  <w:vMerge w:val="continue"/>
                  <w:tcBorders>
                    <w:tl2br w:val="nil"/>
                    <w:tr2bl w:val="nil"/>
                  </w:tcBorders>
                  <w:vAlign w:val="center"/>
                </w:tcPr>
                <w:p w14:paraId="4CCF6248">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467" w:type="pct"/>
                  <w:vMerge w:val="continue"/>
                  <w:tcBorders>
                    <w:tl2br w:val="nil"/>
                    <w:tr2bl w:val="nil"/>
                  </w:tcBorders>
                  <w:vAlign w:val="center"/>
                </w:tcPr>
                <w:p w14:paraId="4AFA3959">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653" w:type="pct"/>
                  <w:vMerge w:val="continue"/>
                  <w:tcBorders>
                    <w:tl2br w:val="nil"/>
                    <w:tr2bl w:val="nil"/>
                  </w:tcBorders>
                  <w:vAlign w:val="center"/>
                </w:tcPr>
                <w:p w14:paraId="7C76F953">
                  <w:pPr>
                    <w:jc w:val="center"/>
                    <w:rPr>
                      <w:rFonts w:hint="default" w:ascii="Times New Roman" w:hAnsi="Times New Roman" w:cs="Times New Roman"/>
                      <w:color w:val="auto"/>
                      <w:sz w:val="18"/>
                      <w:szCs w:val="18"/>
                    </w:rPr>
                  </w:pPr>
                </w:p>
              </w:tc>
              <w:tc>
                <w:tcPr>
                  <w:tcW w:w="575" w:type="pct"/>
                  <w:tcBorders>
                    <w:tl2br w:val="nil"/>
                    <w:tr2bl w:val="nil"/>
                  </w:tcBorders>
                  <w:vAlign w:val="center"/>
                </w:tcPr>
                <w:p w14:paraId="7B47D7DD">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18.56</w:t>
                  </w:r>
                </w:p>
              </w:tc>
              <w:tc>
                <w:tcPr>
                  <w:tcW w:w="481" w:type="pct"/>
                  <w:tcBorders>
                    <w:tl2br w:val="nil"/>
                    <w:tr2bl w:val="nil"/>
                  </w:tcBorders>
                  <w:vAlign w:val="center"/>
                </w:tcPr>
                <w:p w14:paraId="0E313D16">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0.041</w:t>
                  </w:r>
                </w:p>
              </w:tc>
              <w:tc>
                <w:tcPr>
                  <w:tcW w:w="472" w:type="pct"/>
                  <w:tcBorders>
                    <w:tl2br w:val="nil"/>
                    <w:tr2bl w:val="nil"/>
                  </w:tcBorders>
                  <w:vAlign w:val="center"/>
                </w:tcPr>
                <w:p w14:paraId="12013BF4">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0.059</w:t>
                  </w:r>
                </w:p>
              </w:tc>
              <w:tc>
                <w:tcPr>
                  <w:tcW w:w="376" w:type="pct"/>
                  <w:vMerge w:val="continue"/>
                  <w:tcBorders>
                    <w:tl2br w:val="nil"/>
                    <w:tr2bl w:val="nil"/>
                  </w:tcBorders>
                  <w:vAlign w:val="center"/>
                </w:tcPr>
                <w:p w14:paraId="5465B3A4">
                  <w:pPr>
                    <w:widowControl/>
                    <w:autoSpaceDE w:val="0"/>
                    <w:autoSpaceDN w:val="0"/>
                    <w:spacing w:line="320" w:lineRule="exact"/>
                    <w:jc w:val="center"/>
                    <w:rPr>
                      <w:rFonts w:hint="default" w:ascii="Times New Roman" w:hAnsi="Times New Roman" w:cs="Times New Roman"/>
                      <w:color w:val="auto"/>
                      <w:kern w:val="0"/>
                      <w:sz w:val="18"/>
                      <w:szCs w:val="18"/>
                    </w:rPr>
                  </w:pPr>
                </w:p>
              </w:tc>
            </w:tr>
            <w:tr w14:paraId="6F0FD5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tcBorders>
                    <w:tl2br w:val="nil"/>
                    <w:tr2bl w:val="nil"/>
                  </w:tcBorders>
                  <w:vAlign w:val="center"/>
                </w:tcPr>
                <w:p w14:paraId="6C3A3AA9">
                  <w:pPr>
                    <w:jc w:val="center"/>
                    <w:rPr>
                      <w:rFonts w:hint="default" w:ascii="Times New Roman" w:hAnsi="Times New Roman" w:cs="Times New Roman"/>
                      <w:color w:val="auto"/>
                      <w:sz w:val="18"/>
                      <w:szCs w:val="18"/>
                    </w:rPr>
                  </w:pPr>
                </w:p>
              </w:tc>
              <w:tc>
                <w:tcPr>
                  <w:tcW w:w="397" w:type="pct"/>
                  <w:tcBorders>
                    <w:tl2br w:val="nil"/>
                    <w:tr2bl w:val="nil"/>
                  </w:tcBorders>
                  <w:vAlign w:val="center"/>
                </w:tcPr>
                <w:p w14:paraId="10E95C9C">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NO</w:t>
                  </w:r>
                  <w:r>
                    <w:rPr>
                      <w:rFonts w:hint="default" w:ascii="Times New Roman" w:hAnsi="Times New Roman" w:cs="Times New Roman"/>
                      <w:color w:val="auto"/>
                      <w:kern w:val="0"/>
                      <w:sz w:val="18"/>
                      <w:szCs w:val="18"/>
                      <w:vertAlign w:val="subscript"/>
                    </w:rPr>
                    <w:t>X</w:t>
                  </w:r>
                </w:p>
              </w:tc>
              <w:tc>
                <w:tcPr>
                  <w:tcW w:w="539" w:type="pct"/>
                  <w:vMerge w:val="continue"/>
                  <w:tcBorders>
                    <w:tl2br w:val="nil"/>
                    <w:tr2bl w:val="nil"/>
                  </w:tcBorders>
                  <w:vAlign w:val="center"/>
                </w:tcPr>
                <w:p w14:paraId="63927FD9">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467" w:type="pct"/>
                  <w:vMerge w:val="continue"/>
                  <w:tcBorders>
                    <w:tl2br w:val="nil"/>
                    <w:tr2bl w:val="nil"/>
                  </w:tcBorders>
                  <w:vAlign w:val="center"/>
                </w:tcPr>
                <w:p w14:paraId="063F83FF">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467" w:type="pct"/>
                  <w:vMerge w:val="continue"/>
                  <w:tcBorders>
                    <w:tl2br w:val="nil"/>
                    <w:tr2bl w:val="nil"/>
                  </w:tcBorders>
                  <w:vAlign w:val="center"/>
                </w:tcPr>
                <w:p w14:paraId="4DB79126">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653" w:type="pct"/>
                  <w:vMerge w:val="continue"/>
                  <w:tcBorders>
                    <w:tl2br w:val="nil"/>
                    <w:tr2bl w:val="nil"/>
                  </w:tcBorders>
                  <w:vAlign w:val="center"/>
                </w:tcPr>
                <w:p w14:paraId="16482B89">
                  <w:pPr>
                    <w:jc w:val="center"/>
                    <w:rPr>
                      <w:rFonts w:hint="default" w:ascii="Times New Roman" w:hAnsi="Times New Roman" w:cs="Times New Roman"/>
                      <w:color w:val="auto"/>
                      <w:sz w:val="18"/>
                      <w:szCs w:val="18"/>
                    </w:rPr>
                  </w:pPr>
                </w:p>
              </w:tc>
              <w:tc>
                <w:tcPr>
                  <w:tcW w:w="575" w:type="pct"/>
                  <w:tcBorders>
                    <w:tl2br w:val="nil"/>
                    <w:tr2bl w:val="nil"/>
                  </w:tcBorders>
                  <w:vAlign w:val="center"/>
                </w:tcPr>
                <w:p w14:paraId="69BADA3E">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147.18</w:t>
                  </w:r>
                </w:p>
              </w:tc>
              <w:tc>
                <w:tcPr>
                  <w:tcW w:w="481" w:type="pct"/>
                  <w:tcBorders>
                    <w:tl2br w:val="nil"/>
                    <w:tr2bl w:val="nil"/>
                  </w:tcBorders>
                  <w:vAlign w:val="center"/>
                </w:tcPr>
                <w:p w14:paraId="4053748F">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0.326</w:t>
                  </w:r>
                </w:p>
              </w:tc>
              <w:tc>
                <w:tcPr>
                  <w:tcW w:w="472" w:type="pct"/>
                  <w:tcBorders>
                    <w:tl2br w:val="nil"/>
                    <w:tr2bl w:val="nil"/>
                  </w:tcBorders>
                  <w:vAlign w:val="center"/>
                </w:tcPr>
                <w:p w14:paraId="5CAB6B56">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0.47</w:t>
                  </w:r>
                </w:p>
              </w:tc>
              <w:tc>
                <w:tcPr>
                  <w:tcW w:w="376" w:type="pct"/>
                  <w:vMerge w:val="continue"/>
                  <w:tcBorders>
                    <w:tl2br w:val="nil"/>
                    <w:tr2bl w:val="nil"/>
                  </w:tcBorders>
                  <w:vAlign w:val="center"/>
                </w:tcPr>
                <w:p w14:paraId="3741B6D5">
                  <w:pPr>
                    <w:widowControl/>
                    <w:autoSpaceDE w:val="0"/>
                    <w:autoSpaceDN w:val="0"/>
                    <w:spacing w:line="320" w:lineRule="exact"/>
                    <w:jc w:val="center"/>
                    <w:rPr>
                      <w:rFonts w:hint="default" w:ascii="Times New Roman" w:hAnsi="Times New Roman" w:cs="Times New Roman"/>
                      <w:color w:val="auto"/>
                      <w:kern w:val="0"/>
                      <w:sz w:val="18"/>
                      <w:szCs w:val="18"/>
                    </w:rPr>
                  </w:pPr>
                </w:p>
              </w:tc>
            </w:tr>
            <w:tr w14:paraId="1E6133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tcBorders>
                    <w:tl2br w:val="nil"/>
                    <w:tr2bl w:val="nil"/>
                  </w:tcBorders>
                  <w:vAlign w:val="center"/>
                </w:tcPr>
                <w:p w14:paraId="4D70455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G5:冷轧油雾</w:t>
                  </w:r>
                </w:p>
              </w:tc>
              <w:tc>
                <w:tcPr>
                  <w:tcW w:w="397" w:type="pct"/>
                  <w:tcBorders>
                    <w:tl2br w:val="nil"/>
                    <w:tr2bl w:val="nil"/>
                  </w:tcBorders>
                  <w:vAlign w:val="center"/>
                </w:tcPr>
                <w:p w14:paraId="6720888C">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油雾</w:t>
                  </w:r>
                </w:p>
              </w:tc>
              <w:tc>
                <w:tcPr>
                  <w:tcW w:w="539" w:type="pct"/>
                  <w:tcBorders>
                    <w:tl2br w:val="nil"/>
                    <w:tr2bl w:val="nil"/>
                  </w:tcBorders>
                  <w:vAlign w:val="center"/>
                </w:tcPr>
                <w:p w14:paraId="66234550">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60000</w:t>
                  </w:r>
                </w:p>
              </w:tc>
              <w:tc>
                <w:tcPr>
                  <w:tcW w:w="467" w:type="pct"/>
                  <w:tcBorders>
                    <w:tl2br w:val="nil"/>
                    <w:tr2bl w:val="nil"/>
                  </w:tcBorders>
                  <w:vAlign w:val="center"/>
                </w:tcPr>
                <w:p w14:paraId="722701D3">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25</w:t>
                  </w:r>
                </w:p>
              </w:tc>
              <w:tc>
                <w:tcPr>
                  <w:tcW w:w="467" w:type="pct"/>
                  <w:tcBorders>
                    <w:tl2br w:val="nil"/>
                    <w:tr2bl w:val="nil"/>
                  </w:tcBorders>
                  <w:vAlign w:val="center"/>
                </w:tcPr>
                <w:p w14:paraId="5D7DEDD7">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w:t>
                  </w:r>
                </w:p>
              </w:tc>
              <w:tc>
                <w:tcPr>
                  <w:tcW w:w="653" w:type="pct"/>
                  <w:tcBorders>
                    <w:tl2br w:val="nil"/>
                    <w:tr2bl w:val="nil"/>
                  </w:tcBorders>
                  <w:vAlign w:val="center"/>
                </w:tcPr>
                <w:p w14:paraId="431A4A6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过滤式油雾净化器处理，净化效率95%</w:t>
                  </w:r>
                </w:p>
              </w:tc>
              <w:tc>
                <w:tcPr>
                  <w:tcW w:w="575" w:type="pct"/>
                  <w:tcBorders>
                    <w:tl2br w:val="nil"/>
                    <w:tr2bl w:val="nil"/>
                  </w:tcBorders>
                  <w:vAlign w:val="center"/>
                </w:tcPr>
                <w:p w14:paraId="62A5A144">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2.6</w:t>
                  </w:r>
                </w:p>
              </w:tc>
              <w:tc>
                <w:tcPr>
                  <w:tcW w:w="481" w:type="pct"/>
                  <w:tcBorders>
                    <w:tl2br w:val="nil"/>
                    <w:tr2bl w:val="nil"/>
                  </w:tcBorders>
                  <w:vAlign w:val="center"/>
                </w:tcPr>
                <w:p w14:paraId="0728A8F7">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0.156</w:t>
                  </w:r>
                </w:p>
              </w:tc>
              <w:tc>
                <w:tcPr>
                  <w:tcW w:w="472" w:type="pct"/>
                  <w:tcBorders>
                    <w:tl2br w:val="nil"/>
                    <w:tr2bl w:val="nil"/>
                  </w:tcBorders>
                  <w:vAlign w:val="center"/>
                </w:tcPr>
                <w:p w14:paraId="3DE6B77D">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1.12</w:t>
                  </w:r>
                </w:p>
              </w:tc>
              <w:tc>
                <w:tcPr>
                  <w:tcW w:w="376" w:type="pct"/>
                  <w:tcBorders>
                    <w:tl2br w:val="nil"/>
                    <w:tr2bl w:val="nil"/>
                  </w:tcBorders>
                  <w:vAlign w:val="center"/>
                </w:tcPr>
                <w:p w14:paraId="571A133F">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7200</w:t>
                  </w:r>
                </w:p>
              </w:tc>
            </w:tr>
            <w:tr w14:paraId="01D164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tcBorders>
                    <w:tl2br w:val="nil"/>
                    <w:tr2bl w:val="nil"/>
                  </w:tcBorders>
                  <w:vAlign w:val="center"/>
                </w:tcPr>
                <w:p w14:paraId="120B1AC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G6：带钢镀锌废气</w:t>
                  </w:r>
                </w:p>
              </w:tc>
              <w:tc>
                <w:tcPr>
                  <w:tcW w:w="397" w:type="pct"/>
                  <w:tcBorders>
                    <w:tl2br w:val="nil"/>
                    <w:tr2bl w:val="nil"/>
                  </w:tcBorders>
                  <w:vAlign w:val="center"/>
                </w:tcPr>
                <w:p w14:paraId="4F0E14F6">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粉尘</w:t>
                  </w:r>
                </w:p>
              </w:tc>
              <w:tc>
                <w:tcPr>
                  <w:tcW w:w="539" w:type="pct"/>
                  <w:tcBorders>
                    <w:tl2br w:val="nil"/>
                    <w:tr2bl w:val="nil"/>
                  </w:tcBorders>
                  <w:vAlign w:val="center"/>
                </w:tcPr>
                <w:p w14:paraId="6A46F9B5">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2500</w:t>
                  </w:r>
                </w:p>
              </w:tc>
              <w:tc>
                <w:tcPr>
                  <w:tcW w:w="467" w:type="pct"/>
                  <w:tcBorders>
                    <w:tl2br w:val="nil"/>
                    <w:tr2bl w:val="nil"/>
                  </w:tcBorders>
                  <w:vAlign w:val="center"/>
                </w:tcPr>
                <w:p w14:paraId="3FE67483">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15</w:t>
                  </w:r>
                </w:p>
              </w:tc>
              <w:tc>
                <w:tcPr>
                  <w:tcW w:w="467" w:type="pct"/>
                  <w:tcBorders>
                    <w:tl2br w:val="nil"/>
                    <w:tr2bl w:val="nil"/>
                  </w:tcBorders>
                  <w:vAlign w:val="center"/>
                </w:tcPr>
                <w:p w14:paraId="0710A4AD">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0.2</w:t>
                  </w:r>
                </w:p>
              </w:tc>
              <w:tc>
                <w:tcPr>
                  <w:tcW w:w="653" w:type="pct"/>
                  <w:tcBorders>
                    <w:tl2br w:val="nil"/>
                    <w:tr2bl w:val="nil"/>
                  </w:tcBorders>
                  <w:vAlign w:val="center"/>
                </w:tcPr>
                <w:p w14:paraId="248A479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布袋除尘，除尘效率99%</w:t>
                  </w:r>
                </w:p>
              </w:tc>
              <w:tc>
                <w:tcPr>
                  <w:tcW w:w="575" w:type="pct"/>
                  <w:tcBorders>
                    <w:tl2br w:val="nil"/>
                    <w:tr2bl w:val="nil"/>
                  </w:tcBorders>
                  <w:vAlign w:val="center"/>
                </w:tcPr>
                <w:p w14:paraId="67E8E496">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3.2</w:t>
                  </w:r>
                </w:p>
              </w:tc>
              <w:tc>
                <w:tcPr>
                  <w:tcW w:w="481" w:type="pct"/>
                  <w:tcBorders>
                    <w:tl2br w:val="nil"/>
                    <w:tr2bl w:val="nil"/>
                  </w:tcBorders>
                  <w:vAlign w:val="center"/>
                </w:tcPr>
                <w:p w14:paraId="6C9636F1">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0.008</w:t>
                  </w:r>
                </w:p>
              </w:tc>
              <w:tc>
                <w:tcPr>
                  <w:tcW w:w="472" w:type="pct"/>
                  <w:tcBorders>
                    <w:tl2br w:val="nil"/>
                    <w:tr2bl w:val="nil"/>
                  </w:tcBorders>
                  <w:vAlign w:val="center"/>
                </w:tcPr>
                <w:p w14:paraId="59C69D55">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0.061</w:t>
                  </w:r>
                </w:p>
              </w:tc>
              <w:tc>
                <w:tcPr>
                  <w:tcW w:w="376" w:type="pct"/>
                  <w:tcBorders>
                    <w:tl2br w:val="nil"/>
                    <w:tr2bl w:val="nil"/>
                  </w:tcBorders>
                  <w:vAlign w:val="center"/>
                </w:tcPr>
                <w:p w14:paraId="338EA15E">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7200</w:t>
                  </w:r>
                </w:p>
              </w:tc>
            </w:tr>
            <w:tr w14:paraId="40461C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restart"/>
                  <w:tcBorders>
                    <w:tl2br w:val="nil"/>
                    <w:tr2bl w:val="nil"/>
                  </w:tcBorders>
                  <w:vAlign w:val="center"/>
                </w:tcPr>
                <w:p w14:paraId="590FE5F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G7：型钢1#锌锅加热炉废气</w:t>
                  </w:r>
                </w:p>
              </w:tc>
              <w:tc>
                <w:tcPr>
                  <w:tcW w:w="397" w:type="pct"/>
                  <w:tcBorders>
                    <w:tl2br w:val="nil"/>
                    <w:tr2bl w:val="nil"/>
                  </w:tcBorders>
                  <w:vAlign w:val="center"/>
                </w:tcPr>
                <w:p w14:paraId="51F4FEA8">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烟尘</w:t>
                  </w:r>
                </w:p>
              </w:tc>
              <w:tc>
                <w:tcPr>
                  <w:tcW w:w="539" w:type="pct"/>
                  <w:vMerge w:val="restart"/>
                  <w:tcBorders>
                    <w:tl2br w:val="nil"/>
                    <w:tr2bl w:val="nil"/>
                  </w:tcBorders>
                  <w:vAlign w:val="center"/>
                </w:tcPr>
                <w:p w14:paraId="3EDA550A">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3741</w:t>
                  </w:r>
                </w:p>
              </w:tc>
              <w:tc>
                <w:tcPr>
                  <w:tcW w:w="467" w:type="pct"/>
                  <w:vMerge w:val="restart"/>
                  <w:tcBorders>
                    <w:tl2br w:val="nil"/>
                    <w:tr2bl w:val="nil"/>
                  </w:tcBorders>
                  <w:vAlign w:val="center"/>
                </w:tcPr>
                <w:p w14:paraId="58FD2A96">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18</w:t>
                  </w:r>
                </w:p>
              </w:tc>
              <w:tc>
                <w:tcPr>
                  <w:tcW w:w="467" w:type="pct"/>
                  <w:vMerge w:val="restart"/>
                  <w:tcBorders>
                    <w:tl2br w:val="nil"/>
                    <w:tr2bl w:val="nil"/>
                  </w:tcBorders>
                  <w:vAlign w:val="center"/>
                </w:tcPr>
                <w:p w14:paraId="0357A10D">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0.3</w:t>
                  </w:r>
                </w:p>
              </w:tc>
              <w:tc>
                <w:tcPr>
                  <w:tcW w:w="653" w:type="pct"/>
                  <w:vMerge w:val="restart"/>
                  <w:tcBorders>
                    <w:tl2br w:val="nil"/>
                    <w:tr2bl w:val="nil"/>
                  </w:tcBorders>
                  <w:vAlign w:val="center"/>
                </w:tcPr>
                <w:p w14:paraId="53CA1A0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废气由排气筒直接排放</w:t>
                  </w:r>
                </w:p>
              </w:tc>
              <w:tc>
                <w:tcPr>
                  <w:tcW w:w="575" w:type="pct"/>
                  <w:tcBorders>
                    <w:tl2br w:val="nil"/>
                    <w:tr2bl w:val="nil"/>
                  </w:tcBorders>
                  <w:vAlign w:val="center"/>
                </w:tcPr>
                <w:p w14:paraId="0B567CFB">
                  <w:pPr>
                    <w:widowControl/>
                    <w:autoSpaceDE w:val="0"/>
                    <w:autoSpaceDN w:val="0"/>
                    <w:spacing w:line="3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color w:val="auto"/>
                      <w:kern w:val="0"/>
                      <w:sz w:val="18"/>
                      <w:szCs w:val="18"/>
                    </w:rPr>
                    <w:t>0.091</w:t>
                  </w:r>
                </w:p>
              </w:tc>
              <w:tc>
                <w:tcPr>
                  <w:tcW w:w="481" w:type="pct"/>
                  <w:tcBorders>
                    <w:tl2br w:val="nil"/>
                    <w:tr2bl w:val="nil"/>
                  </w:tcBorders>
                  <w:vAlign w:val="center"/>
                </w:tcPr>
                <w:p w14:paraId="10056042">
                  <w:pPr>
                    <w:widowControl/>
                    <w:autoSpaceDE w:val="0"/>
                    <w:autoSpaceDN w:val="0"/>
                    <w:spacing w:line="3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color w:val="auto"/>
                      <w:kern w:val="0"/>
                      <w:sz w:val="18"/>
                      <w:szCs w:val="18"/>
                    </w:rPr>
                    <w:t>0.00034</w:t>
                  </w:r>
                </w:p>
              </w:tc>
              <w:tc>
                <w:tcPr>
                  <w:tcW w:w="472" w:type="pct"/>
                  <w:tcBorders>
                    <w:tl2br w:val="nil"/>
                    <w:tr2bl w:val="nil"/>
                  </w:tcBorders>
                  <w:vAlign w:val="center"/>
                </w:tcPr>
                <w:p w14:paraId="394A8ADC">
                  <w:pPr>
                    <w:widowControl/>
                    <w:autoSpaceDE w:val="0"/>
                    <w:autoSpaceDN w:val="0"/>
                    <w:spacing w:line="3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color w:val="auto"/>
                      <w:kern w:val="0"/>
                      <w:sz w:val="18"/>
                      <w:szCs w:val="18"/>
                    </w:rPr>
                    <w:t>0.0025</w:t>
                  </w:r>
                </w:p>
              </w:tc>
              <w:tc>
                <w:tcPr>
                  <w:tcW w:w="376" w:type="pct"/>
                  <w:vMerge w:val="restart"/>
                  <w:tcBorders>
                    <w:tl2br w:val="nil"/>
                    <w:tr2bl w:val="nil"/>
                  </w:tcBorders>
                  <w:vAlign w:val="center"/>
                </w:tcPr>
                <w:p w14:paraId="7BBDED50">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7200</w:t>
                  </w:r>
                </w:p>
              </w:tc>
            </w:tr>
            <w:tr w14:paraId="04B817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tcBorders>
                    <w:tl2br w:val="nil"/>
                    <w:tr2bl w:val="nil"/>
                  </w:tcBorders>
                  <w:vAlign w:val="center"/>
                </w:tcPr>
                <w:p w14:paraId="5CC55561">
                  <w:pPr>
                    <w:jc w:val="center"/>
                    <w:rPr>
                      <w:rFonts w:hint="default" w:ascii="Times New Roman" w:hAnsi="Times New Roman" w:cs="Times New Roman"/>
                      <w:color w:val="auto"/>
                      <w:sz w:val="18"/>
                      <w:szCs w:val="18"/>
                    </w:rPr>
                  </w:pPr>
                </w:p>
              </w:tc>
              <w:tc>
                <w:tcPr>
                  <w:tcW w:w="397" w:type="pct"/>
                  <w:tcBorders>
                    <w:tl2br w:val="nil"/>
                    <w:tr2bl w:val="nil"/>
                  </w:tcBorders>
                  <w:vAlign w:val="center"/>
                </w:tcPr>
                <w:p w14:paraId="196964F9">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SO</w:t>
                  </w:r>
                  <w:r>
                    <w:rPr>
                      <w:rFonts w:hint="default" w:ascii="Times New Roman" w:hAnsi="Times New Roman" w:cs="Times New Roman"/>
                      <w:color w:val="auto"/>
                      <w:kern w:val="0"/>
                      <w:sz w:val="18"/>
                      <w:szCs w:val="18"/>
                      <w:vertAlign w:val="subscript"/>
                    </w:rPr>
                    <w:t>2</w:t>
                  </w:r>
                </w:p>
              </w:tc>
              <w:tc>
                <w:tcPr>
                  <w:tcW w:w="539" w:type="pct"/>
                  <w:vMerge w:val="continue"/>
                  <w:tcBorders>
                    <w:tl2br w:val="nil"/>
                    <w:tr2bl w:val="nil"/>
                  </w:tcBorders>
                  <w:vAlign w:val="center"/>
                </w:tcPr>
                <w:p w14:paraId="7B536C29">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467" w:type="pct"/>
                  <w:vMerge w:val="continue"/>
                  <w:tcBorders>
                    <w:tl2br w:val="nil"/>
                    <w:tr2bl w:val="nil"/>
                  </w:tcBorders>
                  <w:vAlign w:val="center"/>
                </w:tcPr>
                <w:p w14:paraId="4A695A94">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467" w:type="pct"/>
                  <w:vMerge w:val="continue"/>
                  <w:tcBorders>
                    <w:tl2br w:val="nil"/>
                    <w:tr2bl w:val="nil"/>
                  </w:tcBorders>
                  <w:vAlign w:val="center"/>
                </w:tcPr>
                <w:p w14:paraId="46C4B901">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653" w:type="pct"/>
                  <w:vMerge w:val="continue"/>
                  <w:tcBorders>
                    <w:tl2br w:val="nil"/>
                    <w:tr2bl w:val="nil"/>
                  </w:tcBorders>
                  <w:vAlign w:val="center"/>
                </w:tcPr>
                <w:p w14:paraId="03FA4205">
                  <w:pPr>
                    <w:jc w:val="center"/>
                    <w:rPr>
                      <w:rFonts w:hint="default" w:ascii="Times New Roman" w:hAnsi="Times New Roman" w:cs="Times New Roman"/>
                      <w:color w:val="auto"/>
                      <w:sz w:val="18"/>
                      <w:szCs w:val="18"/>
                    </w:rPr>
                  </w:pPr>
                </w:p>
              </w:tc>
              <w:tc>
                <w:tcPr>
                  <w:tcW w:w="575" w:type="pct"/>
                  <w:tcBorders>
                    <w:tl2br w:val="nil"/>
                    <w:tr2bl w:val="nil"/>
                  </w:tcBorders>
                  <w:vAlign w:val="center"/>
                </w:tcPr>
                <w:p w14:paraId="32C36773">
                  <w:pPr>
                    <w:widowControl/>
                    <w:autoSpaceDE w:val="0"/>
                    <w:autoSpaceDN w:val="0"/>
                    <w:spacing w:line="3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color w:val="auto"/>
                      <w:kern w:val="0"/>
                      <w:sz w:val="18"/>
                      <w:szCs w:val="18"/>
                    </w:rPr>
                    <w:t>18.56</w:t>
                  </w:r>
                </w:p>
              </w:tc>
              <w:tc>
                <w:tcPr>
                  <w:tcW w:w="481" w:type="pct"/>
                  <w:tcBorders>
                    <w:tl2br w:val="nil"/>
                    <w:tr2bl w:val="nil"/>
                  </w:tcBorders>
                  <w:vAlign w:val="center"/>
                </w:tcPr>
                <w:p w14:paraId="0D647202">
                  <w:pPr>
                    <w:widowControl/>
                    <w:autoSpaceDE w:val="0"/>
                    <w:autoSpaceDN w:val="0"/>
                    <w:spacing w:line="3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color w:val="auto"/>
                      <w:kern w:val="0"/>
                      <w:sz w:val="18"/>
                      <w:szCs w:val="18"/>
                    </w:rPr>
                    <w:t>0.069</w:t>
                  </w:r>
                </w:p>
              </w:tc>
              <w:tc>
                <w:tcPr>
                  <w:tcW w:w="472" w:type="pct"/>
                  <w:tcBorders>
                    <w:tl2br w:val="nil"/>
                    <w:tr2bl w:val="nil"/>
                  </w:tcBorders>
                  <w:vAlign w:val="center"/>
                </w:tcPr>
                <w:p w14:paraId="61767849">
                  <w:pPr>
                    <w:widowControl/>
                    <w:autoSpaceDE w:val="0"/>
                    <w:autoSpaceDN w:val="0"/>
                    <w:spacing w:line="3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color w:val="auto"/>
                      <w:kern w:val="0"/>
                      <w:sz w:val="18"/>
                      <w:szCs w:val="18"/>
                    </w:rPr>
                    <w:t>0.5</w:t>
                  </w:r>
                </w:p>
              </w:tc>
              <w:tc>
                <w:tcPr>
                  <w:tcW w:w="376" w:type="pct"/>
                  <w:vMerge w:val="continue"/>
                  <w:tcBorders>
                    <w:tl2br w:val="nil"/>
                    <w:tr2bl w:val="nil"/>
                  </w:tcBorders>
                  <w:vAlign w:val="center"/>
                </w:tcPr>
                <w:p w14:paraId="18F18640">
                  <w:pPr>
                    <w:widowControl/>
                    <w:autoSpaceDE w:val="0"/>
                    <w:autoSpaceDN w:val="0"/>
                    <w:spacing w:line="320" w:lineRule="exact"/>
                    <w:jc w:val="center"/>
                    <w:rPr>
                      <w:rFonts w:hint="default" w:ascii="Times New Roman" w:hAnsi="Times New Roman" w:cs="Times New Roman"/>
                      <w:color w:val="auto"/>
                      <w:kern w:val="0"/>
                      <w:sz w:val="18"/>
                      <w:szCs w:val="18"/>
                    </w:rPr>
                  </w:pPr>
                </w:p>
              </w:tc>
            </w:tr>
            <w:tr w14:paraId="47749C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569" w:type="pct"/>
                  <w:vMerge w:val="continue"/>
                  <w:tcBorders>
                    <w:tl2br w:val="nil"/>
                    <w:tr2bl w:val="nil"/>
                  </w:tcBorders>
                  <w:vAlign w:val="center"/>
                </w:tcPr>
                <w:p w14:paraId="255CD4BD">
                  <w:pPr>
                    <w:jc w:val="center"/>
                    <w:rPr>
                      <w:rFonts w:hint="default" w:ascii="Times New Roman" w:hAnsi="Times New Roman" w:cs="Times New Roman"/>
                      <w:color w:val="auto"/>
                      <w:sz w:val="18"/>
                      <w:szCs w:val="18"/>
                    </w:rPr>
                  </w:pPr>
                </w:p>
              </w:tc>
              <w:tc>
                <w:tcPr>
                  <w:tcW w:w="397" w:type="pct"/>
                  <w:tcBorders>
                    <w:tl2br w:val="nil"/>
                    <w:tr2bl w:val="nil"/>
                  </w:tcBorders>
                  <w:vAlign w:val="center"/>
                </w:tcPr>
                <w:p w14:paraId="755A1885">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NO</w:t>
                  </w:r>
                  <w:r>
                    <w:rPr>
                      <w:rFonts w:hint="default" w:ascii="Times New Roman" w:hAnsi="Times New Roman" w:cs="Times New Roman"/>
                      <w:color w:val="auto"/>
                      <w:kern w:val="0"/>
                      <w:sz w:val="18"/>
                      <w:szCs w:val="18"/>
                      <w:vertAlign w:val="subscript"/>
                    </w:rPr>
                    <w:t>X</w:t>
                  </w:r>
                </w:p>
              </w:tc>
              <w:tc>
                <w:tcPr>
                  <w:tcW w:w="539" w:type="pct"/>
                  <w:vMerge w:val="continue"/>
                  <w:tcBorders>
                    <w:tl2br w:val="nil"/>
                    <w:tr2bl w:val="nil"/>
                  </w:tcBorders>
                  <w:vAlign w:val="center"/>
                </w:tcPr>
                <w:p w14:paraId="1C6B998F">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467" w:type="pct"/>
                  <w:vMerge w:val="continue"/>
                  <w:tcBorders>
                    <w:tl2br w:val="nil"/>
                    <w:tr2bl w:val="nil"/>
                  </w:tcBorders>
                  <w:vAlign w:val="center"/>
                </w:tcPr>
                <w:p w14:paraId="66EEC482">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467" w:type="pct"/>
                  <w:vMerge w:val="continue"/>
                  <w:tcBorders>
                    <w:tl2br w:val="nil"/>
                    <w:tr2bl w:val="nil"/>
                  </w:tcBorders>
                  <w:vAlign w:val="center"/>
                </w:tcPr>
                <w:p w14:paraId="70F5ACF4">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653" w:type="pct"/>
                  <w:vMerge w:val="continue"/>
                  <w:tcBorders>
                    <w:tl2br w:val="nil"/>
                    <w:tr2bl w:val="nil"/>
                  </w:tcBorders>
                  <w:vAlign w:val="center"/>
                </w:tcPr>
                <w:p w14:paraId="1BF904E7">
                  <w:pPr>
                    <w:jc w:val="center"/>
                    <w:rPr>
                      <w:rFonts w:hint="default" w:ascii="Times New Roman" w:hAnsi="Times New Roman" w:cs="Times New Roman"/>
                      <w:color w:val="auto"/>
                      <w:sz w:val="18"/>
                      <w:szCs w:val="18"/>
                    </w:rPr>
                  </w:pPr>
                </w:p>
              </w:tc>
              <w:tc>
                <w:tcPr>
                  <w:tcW w:w="575" w:type="pct"/>
                  <w:tcBorders>
                    <w:tl2br w:val="nil"/>
                    <w:tr2bl w:val="nil"/>
                  </w:tcBorders>
                  <w:vAlign w:val="center"/>
                </w:tcPr>
                <w:p w14:paraId="3B3DD9ED">
                  <w:pPr>
                    <w:widowControl/>
                    <w:autoSpaceDE w:val="0"/>
                    <w:autoSpaceDN w:val="0"/>
                    <w:spacing w:line="3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color w:val="auto"/>
                      <w:kern w:val="0"/>
                      <w:sz w:val="18"/>
                      <w:szCs w:val="18"/>
                    </w:rPr>
                    <w:t>147.02</w:t>
                  </w:r>
                </w:p>
              </w:tc>
              <w:tc>
                <w:tcPr>
                  <w:tcW w:w="481" w:type="pct"/>
                  <w:tcBorders>
                    <w:tl2br w:val="nil"/>
                    <w:tr2bl w:val="nil"/>
                  </w:tcBorders>
                  <w:vAlign w:val="center"/>
                </w:tcPr>
                <w:p w14:paraId="4EDE21ED">
                  <w:pPr>
                    <w:widowControl/>
                    <w:autoSpaceDE w:val="0"/>
                    <w:autoSpaceDN w:val="0"/>
                    <w:spacing w:line="3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color w:val="auto"/>
                      <w:kern w:val="0"/>
                      <w:sz w:val="18"/>
                      <w:szCs w:val="18"/>
                    </w:rPr>
                    <w:t>0.55</w:t>
                  </w:r>
                </w:p>
              </w:tc>
              <w:tc>
                <w:tcPr>
                  <w:tcW w:w="472" w:type="pct"/>
                  <w:tcBorders>
                    <w:tl2br w:val="nil"/>
                    <w:tr2bl w:val="nil"/>
                  </w:tcBorders>
                  <w:vAlign w:val="center"/>
                </w:tcPr>
                <w:p w14:paraId="3AC87038">
                  <w:pPr>
                    <w:widowControl/>
                    <w:autoSpaceDE w:val="0"/>
                    <w:autoSpaceDN w:val="0"/>
                    <w:spacing w:line="3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color w:val="auto"/>
                      <w:kern w:val="0"/>
                      <w:sz w:val="18"/>
                      <w:szCs w:val="18"/>
                    </w:rPr>
                    <w:t>3.97</w:t>
                  </w:r>
                </w:p>
              </w:tc>
              <w:tc>
                <w:tcPr>
                  <w:tcW w:w="376" w:type="pct"/>
                  <w:vMerge w:val="continue"/>
                  <w:tcBorders>
                    <w:tl2br w:val="nil"/>
                    <w:tr2bl w:val="nil"/>
                  </w:tcBorders>
                  <w:vAlign w:val="center"/>
                </w:tcPr>
                <w:p w14:paraId="3685D622">
                  <w:pPr>
                    <w:widowControl/>
                    <w:autoSpaceDE w:val="0"/>
                    <w:autoSpaceDN w:val="0"/>
                    <w:spacing w:line="320" w:lineRule="exact"/>
                    <w:jc w:val="center"/>
                    <w:rPr>
                      <w:rFonts w:hint="default" w:ascii="Times New Roman" w:hAnsi="Times New Roman" w:cs="Times New Roman"/>
                      <w:color w:val="auto"/>
                      <w:kern w:val="0"/>
                      <w:sz w:val="18"/>
                      <w:szCs w:val="18"/>
                    </w:rPr>
                  </w:pPr>
                </w:p>
              </w:tc>
            </w:tr>
            <w:tr w14:paraId="4C75F9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restart"/>
                  <w:tcBorders>
                    <w:tl2br w:val="nil"/>
                    <w:tr2bl w:val="nil"/>
                  </w:tcBorders>
                  <w:vAlign w:val="center"/>
                </w:tcPr>
                <w:p w14:paraId="5F9B7BD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G8：型钢2#锌锅加热炉废气</w:t>
                  </w:r>
                </w:p>
              </w:tc>
              <w:tc>
                <w:tcPr>
                  <w:tcW w:w="397" w:type="pct"/>
                  <w:tcBorders>
                    <w:tl2br w:val="nil"/>
                    <w:tr2bl w:val="nil"/>
                  </w:tcBorders>
                  <w:vAlign w:val="center"/>
                </w:tcPr>
                <w:p w14:paraId="6AEC096E">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烟尘</w:t>
                  </w:r>
                </w:p>
              </w:tc>
              <w:tc>
                <w:tcPr>
                  <w:tcW w:w="539" w:type="pct"/>
                  <w:vMerge w:val="restart"/>
                  <w:tcBorders>
                    <w:tl2br w:val="nil"/>
                    <w:tr2bl w:val="nil"/>
                  </w:tcBorders>
                  <w:vAlign w:val="center"/>
                </w:tcPr>
                <w:p w14:paraId="7C329E9E">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3741</w:t>
                  </w:r>
                </w:p>
              </w:tc>
              <w:tc>
                <w:tcPr>
                  <w:tcW w:w="467" w:type="pct"/>
                  <w:vMerge w:val="restart"/>
                  <w:tcBorders>
                    <w:tl2br w:val="nil"/>
                    <w:tr2bl w:val="nil"/>
                  </w:tcBorders>
                  <w:vAlign w:val="center"/>
                </w:tcPr>
                <w:p w14:paraId="3CFC15B3">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18</w:t>
                  </w:r>
                </w:p>
              </w:tc>
              <w:tc>
                <w:tcPr>
                  <w:tcW w:w="467" w:type="pct"/>
                  <w:vMerge w:val="restart"/>
                  <w:tcBorders>
                    <w:tl2br w:val="nil"/>
                    <w:tr2bl w:val="nil"/>
                  </w:tcBorders>
                  <w:vAlign w:val="center"/>
                </w:tcPr>
                <w:p w14:paraId="2DD94913">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0.3</w:t>
                  </w:r>
                </w:p>
              </w:tc>
              <w:tc>
                <w:tcPr>
                  <w:tcW w:w="653" w:type="pct"/>
                  <w:vMerge w:val="restart"/>
                  <w:tcBorders>
                    <w:tl2br w:val="nil"/>
                    <w:tr2bl w:val="nil"/>
                  </w:tcBorders>
                  <w:vAlign w:val="center"/>
                </w:tcPr>
                <w:p w14:paraId="03D5179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废气由排气筒直接排放</w:t>
                  </w:r>
                </w:p>
              </w:tc>
              <w:tc>
                <w:tcPr>
                  <w:tcW w:w="575" w:type="pct"/>
                  <w:tcBorders>
                    <w:tl2br w:val="nil"/>
                    <w:tr2bl w:val="nil"/>
                  </w:tcBorders>
                  <w:vAlign w:val="center"/>
                </w:tcPr>
                <w:p w14:paraId="20F71D2E">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0.091</w:t>
                  </w:r>
                </w:p>
              </w:tc>
              <w:tc>
                <w:tcPr>
                  <w:tcW w:w="481" w:type="pct"/>
                  <w:tcBorders>
                    <w:tl2br w:val="nil"/>
                    <w:tr2bl w:val="nil"/>
                  </w:tcBorders>
                  <w:vAlign w:val="center"/>
                </w:tcPr>
                <w:p w14:paraId="432723F6">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0.00034</w:t>
                  </w:r>
                </w:p>
              </w:tc>
              <w:tc>
                <w:tcPr>
                  <w:tcW w:w="472" w:type="pct"/>
                  <w:tcBorders>
                    <w:tl2br w:val="nil"/>
                    <w:tr2bl w:val="nil"/>
                  </w:tcBorders>
                  <w:vAlign w:val="center"/>
                </w:tcPr>
                <w:p w14:paraId="4F9B5B53">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0.0025</w:t>
                  </w:r>
                </w:p>
              </w:tc>
              <w:tc>
                <w:tcPr>
                  <w:tcW w:w="376" w:type="pct"/>
                  <w:vMerge w:val="restart"/>
                  <w:tcBorders>
                    <w:tl2br w:val="nil"/>
                    <w:tr2bl w:val="nil"/>
                  </w:tcBorders>
                  <w:vAlign w:val="center"/>
                </w:tcPr>
                <w:p w14:paraId="160B5985">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7200</w:t>
                  </w:r>
                </w:p>
              </w:tc>
            </w:tr>
            <w:tr w14:paraId="61A841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tcBorders>
                    <w:tl2br w:val="nil"/>
                    <w:tr2bl w:val="nil"/>
                  </w:tcBorders>
                  <w:vAlign w:val="center"/>
                </w:tcPr>
                <w:p w14:paraId="64DFD789">
                  <w:pPr>
                    <w:jc w:val="center"/>
                    <w:rPr>
                      <w:rFonts w:hint="default" w:ascii="Times New Roman" w:hAnsi="Times New Roman" w:cs="Times New Roman"/>
                      <w:color w:val="auto"/>
                      <w:sz w:val="18"/>
                      <w:szCs w:val="18"/>
                    </w:rPr>
                  </w:pPr>
                </w:p>
              </w:tc>
              <w:tc>
                <w:tcPr>
                  <w:tcW w:w="397" w:type="pct"/>
                  <w:tcBorders>
                    <w:tl2br w:val="nil"/>
                    <w:tr2bl w:val="nil"/>
                  </w:tcBorders>
                  <w:vAlign w:val="center"/>
                </w:tcPr>
                <w:p w14:paraId="7A5C99FA">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SO</w:t>
                  </w:r>
                  <w:r>
                    <w:rPr>
                      <w:rFonts w:hint="default" w:ascii="Times New Roman" w:hAnsi="Times New Roman" w:cs="Times New Roman"/>
                      <w:color w:val="auto"/>
                      <w:kern w:val="0"/>
                      <w:sz w:val="18"/>
                      <w:szCs w:val="18"/>
                      <w:vertAlign w:val="subscript"/>
                    </w:rPr>
                    <w:t>2</w:t>
                  </w:r>
                </w:p>
              </w:tc>
              <w:tc>
                <w:tcPr>
                  <w:tcW w:w="539" w:type="pct"/>
                  <w:vMerge w:val="continue"/>
                  <w:tcBorders>
                    <w:tl2br w:val="nil"/>
                    <w:tr2bl w:val="nil"/>
                  </w:tcBorders>
                  <w:vAlign w:val="center"/>
                </w:tcPr>
                <w:p w14:paraId="4D8C0BA6">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467" w:type="pct"/>
                  <w:vMerge w:val="continue"/>
                  <w:tcBorders>
                    <w:tl2br w:val="nil"/>
                    <w:tr2bl w:val="nil"/>
                  </w:tcBorders>
                  <w:vAlign w:val="center"/>
                </w:tcPr>
                <w:p w14:paraId="10A7B4A7">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467" w:type="pct"/>
                  <w:vMerge w:val="continue"/>
                  <w:tcBorders>
                    <w:tl2br w:val="nil"/>
                    <w:tr2bl w:val="nil"/>
                  </w:tcBorders>
                  <w:vAlign w:val="center"/>
                </w:tcPr>
                <w:p w14:paraId="0CCA19E0">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653" w:type="pct"/>
                  <w:vMerge w:val="continue"/>
                  <w:tcBorders>
                    <w:tl2br w:val="nil"/>
                    <w:tr2bl w:val="nil"/>
                  </w:tcBorders>
                  <w:vAlign w:val="center"/>
                </w:tcPr>
                <w:p w14:paraId="404F6A7C">
                  <w:pPr>
                    <w:jc w:val="center"/>
                    <w:rPr>
                      <w:rFonts w:hint="default" w:ascii="Times New Roman" w:hAnsi="Times New Roman" w:cs="Times New Roman"/>
                      <w:color w:val="auto"/>
                      <w:sz w:val="18"/>
                      <w:szCs w:val="18"/>
                    </w:rPr>
                  </w:pPr>
                </w:p>
              </w:tc>
              <w:tc>
                <w:tcPr>
                  <w:tcW w:w="575" w:type="pct"/>
                  <w:tcBorders>
                    <w:tl2br w:val="nil"/>
                    <w:tr2bl w:val="nil"/>
                  </w:tcBorders>
                  <w:vAlign w:val="center"/>
                </w:tcPr>
                <w:p w14:paraId="41B4F528">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18.56</w:t>
                  </w:r>
                </w:p>
              </w:tc>
              <w:tc>
                <w:tcPr>
                  <w:tcW w:w="481" w:type="pct"/>
                  <w:tcBorders>
                    <w:tl2br w:val="nil"/>
                    <w:tr2bl w:val="nil"/>
                  </w:tcBorders>
                  <w:vAlign w:val="center"/>
                </w:tcPr>
                <w:p w14:paraId="562DDEC4">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0.069</w:t>
                  </w:r>
                </w:p>
              </w:tc>
              <w:tc>
                <w:tcPr>
                  <w:tcW w:w="472" w:type="pct"/>
                  <w:tcBorders>
                    <w:tl2br w:val="nil"/>
                    <w:tr2bl w:val="nil"/>
                  </w:tcBorders>
                  <w:vAlign w:val="center"/>
                </w:tcPr>
                <w:p w14:paraId="38C7D9DF">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0.5</w:t>
                  </w:r>
                </w:p>
              </w:tc>
              <w:tc>
                <w:tcPr>
                  <w:tcW w:w="376" w:type="pct"/>
                  <w:vMerge w:val="continue"/>
                  <w:tcBorders>
                    <w:tl2br w:val="nil"/>
                    <w:tr2bl w:val="nil"/>
                  </w:tcBorders>
                  <w:vAlign w:val="center"/>
                </w:tcPr>
                <w:p w14:paraId="65FE2397">
                  <w:pPr>
                    <w:widowControl/>
                    <w:autoSpaceDE w:val="0"/>
                    <w:autoSpaceDN w:val="0"/>
                    <w:spacing w:line="320" w:lineRule="exact"/>
                    <w:jc w:val="center"/>
                    <w:rPr>
                      <w:rFonts w:hint="default" w:ascii="Times New Roman" w:hAnsi="Times New Roman" w:cs="Times New Roman"/>
                      <w:color w:val="auto"/>
                      <w:kern w:val="0"/>
                      <w:sz w:val="18"/>
                      <w:szCs w:val="18"/>
                    </w:rPr>
                  </w:pPr>
                </w:p>
              </w:tc>
            </w:tr>
            <w:tr w14:paraId="6C9076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tcBorders>
                    <w:tl2br w:val="nil"/>
                    <w:tr2bl w:val="nil"/>
                  </w:tcBorders>
                  <w:vAlign w:val="center"/>
                </w:tcPr>
                <w:p w14:paraId="0ED490D4">
                  <w:pPr>
                    <w:jc w:val="center"/>
                    <w:rPr>
                      <w:rFonts w:hint="default" w:ascii="Times New Roman" w:hAnsi="Times New Roman" w:cs="Times New Roman"/>
                      <w:color w:val="auto"/>
                      <w:sz w:val="18"/>
                      <w:szCs w:val="18"/>
                    </w:rPr>
                  </w:pPr>
                </w:p>
              </w:tc>
              <w:tc>
                <w:tcPr>
                  <w:tcW w:w="397" w:type="pct"/>
                  <w:tcBorders>
                    <w:tl2br w:val="nil"/>
                    <w:tr2bl w:val="nil"/>
                  </w:tcBorders>
                  <w:vAlign w:val="center"/>
                </w:tcPr>
                <w:p w14:paraId="0BC4C739">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NO</w:t>
                  </w:r>
                  <w:r>
                    <w:rPr>
                      <w:rFonts w:hint="default" w:ascii="Times New Roman" w:hAnsi="Times New Roman" w:cs="Times New Roman"/>
                      <w:color w:val="auto"/>
                      <w:kern w:val="0"/>
                      <w:sz w:val="18"/>
                      <w:szCs w:val="18"/>
                      <w:vertAlign w:val="subscript"/>
                    </w:rPr>
                    <w:t>X</w:t>
                  </w:r>
                </w:p>
              </w:tc>
              <w:tc>
                <w:tcPr>
                  <w:tcW w:w="539" w:type="pct"/>
                  <w:vMerge w:val="continue"/>
                  <w:tcBorders>
                    <w:tl2br w:val="nil"/>
                    <w:tr2bl w:val="nil"/>
                  </w:tcBorders>
                  <w:vAlign w:val="center"/>
                </w:tcPr>
                <w:p w14:paraId="171B7DA6">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467" w:type="pct"/>
                  <w:vMerge w:val="continue"/>
                  <w:tcBorders>
                    <w:tl2br w:val="nil"/>
                    <w:tr2bl w:val="nil"/>
                  </w:tcBorders>
                  <w:vAlign w:val="center"/>
                </w:tcPr>
                <w:p w14:paraId="14AFF5AA">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467" w:type="pct"/>
                  <w:vMerge w:val="continue"/>
                  <w:tcBorders>
                    <w:tl2br w:val="nil"/>
                    <w:tr2bl w:val="nil"/>
                  </w:tcBorders>
                  <w:vAlign w:val="center"/>
                </w:tcPr>
                <w:p w14:paraId="3D70429D">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653" w:type="pct"/>
                  <w:vMerge w:val="continue"/>
                  <w:tcBorders>
                    <w:tl2br w:val="nil"/>
                    <w:tr2bl w:val="nil"/>
                  </w:tcBorders>
                  <w:vAlign w:val="center"/>
                </w:tcPr>
                <w:p w14:paraId="16B8624C">
                  <w:pPr>
                    <w:jc w:val="center"/>
                    <w:rPr>
                      <w:rFonts w:hint="default" w:ascii="Times New Roman" w:hAnsi="Times New Roman" w:cs="Times New Roman"/>
                      <w:color w:val="auto"/>
                      <w:sz w:val="18"/>
                      <w:szCs w:val="18"/>
                    </w:rPr>
                  </w:pPr>
                </w:p>
              </w:tc>
              <w:tc>
                <w:tcPr>
                  <w:tcW w:w="575" w:type="pct"/>
                  <w:tcBorders>
                    <w:tl2br w:val="nil"/>
                    <w:tr2bl w:val="nil"/>
                  </w:tcBorders>
                  <w:vAlign w:val="center"/>
                </w:tcPr>
                <w:p w14:paraId="3A9FA83F">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147.02</w:t>
                  </w:r>
                </w:p>
              </w:tc>
              <w:tc>
                <w:tcPr>
                  <w:tcW w:w="481" w:type="pct"/>
                  <w:tcBorders>
                    <w:tl2br w:val="nil"/>
                    <w:tr2bl w:val="nil"/>
                  </w:tcBorders>
                  <w:vAlign w:val="center"/>
                </w:tcPr>
                <w:p w14:paraId="1A0639ED">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0.55</w:t>
                  </w:r>
                </w:p>
              </w:tc>
              <w:tc>
                <w:tcPr>
                  <w:tcW w:w="472" w:type="pct"/>
                  <w:tcBorders>
                    <w:tl2br w:val="nil"/>
                    <w:tr2bl w:val="nil"/>
                  </w:tcBorders>
                  <w:vAlign w:val="center"/>
                </w:tcPr>
                <w:p w14:paraId="7BE9060C">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3.97</w:t>
                  </w:r>
                </w:p>
              </w:tc>
              <w:tc>
                <w:tcPr>
                  <w:tcW w:w="376" w:type="pct"/>
                  <w:vMerge w:val="continue"/>
                  <w:tcBorders>
                    <w:tl2br w:val="nil"/>
                    <w:tr2bl w:val="nil"/>
                  </w:tcBorders>
                  <w:vAlign w:val="center"/>
                </w:tcPr>
                <w:p w14:paraId="3599E91B">
                  <w:pPr>
                    <w:widowControl/>
                    <w:autoSpaceDE w:val="0"/>
                    <w:autoSpaceDN w:val="0"/>
                    <w:spacing w:line="320" w:lineRule="exact"/>
                    <w:jc w:val="center"/>
                    <w:rPr>
                      <w:rFonts w:hint="default" w:ascii="Times New Roman" w:hAnsi="Times New Roman" w:cs="Times New Roman"/>
                      <w:color w:val="auto"/>
                      <w:kern w:val="0"/>
                      <w:sz w:val="18"/>
                      <w:szCs w:val="18"/>
                    </w:rPr>
                  </w:pPr>
                </w:p>
              </w:tc>
            </w:tr>
            <w:tr w14:paraId="43D256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restart"/>
                  <w:tcBorders>
                    <w:tl2br w:val="nil"/>
                    <w:tr2bl w:val="nil"/>
                  </w:tcBorders>
                  <w:vAlign w:val="center"/>
                </w:tcPr>
                <w:p w14:paraId="7D15F72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G9：型钢镀锌废气</w:t>
                  </w:r>
                </w:p>
              </w:tc>
              <w:tc>
                <w:tcPr>
                  <w:tcW w:w="397" w:type="pct"/>
                  <w:tcBorders>
                    <w:tl2br w:val="nil"/>
                    <w:tr2bl w:val="nil"/>
                  </w:tcBorders>
                  <w:vAlign w:val="center"/>
                </w:tcPr>
                <w:p w14:paraId="4EB77519">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粉尘</w:t>
                  </w:r>
                </w:p>
              </w:tc>
              <w:tc>
                <w:tcPr>
                  <w:tcW w:w="539" w:type="pct"/>
                  <w:vMerge w:val="restart"/>
                  <w:tcBorders>
                    <w:tl2br w:val="nil"/>
                    <w:tr2bl w:val="nil"/>
                  </w:tcBorders>
                  <w:vAlign w:val="center"/>
                </w:tcPr>
                <w:p w14:paraId="6F142981">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3000</w:t>
                  </w:r>
                </w:p>
              </w:tc>
              <w:tc>
                <w:tcPr>
                  <w:tcW w:w="467" w:type="pct"/>
                  <w:vMerge w:val="restart"/>
                  <w:tcBorders>
                    <w:tl2br w:val="nil"/>
                    <w:tr2bl w:val="nil"/>
                  </w:tcBorders>
                  <w:vAlign w:val="center"/>
                </w:tcPr>
                <w:p w14:paraId="73892981">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15</w:t>
                  </w:r>
                </w:p>
              </w:tc>
              <w:tc>
                <w:tcPr>
                  <w:tcW w:w="467" w:type="pct"/>
                  <w:vMerge w:val="restart"/>
                  <w:tcBorders>
                    <w:tl2br w:val="nil"/>
                    <w:tr2bl w:val="nil"/>
                  </w:tcBorders>
                  <w:vAlign w:val="center"/>
                </w:tcPr>
                <w:p w14:paraId="700A2C93">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0.2</w:t>
                  </w:r>
                </w:p>
              </w:tc>
              <w:tc>
                <w:tcPr>
                  <w:tcW w:w="653" w:type="pct"/>
                  <w:vMerge w:val="restart"/>
                  <w:tcBorders>
                    <w:tl2br w:val="nil"/>
                    <w:tr2bl w:val="nil"/>
                  </w:tcBorders>
                  <w:vAlign w:val="center"/>
                </w:tcPr>
                <w:p w14:paraId="515D073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布袋除尘，除尘效率99%</w:t>
                  </w:r>
                </w:p>
              </w:tc>
              <w:tc>
                <w:tcPr>
                  <w:tcW w:w="575" w:type="pct"/>
                  <w:tcBorders>
                    <w:tl2br w:val="nil"/>
                    <w:tr2bl w:val="nil"/>
                  </w:tcBorders>
                  <w:vAlign w:val="center"/>
                </w:tcPr>
                <w:p w14:paraId="78EA1CD8">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3.7</w:t>
                  </w:r>
                </w:p>
              </w:tc>
              <w:tc>
                <w:tcPr>
                  <w:tcW w:w="481" w:type="pct"/>
                  <w:tcBorders>
                    <w:tl2br w:val="nil"/>
                    <w:tr2bl w:val="nil"/>
                  </w:tcBorders>
                  <w:vAlign w:val="center"/>
                </w:tcPr>
                <w:p w14:paraId="48618B32">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0.011</w:t>
                  </w:r>
                </w:p>
              </w:tc>
              <w:tc>
                <w:tcPr>
                  <w:tcW w:w="472" w:type="pct"/>
                  <w:tcBorders>
                    <w:tl2br w:val="nil"/>
                    <w:tr2bl w:val="nil"/>
                  </w:tcBorders>
                  <w:vAlign w:val="center"/>
                </w:tcPr>
                <w:p w14:paraId="6125D966">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0.078</w:t>
                  </w:r>
                </w:p>
              </w:tc>
              <w:tc>
                <w:tcPr>
                  <w:tcW w:w="376" w:type="pct"/>
                  <w:vMerge w:val="restart"/>
                  <w:tcBorders>
                    <w:tl2br w:val="nil"/>
                    <w:tr2bl w:val="nil"/>
                  </w:tcBorders>
                  <w:vAlign w:val="center"/>
                </w:tcPr>
                <w:p w14:paraId="04120EE7">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7200</w:t>
                  </w:r>
                </w:p>
              </w:tc>
            </w:tr>
            <w:tr w14:paraId="6150CF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tcBorders>
                    <w:tl2br w:val="nil"/>
                    <w:tr2bl w:val="nil"/>
                  </w:tcBorders>
                  <w:vAlign w:val="center"/>
                </w:tcPr>
                <w:p w14:paraId="77403D1B">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397" w:type="pct"/>
                  <w:tcBorders>
                    <w:tl2br w:val="nil"/>
                    <w:tr2bl w:val="nil"/>
                  </w:tcBorders>
                  <w:vAlign w:val="center"/>
                </w:tcPr>
                <w:p w14:paraId="76752952">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HCL</w:t>
                  </w:r>
                </w:p>
              </w:tc>
              <w:tc>
                <w:tcPr>
                  <w:tcW w:w="539" w:type="pct"/>
                  <w:vMerge w:val="continue"/>
                  <w:tcBorders>
                    <w:tl2br w:val="nil"/>
                    <w:tr2bl w:val="nil"/>
                  </w:tcBorders>
                  <w:vAlign w:val="center"/>
                </w:tcPr>
                <w:p w14:paraId="07BF1A04">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467" w:type="pct"/>
                  <w:vMerge w:val="continue"/>
                  <w:tcBorders>
                    <w:tl2br w:val="nil"/>
                    <w:tr2bl w:val="nil"/>
                  </w:tcBorders>
                  <w:vAlign w:val="center"/>
                </w:tcPr>
                <w:p w14:paraId="4955BC3B">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467" w:type="pct"/>
                  <w:vMerge w:val="continue"/>
                  <w:tcBorders>
                    <w:tl2br w:val="nil"/>
                    <w:tr2bl w:val="nil"/>
                  </w:tcBorders>
                  <w:vAlign w:val="center"/>
                </w:tcPr>
                <w:p w14:paraId="792306C9">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653" w:type="pct"/>
                  <w:vMerge w:val="continue"/>
                  <w:tcBorders>
                    <w:tl2br w:val="nil"/>
                    <w:tr2bl w:val="nil"/>
                  </w:tcBorders>
                  <w:vAlign w:val="center"/>
                </w:tcPr>
                <w:p w14:paraId="4FC847AD">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575" w:type="pct"/>
                  <w:tcBorders>
                    <w:tl2br w:val="nil"/>
                    <w:tr2bl w:val="nil"/>
                  </w:tcBorders>
                  <w:vAlign w:val="center"/>
                </w:tcPr>
                <w:p w14:paraId="51729F06">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11.67</w:t>
                  </w:r>
                </w:p>
              </w:tc>
              <w:tc>
                <w:tcPr>
                  <w:tcW w:w="481" w:type="pct"/>
                  <w:tcBorders>
                    <w:tl2br w:val="nil"/>
                    <w:tr2bl w:val="nil"/>
                  </w:tcBorders>
                  <w:vAlign w:val="center"/>
                </w:tcPr>
                <w:p w14:paraId="354B8797">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0.035</w:t>
                  </w:r>
                </w:p>
              </w:tc>
              <w:tc>
                <w:tcPr>
                  <w:tcW w:w="472" w:type="pct"/>
                  <w:tcBorders>
                    <w:tl2br w:val="nil"/>
                    <w:tr2bl w:val="nil"/>
                  </w:tcBorders>
                  <w:vAlign w:val="center"/>
                </w:tcPr>
                <w:p w14:paraId="2D9D809A">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0.25</w:t>
                  </w:r>
                </w:p>
              </w:tc>
              <w:tc>
                <w:tcPr>
                  <w:tcW w:w="376" w:type="pct"/>
                  <w:vMerge w:val="continue"/>
                  <w:tcBorders>
                    <w:tl2br w:val="nil"/>
                    <w:tr2bl w:val="nil"/>
                  </w:tcBorders>
                  <w:vAlign w:val="center"/>
                </w:tcPr>
                <w:p w14:paraId="0E5B5822">
                  <w:pPr>
                    <w:widowControl/>
                    <w:autoSpaceDE w:val="0"/>
                    <w:autoSpaceDN w:val="0"/>
                    <w:spacing w:line="320" w:lineRule="exact"/>
                    <w:jc w:val="center"/>
                    <w:rPr>
                      <w:rFonts w:hint="default" w:ascii="Times New Roman" w:hAnsi="Times New Roman" w:cs="Times New Roman"/>
                      <w:color w:val="auto"/>
                      <w:kern w:val="0"/>
                      <w:sz w:val="18"/>
                      <w:szCs w:val="18"/>
                    </w:rPr>
                  </w:pPr>
                </w:p>
              </w:tc>
            </w:tr>
            <w:tr w14:paraId="260AA8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tcBorders>
                    <w:tl2br w:val="nil"/>
                    <w:tr2bl w:val="nil"/>
                  </w:tcBorders>
                  <w:vAlign w:val="center"/>
                </w:tcPr>
                <w:p w14:paraId="74249A49">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397" w:type="pct"/>
                  <w:tcBorders>
                    <w:tl2br w:val="nil"/>
                    <w:tr2bl w:val="nil"/>
                  </w:tcBorders>
                  <w:vAlign w:val="center"/>
                </w:tcPr>
                <w:p w14:paraId="3B3FDDED">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NH</w:t>
                  </w:r>
                  <w:r>
                    <w:rPr>
                      <w:rFonts w:hint="default" w:ascii="Times New Roman" w:hAnsi="Times New Roman" w:cs="Times New Roman"/>
                      <w:color w:val="auto"/>
                      <w:kern w:val="0"/>
                      <w:sz w:val="18"/>
                      <w:szCs w:val="18"/>
                      <w:vertAlign w:val="subscript"/>
                    </w:rPr>
                    <w:t>3</w:t>
                  </w:r>
                </w:p>
              </w:tc>
              <w:tc>
                <w:tcPr>
                  <w:tcW w:w="539" w:type="pct"/>
                  <w:vMerge w:val="continue"/>
                  <w:tcBorders>
                    <w:tl2br w:val="nil"/>
                    <w:tr2bl w:val="nil"/>
                  </w:tcBorders>
                  <w:vAlign w:val="center"/>
                </w:tcPr>
                <w:p w14:paraId="1C31AD3C">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467" w:type="pct"/>
                  <w:vMerge w:val="continue"/>
                  <w:tcBorders>
                    <w:tl2br w:val="nil"/>
                    <w:tr2bl w:val="nil"/>
                  </w:tcBorders>
                  <w:vAlign w:val="center"/>
                </w:tcPr>
                <w:p w14:paraId="38CF8BFF">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467" w:type="pct"/>
                  <w:vMerge w:val="continue"/>
                  <w:tcBorders>
                    <w:tl2br w:val="nil"/>
                    <w:tr2bl w:val="nil"/>
                  </w:tcBorders>
                  <w:vAlign w:val="center"/>
                </w:tcPr>
                <w:p w14:paraId="0D3A8E21">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653" w:type="pct"/>
                  <w:vMerge w:val="continue"/>
                  <w:tcBorders>
                    <w:tl2br w:val="nil"/>
                    <w:tr2bl w:val="nil"/>
                  </w:tcBorders>
                  <w:vAlign w:val="center"/>
                </w:tcPr>
                <w:p w14:paraId="1A6B4F53">
                  <w:pPr>
                    <w:widowControl/>
                    <w:autoSpaceDE w:val="0"/>
                    <w:autoSpaceDN w:val="0"/>
                    <w:spacing w:line="320" w:lineRule="exact"/>
                    <w:jc w:val="center"/>
                    <w:rPr>
                      <w:rFonts w:hint="default" w:ascii="Times New Roman" w:hAnsi="Times New Roman" w:cs="Times New Roman"/>
                      <w:color w:val="auto"/>
                      <w:kern w:val="0"/>
                      <w:sz w:val="18"/>
                      <w:szCs w:val="18"/>
                    </w:rPr>
                  </w:pPr>
                </w:p>
              </w:tc>
              <w:tc>
                <w:tcPr>
                  <w:tcW w:w="575" w:type="pct"/>
                  <w:tcBorders>
                    <w:tl2br w:val="nil"/>
                    <w:tr2bl w:val="nil"/>
                  </w:tcBorders>
                  <w:vAlign w:val="center"/>
                </w:tcPr>
                <w:p w14:paraId="21CED3A2">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8</w:t>
                  </w:r>
                </w:p>
              </w:tc>
              <w:tc>
                <w:tcPr>
                  <w:tcW w:w="481" w:type="pct"/>
                  <w:tcBorders>
                    <w:tl2br w:val="nil"/>
                    <w:tr2bl w:val="nil"/>
                  </w:tcBorders>
                  <w:vAlign w:val="center"/>
                </w:tcPr>
                <w:p w14:paraId="1699B556">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0.023</w:t>
                  </w:r>
                </w:p>
              </w:tc>
              <w:tc>
                <w:tcPr>
                  <w:tcW w:w="472" w:type="pct"/>
                  <w:tcBorders>
                    <w:tl2br w:val="nil"/>
                    <w:tr2bl w:val="nil"/>
                  </w:tcBorders>
                  <w:vAlign w:val="center"/>
                </w:tcPr>
                <w:p w14:paraId="21CE62A9">
                  <w:pPr>
                    <w:widowControl/>
                    <w:autoSpaceDE w:val="0"/>
                    <w:autoSpaceDN w:val="0"/>
                    <w:spacing w:line="3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0.16</w:t>
                  </w:r>
                </w:p>
              </w:tc>
              <w:tc>
                <w:tcPr>
                  <w:tcW w:w="376" w:type="pct"/>
                  <w:vMerge w:val="continue"/>
                  <w:tcBorders>
                    <w:tl2br w:val="nil"/>
                    <w:tr2bl w:val="nil"/>
                  </w:tcBorders>
                  <w:vAlign w:val="center"/>
                </w:tcPr>
                <w:p w14:paraId="05ABACA3">
                  <w:pPr>
                    <w:widowControl/>
                    <w:autoSpaceDE w:val="0"/>
                    <w:autoSpaceDN w:val="0"/>
                    <w:spacing w:line="320" w:lineRule="exact"/>
                    <w:jc w:val="center"/>
                    <w:rPr>
                      <w:rFonts w:hint="default" w:ascii="Times New Roman" w:hAnsi="Times New Roman" w:cs="Times New Roman"/>
                      <w:color w:val="auto"/>
                      <w:kern w:val="0"/>
                      <w:sz w:val="18"/>
                      <w:szCs w:val="18"/>
                    </w:rPr>
                  </w:pPr>
                </w:p>
              </w:tc>
            </w:tr>
          </w:tbl>
          <w:p w14:paraId="01EA6FC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0"/>
                <w:sz w:val="24"/>
              </w:rPr>
              <w:t>废气排放量：169365.6万m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/a，颗粒物：3.90t/a、HCl：2.23t/a、NH</w:t>
            </w:r>
            <w:r>
              <w:rPr>
                <w:rFonts w:hint="default" w:ascii="Times New Roman" w:hAnsi="Times New Roman" w:cs="Times New Roman"/>
                <w:color w:val="auto"/>
                <w:kern w:val="0"/>
                <w:sz w:val="24"/>
                <w:vertAlign w:val="subscript"/>
              </w:rPr>
              <w:t>3</w:t>
            </w:r>
            <w:r>
              <w:rPr>
                <w:rFonts w:hint="default" w:ascii="Times New Roman" w:hAnsi="Times New Roman" w:cs="Times New Roman"/>
                <w:color w:val="auto"/>
                <w:kern w:val="0"/>
                <w:sz w:val="24"/>
              </w:rPr>
              <w:t>：0.62t/a、SO</w:t>
            </w:r>
            <w:r>
              <w:rPr>
                <w:rFonts w:hint="default" w:ascii="Times New Roman" w:hAnsi="Times New Roman" w:cs="Times New Roman"/>
                <w:color w:val="auto"/>
                <w:kern w:val="0"/>
                <w:sz w:val="24"/>
                <w:vertAlign w:val="subscript"/>
              </w:rPr>
              <w:t>2</w:t>
            </w:r>
            <w:r>
              <w:rPr>
                <w:rFonts w:hint="default" w:ascii="Times New Roman" w:hAnsi="Times New Roman" w:cs="Times New Roman"/>
                <w:color w:val="auto"/>
                <w:kern w:val="0"/>
                <w:sz w:val="24"/>
              </w:rPr>
              <w:t>：1.06t/a、NO</w:t>
            </w:r>
            <w:r>
              <w:rPr>
                <w:rFonts w:hint="default" w:ascii="Times New Roman" w:hAnsi="Times New Roman" w:cs="Times New Roman"/>
                <w:color w:val="auto"/>
                <w:kern w:val="0"/>
                <w:sz w:val="24"/>
                <w:vertAlign w:val="subscript"/>
              </w:rPr>
              <w:t>X</w:t>
            </w:r>
            <w:r>
              <w:rPr>
                <w:rFonts w:hint="default" w:ascii="Times New Roman" w:hAnsi="Times New Roman" w:cs="Times New Roman"/>
                <w:color w:val="auto"/>
                <w:kern w:val="0"/>
                <w:sz w:val="24"/>
              </w:rPr>
              <w:t>：8.41t/a、油雾：1.12t/a。</w:t>
            </w:r>
          </w:p>
          <w:p w14:paraId="19CFC7CB">
            <w:pPr>
              <w:pStyle w:val="13"/>
              <w:widowControl w:val="0"/>
              <w:snapToGrid/>
              <w:spacing w:after="0" w:line="360" w:lineRule="auto"/>
              <w:ind w:firstLine="482" w:firstLineChars="200"/>
              <w:rPr>
                <w:rFonts w:hint="default" w:ascii="Times New Roman" w:hAnsi="Times New Roman" w:cs="Times New Roman"/>
                <w:b/>
                <w:bCs/>
                <w:color w:val="auto"/>
                <w:kern w:val="2"/>
                <w:sz w:val="24"/>
                <w:szCs w:val="24"/>
              </w:rPr>
            </w:pPr>
            <w:bookmarkStart w:id="66" w:name="_Toc32476"/>
            <w:bookmarkStart w:id="67" w:name="_Toc21045"/>
            <w:r>
              <w:rPr>
                <w:rFonts w:hint="default" w:ascii="Times New Roman" w:hAnsi="Times New Roman" w:cs="Times New Roman"/>
                <w:b/>
                <w:bCs/>
                <w:color w:val="auto"/>
                <w:kern w:val="2"/>
                <w:sz w:val="24"/>
                <w:szCs w:val="24"/>
              </w:rPr>
              <w:t>2、无组织废气</w:t>
            </w:r>
            <w:bookmarkEnd w:id="66"/>
            <w:bookmarkEnd w:id="67"/>
          </w:p>
          <w:p w14:paraId="533072B1">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本项目运行过程中无组织废气排放情况如下表所示：</w:t>
            </w:r>
          </w:p>
          <w:p w14:paraId="04ACC6C6">
            <w:pPr>
              <w:pStyle w:val="111"/>
              <w:spacing w:line="360" w:lineRule="auto"/>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表2-20   本项目有组织废气排放情况一览表</w:t>
            </w:r>
          </w:p>
          <w:tbl>
            <w:tblPr>
              <w:tblStyle w:val="35"/>
              <w:tblW w:w="8378"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33"/>
              <w:gridCol w:w="3564"/>
              <w:gridCol w:w="1170"/>
              <w:gridCol w:w="1711"/>
            </w:tblGrid>
            <w:tr w14:paraId="6443C58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53" w:type="pct"/>
                  <w:tcBorders>
                    <w:tl2br w:val="nil"/>
                    <w:tr2bl w:val="nil"/>
                  </w:tcBorders>
                  <w:vAlign w:val="center"/>
                </w:tcPr>
                <w:p w14:paraId="73523E9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污染源位置</w:t>
                  </w:r>
                </w:p>
              </w:tc>
              <w:tc>
                <w:tcPr>
                  <w:tcW w:w="2126" w:type="pct"/>
                  <w:tcBorders>
                    <w:tl2br w:val="nil"/>
                    <w:tr2bl w:val="nil"/>
                  </w:tcBorders>
                  <w:vAlign w:val="center"/>
                </w:tcPr>
                <w:p w14:paraId="35373A1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污染物</w:t>
                  </w:r>
                </w:p>
              </w:tc>
              <w:tc>
                <w:tcPr>
                  <w:tcW w:w="698" w:type="pct"/>
                  <w:tcBorders>
                    <w:tl2br w:val="nil"/>
                    <w:tr2bl w:val="nil"/>
                  </w:tcBorders>
                  <w:vAlign w:val="center"/>
                </w:tcPr>
                <w:p w14:paraId="22BB352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排放量（t/a）</w:t>
                  </w:r>
                </w:p>
              </w:tc>
              <w:tc>
                <w:tcPr>
                  <w:tcW w:w="1021" w:type="pct"/>
                  <w:tcBorders>
                    <w:tl2br w:val="nil"/>
                    <w:tr2bl w:val="nil"/>
                  </w:tcBorders>
                  <w:vAlign w:val="center"/>
                </w:tcPr>
                <w:p w14:paraId="02F3F67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排放速率（kg/h）</w:t>
                  </w:r>
                </w:p>
              </w:tc>
            </w:tr>
            <w:tr w14:paraId="1D3FE89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53" w:type="pct"/>
                  <w:vMerge w:val="restart"/>
                  <w:tcBorders>
                    <w:tl2br w:val="nil"/>
                    <w:tr2bl w:val="nil"/>
                  </w:tcBorders>
                  <w:vAlign w:val="center"/>
                </w:tcPr>
                <w:p w14:paraId="16FE3ED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带钢酸洗及冷轧车间</w:t>
                  </w:r>
                </w:p>
              </w:tc>
              <w:tc>
                <w:tcPr>
                  <w:tcW w:w="2126" w:type="pct"/>
                  <w:tcBorders>
                    <w:tl2br w:val="nil"/>
                    <w:tr2bl w:val="nil"/>
                  </w:tcBorders>
                  <w:vAlign w:val="center"/>
                </w:tcPr>
                <w:p w14:paraId="32BC8FD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无组织粉尘（T1）</w:t>
                  </w:r>
                </w:p>
              </w:tc>
              <w:tc>
                <w:tcPr>
                  <w:tcW w:w="698" w:type="pct"/>
                  <w:tcBorders>
                    <w:tl2br w:val="nil"/>
                    <w:tr2bl w:val="nil"/>
                  </w:tcBorders>
                  <w:vAlign w:val="center"/>
                </w:tcPr>
                <w:p w14:paraId="06E6587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1.15</w:t>
                  </w:r>
                </w:p>
              </w:tc>
              <w:tc>
                <w:tcPr>
                  <w:tcW w:w="1021" w:type="pct"/>
                  <w:tcBorders>
                    <w:tl2br w:val="nil"/>
                    <w:tr2bl w:val="nil"/>
                  </w:tcBorders>
                  <w:vAlign w:val="center"/>
                </w:tcPr>
                <w:p w14:paraId="4DDC734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0.16</w:t>
                  </w:r>
                </w:p>
              </w:tc>
            </w:tr>
            <w:tr w14:paraId="79754E4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53" w:type="pct"/>
                  <w:vMerge w:val="continue"/>
                  <w:tcBorders>
                    <w:tl2br w:val="nil"/>
                    <w:tr2bl w:val="nil"/>
                  </w:tcBorders>
                  <w:vAlign w:val="center"/>
                </w:tcPr>
                <w:p w14:paraId="37CA318F">
                  <w:pPr>
                    <w:jc w:val="center"/>
                    <w:rPr>
                      <w:rFonts w:hint="default" w:ascii="Times New Roman" w:hAnsi="Times New Roman" w:cs="Times New Roman"/>
                      <w:color w:val="auto"/>
                      <w:sz w:val="18"/>
                      <w:szCs w:val="18"/>
                    </w:rPr>
                  </w:pPr>
                </w:p>
              </w:tc>
              <w:tc>
                <w:tcPr>
                  <w:tcW w:w="2126" w:type="pct"/>
                  <w:tcBorders>
                    <w:tl2br w:val="nil"/>
                    <w:tr2bl w:val="nil"/>
                  </w:tcBorders>
                  <w:vAlign w:val="center"/>
                </w:tcPr>
                <w:p w14:paraId="62DC12D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无组织酸雾（T2）</w:t>
                  </w:r>
                </w:p>
              </w:tc>
              <w:tc>
                <w:tcPr>
                  <w:tcW w:w="698" w:type="pct"/>
                  <w:tcBorders>
                    <w:tl2br w:val="nil"/>
                    <w:tr2bl w:val="nil"/>
                  </w:tcBorders>
                  <w:vAlign w:val="center"/>
                </w:tcPr>
                <w:p w14:paraId="2FCB9E6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0.036</w:t>
                  </w:r>
                </w:p>
              </w:tc>
              <w:tc>
                <w:tcPr>
                  <w:tcW w:w="1021" w:type="pct"/>
                  <w:tcBorders>
                    <w:tl2br w:val="nil"/>
                    <w:tr2bl w:val="nil"/>
                  </w:tcBorders>
                  <w:vAlign w:val="center"/>
                </w:tcPr>
                <w:p w14:paraId="3189405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0.005</w:t>
                  </w:r>
                </w:p>
              </w:tc>
            </w:tr>
            <w:tr w14:paraId="061540E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53" w:type="pct"/>
                  <w:vMerge w:val="continue"/>
                  <w:tcBorders>
                    <w:tl2br w:val="nil"/>
                    <w:tr2bl w:val="nil"/>
                  </w:tcBorders>
                  <w:vAlign w:val="center"/>
                </w:tcPr>
                <w:p w14:paraId="2448AE05">
                  <w:pPr>
                    <w:jc w:val="center"/>
                    <w:rPr>
                      <w:rFonts w:hint="default" w:ascii="Times New Roman" w:hAnsi="Times New Roman" w:cs="Times New Roman"/>
                      <w:color w:val="auto"/>
                      <w:sz w:val="18"/>
                      <w:szCs w:val="18"/>
                    </w:rPr>
                  </w:pPr>
                </w:p>
              </w:tc>
              <w:tc>
                <w:tcPr>
                  <w:tcW w:w="2126" w:type="pct"/>
                  <w:tcBorders>
                    <w:tl2br w:val="nil"/>
                    <w:tr2bl w:val="nil"/>
                  </w:tcBorders>
                  <w:vAlign w:val="center"/>
                </w:tcPr>
                <w:p w14:paraId="1348C08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无组织氨（T3）</w:t>
                  </w:r>
                </w:p>
              </w:tc>
              <w:tc>
                <w:tcPr>
                  <w:tcW w:w="698" w:type="pct"/>
                  <w:tcBorders>
                    <w:tl2br w:val="nil"/>
                    <w:tr2bl w:val="nil"/>
                  </w:tcBorders>
                  <w:vAlign w:val="center"/>
                </w:tcPr>
                <w:p w14:paraId="690E8BD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0.006</w:t>
                  </w:r>
                </w:p>
              </w:tc>
              <w:tc>
                <w:tcPr>
                  <w:tcW w:w="1021" w:type="pct"/>
                  <w:tcBorders>
                    <w:tl2br w:val="nil"/>
                    <w:tr2bl w:val="nil"/>
                  </w:tcBorders>
                  <w:vAlign w:val="center"/>
                </w:tcPr>
                <w:p w14:paraId="6E1711D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0.0008</w:t>
                  </w:r>
                </w:p>
              </w:tc>
            </w:tr>
            <w:tr w14:paraId="37F44C7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53" w:type="pct"/>
                  <w:vMerge w:val="continue"/>
                  <w:tcBorders>
                    <w:tl2br w:val="nil"/>
                    <w:tr2bl w:val="nil"/>
                  </w:tcBorders>
                  <w:vAlign w:val="center"/>
                </w:tcPr>
                <w:p w14:paraId="78687E77">
                  <w:pPr>
                    <w:jc w:val="center"/>
                    <w:rPr>
                      <w:rFonts w:hint="default" w:ascii="Times New Roman" w:hAnsi="Times New Roman" w:cs="Times New Roman"/>
                      <w:color w:val="auto"/>
                      <w:sz w:val="18"/>
                      <w:szCs w:val="18"/>
                    </w:rPr>
                  </w:pPr>
                </w:p>
              </w:tc>
              <w:tc>
                <w:tcPr>
                  <w:tcW w:w="2126" w:type="pct"/>
                  <w:tcBorders>
                    <w:tl2br w:val="nil"/>
                    <w:tr2bl w:val="nil"/>
                  </w:tcBorders>
                  <w:vAlign w:val="center"/>
                </w:tcPr>
                <w:p w14:paraId="5BC8882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无组织油雾（T4）</w:t>
                  </w:r>
                </w:p>
              </w:tc>
              <w:tc>
                <w:tcPr>
                  <w:tcW w:w="698" w:type="pct"/>
                  <w:tcBorders>
                    <w:tl2br w:val="nil"/>
                    <w:tr2bl w:val="nil"/>
                  </w:tcBorders>
                  <w:vAlign w:val="center"/>
                </w:tcPr>
                <w:p w14:paraId="371D046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0.3</w:t>
                  </w:r>
                </w:p>
              </w:tc>
              <w:tc>
                <w:tcPr>
                  <w:tcW w:w="1021" w:type="pct"/>
                  <w:tcBorders>
                    <w:tl2br w:val="nil"/>
                    <w:tr2bl w:val="nil"/>
                  </w:tcBorders>
                  <w:vAlign w:val="center"/>
                </w:tcPr>
                <w:p w14:paraId="6F3DFBD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0.042</w:t>
                  </w:r>
                </w:p>
              </w:tc>
            </w:tr>
            <w:tr w14:paraId="0C6EAC6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53" w:type="pct"/>
                  <w:tcBorders>
                    <w:tl2br w:val="nil"/>
                    <w:tr2bl w:val="nil"/>
                  </w:tcBorders>
                  <w:vAlign w:val="center"/>
                </w:tcPr>
                <w:p w14:paraId="322547F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带钢热镀锌车间</w:t>
                  </w:r>
                </w:p>
              </w:tc>
              <w:tc>
                <w:tcPr>
                  <w:tcW w:w="2126" w:type="pct"/>
                  <w:tcBorders>
                    <w:tl2br w:val="nil"/>
                    <w:tr2bl w:val="nil"/>
                  </w:tcBorders>
                  <w:vAlign w:val="center"/>
                </w:tcPr>
                <w:p w14:paraId="5B46C26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带钢镀锌无组织粉尘（T5）</w:t>
                  </w:r>
                </w:p>
              </w:tc>
              <w:tc>
                <w:tcPr>
                  <w:tcW w:w="698" w:type="pct"/>
                  <w:tcBorders>
                    <w:tl2br w:val="nil"/>
                    <w:tr2bl w:val="nil"/>
                  </w:tcBorders>
                  <w:vAlign w:val="center"/>
                </w:tcPr>
                <w:p w14:paraId="449D6E1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0.097</w:t>
                  </w:r>
                </w:p>
              </w:tc>
              <w:tc>
                <w:tcPr>
                  <w:tcW w:w="1021" w:type="pct"/>
                  <w:tcBorders>
                    <w:tl2br w:val="nil"/>
                    <w:tr2bl w:val="nil"/>
                  </w:tcBorders>
                  <w:vAlign w:val="center"/>
                </w:tcPr>
                <w:p w14:paraId="669565C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0.013</w:t>
                  </w:r>
                </w:p>
              </w:tc>
            </w:tr>
            <w:tr w14:paraId="11AF683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53" w:type="pct"/>
                  <w:tcBorders>
                    <w:tl2br w:val="nil"/>
                    <w:tr2bl w:val="nil"/>
                  </w:tcBorders>
                  <w:vAlign w:val="center"/>
                </w:tcPr>
                <w:p w14:paraId="0CD8EA3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焊管车间</w:t>
                  </w:r>
                </w:p>
              </w:tc>
              <w:tc>
                <w:tcPr>
                  <w:tcW w:w="2126" w:type="pct"/>
                  <w:tcBorders>
                    <w:tl2br w:val="nil"/>
                    <w:tr2bl w:val="nil"/>
                  </w:tcBorders>
                  <w:vAlign w:val="center"/>
                </w:tcPr>
                <w:p w14:paraId="789D66E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无组织粉尘（T6）</w:t>
                  </w:r>
                </w:p>
              </w:tc>
              <w:tc>
                <w:tcPr>
                  <w:tcW w:w="698" w:type="pct"/>
                  <w:tcBorders>
                    <w:tl2br w:val="nil"/>
                    <w:tr2bl w:val="nil"/>
                  </w:tcBorders>
                  <w:vAlign w:val="center"/>
                </w:tcPr>
                <w:p w14:paraId="498113C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0.065</w:t>
                  </w:r>
                </w:p>
              </w:tc>
              <w:tc>
                <w:tcPr>
                  <w:tcW w:w="1021" w:type="pct"/>
                  <w:tcBorders>
                    <w:tl2br w:val="nil"/>
                    <w:tr2bl w:val="nil"/>
                  </w:tcBorders>
                  <w:vAlign w:val="center"/>
                </w:tcPr>
                <w:p w14:paraId="77E11A0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0.009</w:t>
                  </w:r>
                </w:p>
              </w:tc>
            </w:tr>
            <w:tr w14:paraId="581FCB5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53" w:type="pct"/>
                  <w:tcBorders>
                    <w:tl2br w:val="nil"/>
                    <w:tr2bl w:val="nil"/>
                  </w:tcBorders>
                  <w:vAlign w:val="center"/>
                </w:tcPr>
                <w:p w14:paraId="113EB7E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盐酸储罐区域</w:t>
                  </w:r>
                </w:p>
              </w:tc>
              <w:tc>
                <w:tcPr>
                  <w:tcW w:w="2126" w:type="pct"/>
                  <w:tcBorders>
                    <w:tl2br w:val="nil"/>
                    <w:tr2bl w:val="nil"/>
                  </w:tcBorders>
                  <w:vAlign w:val="center"/>
                </w:tcPr>
                <w:p w14:paraId="2E2257F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无组织酸雾（T7）</w:t>
                  </w:r>
                </w:p>
              </w:tc>
              <w:tc>
                <w:tcPr>
                  <w:tcW w:w="698" w:type="pct"/>
                  <w:tcBorders>
                    <w:tl2br w:val="nil"/>
                    <w:tr2bl w:val="nil"/>
                  </w:tcBorders>
                  <w:vAlign w:val="center"/>
                </w:tcPr>
                <w:p w14:paraId="76963F6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0.013</w:t>
                  </w:r>
                </w:p>
              </w:tc>
              <w:tc>
                <w:tcPr>
                  <w:tcW w:w="1021" w:type="pct"/>
                  <w:tcBorders>
                    <w:tl2br w:val="nil"/>
                    <w:tr2bl w:val="nil"/>
                  </w:tcBorders>
                  <w:vAlign w:val="center"/>
                </w:tcPr>
                <w:p w14:paraId="7D0C337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0.075</w:t>
                  </w:r>
                </w:p>
              </w:tc>
            </w:tr>
            <w:tr w14:paraId="128BB0A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53" w:type="pct"/>
                  <w:vMerge w:val="restart"/>
                  <w:tcBorders>
                    <w:tl2br w:val="nil"/>
                    <w:tr2bl w:val="nil"/>
                  </w:tcBorders>
                  <w:vAlign w:val="center"/>
                </w:tcPr>
                <w:p w14:paraId="56C820A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型钢镀锌车间</w:t>
                  </w:r>
                </w:p>
              </w:tc>
              <w:tc>
                <w:tcPr>
                  <w:tcW w:w="2126" w:type="pct"/>
                  <w:tcBorders>
                    <w:tl2br w:val="nil"/>
                    <w:tr2bl w:val="nil"/>
                  </w:tcBorders>
                  <w:vAlign w:val="center"/>
                </w:tcPr>
                <w:p w14:paraId="569A211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无组织酸雾（T8）</w:t>
                  </w:r>
                </w:p>
              </w:tc>
              <w:tc>
                <w:tcPr>
                  <w:tcW w:w="698" w:type="pct"/>
                  <w:tcBorders>
                    <w:tl2br w:val="nil"/>
                    <w:tr2bl w:val="nil"/>
                  </w:tcBorders>
                  <w:vAlign w:val="center"/>
                </w:tcPr>
                <w:p w14:paraId="71F3D7C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0.324</w:t>
                  </w:r>
                </w:p>
              </w:tc>
              <w:tc>
                <w:tcPr>
                  <w:tcW w:w="1021" w:type="pct"/>
                  <w:tcBorders>
                    <w:tl2br w:val="nil"/>
                    <w:tr2bl w:val="nil"/>
                  </w:tcBorders>
                  <w:vAlign w:val="center"/>
                </w:tcPr>
                <w:p w14:paraId="32A8D8A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0.045</w:t>
                  </w:r>
                </w:p>
              </w:tc>
            </w:tr>
            <w:tr w14:paraId="45DBEEE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53" w:type="pct"/>
                  <w:vMerge w:val="continue"/>
                  <w:tcBorders>
                    <w:tl2br w:val="nil"/>
                    <w:tr2bl w:val="nil"/>
                  </w:tcBorders>
                  <w:vAlign w:val="center"/>
                </w:tcPr>
                <w:p w14:paraId="14056697">
                  <w:pPr>
                    <w:jc w:val="center"/>
                    <w:rPr>
                      <w:rFonts w:hint="default" w:ascii="Times New Roman" w:hAnsi="Times New Roman" w:cs="Times New Roman"/>
                      <w:color w:val="auto"/>
                      <w:sz w:val="18"/>
                      <w:szCs w:val="18"/>
                    </w:rPr>
                  </w:pPr>
                </w:p>
              </w:tc>
              <w:tc>
                <w:tcPr>
                  <w:tcW w:w="2126" w:type="pct"/>
                  <w:tcBorders>
                    <w:tl2br w:val="nil"/>
                    <w:tr2bl w:val="nil"/>
                  </w:tcBorders>
                  <w:vAlign w:val="center"/>
                </w:tcPr>
                <w:p w14:paraId="2E3D79D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型钢镀锌无组织粉尘（T9）</w:t>
                  </w:r>
                </w:p>
              </w:tc>
              <w:tc>
                <w:tcPr>
                  <w:tcW w:w="698" w:type="pct"/>
                  <w:tcBorders>
                    <w:tl2br w:val="nil"/>
                    <w:tr2bl w:val="nil"/>
                  </w:tcBorders>
                  <w:vAlign w:val="center"/>
                </w:tcPr>
                <w:p w14:paraId="0778BFF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0.122</w:t>
                  </w:r>
                </w:p>
              </w:tc>
              <w:tc>
                <w:tcPr>
                  <w:tcW w:w="1021" w:type="pct"/>
                  <w:tcBorders>
                    <w:tl2br w:val="nil"/>
                    <w:tr2bl w:val="nil"/>
                  </w:tcBorders>
                  <w:vAlign w:val="center"/>
                </w:tcPr>
                <w:p w14:paraId="3E68644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0.017</w:t>
                  </w:r>
                </w:p>
              </w:tc>
            </w:tr>
            <w:tr w14:paraId="2A1F104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53" w:type="pct"/>
                  <w:vMerge w:val="continue"/>
                  <w:tcBorders>
                    <w:tl2br w:val="nil"/>
                    <w:tr2bl w:val="nil"/>
                  </w:tcBorders>
                  <w:vAlign w:val="center"/>
                </w:tcPr>
                <w:p w14:paraId="2169F2F6">
                  <w:pPr>
                    <w:jc w:val="center"/>
                    <w:rPr>
                      <w:rFonts w:hint="default" w:ascii="Times New Roman" w:hAnsi="Times New Roman" w:cs="Times New Roman"/>
                      <w:color w:val="auto"/>
                      <w:sz w:val="18"/>
                      <w:szCs w:val="18"/>
                    </w:rPr>
                  </w:pPr>
                </w:p>
              </w:tc>
              <w:tc>
                <w:tcPr>
                  <w:tcW w:w="2126" w:type="pct"/>
                  <w:tcBorders>
                    <w:tl2br w:val="nil"/>
                    <w:tr2bl w:val="nil"/>
                  </w:tcBorders>
                  <w:vAlign w:val="center"/>
                </w:tcPr>
                <w:p w14:paraId="789A7A5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无组织氨（T10）</w:t>
                  </w:r>
                </w:p>
              </w:tc>
              <w:tc>
                <w:tcPr>
                  <w:tcW w:w="698" w:type="pct"/>
                  <w:tcBorders>
                    <w:tl2br w:val="nil"/>
                    <w:tr2bl w:val="nil"/>
                  </w:tcBorders>
                  <w:vAlign w:val="center"/>
                </w:tcPr>
                <w:p w14:paraId="5953630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0.089</w:t>
                  </w:r>
                </w:p>
              </w:tc>
              <w:tc>
                <w:tcPr>
                  <w:tcW w:w="1021" w:type="pct"/>
                  <w:tcBorders>
                    <w:tl2br w:val="nil"/>
                    <w:tr2bl w:val="nil"/>
                  </w:tcBorders>
                  <w:vAlign w:val="center"/>
                </w:tcPr>
                <w:p w14:paraId="6F0B934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0.012</w:t>
                  </w:r>
                </w:p>
              </w:tc>
            </w:tr>
          </w:tbl>
          <w:p w14:paraId="04C00781">
            <w:pPr>
              <w:spacing w:line="360" w:lineRule="auto"/>
              <w:ind w:firstLine="480" w:firstLineChars="200"/>
              <w:rPr>
                <w:rFonts w:hint="default" w:ascii="Times New Roman" w:hAnsi="Times New Roman" w:eastAsia="黑体" w:cs="Times New Roman"/>
                <w:color w:val="auto"/>
              </w:rPr>
            </w:pPr>
            <w:r>
              <w:rPr>
                <w:rFonts w:hint="default" w:ascii="Times New Roman" w:hAnsi="Times New Roman" w:cs="Times New Roman"/>
                <w:color w:val="auto"/>
                <w:kern w:val="0"/>
                <w:sz w:val="24"/>
              </w:rPr>
              <w:t>无组织污染物排放情况如为颗粒物：1.434t/a、HCl：0.373t/a、氨：0.095t/a、油雾：0.3t/a。</w:t>
            </w:r>
          </w:p>
          <w:p w14:paraId="55EC8A92">
            <w:pPr>
              <w:pStyle w:val="34"/>
              <w:spacing w:line="360" w:lineRule="auto"/>
              <w:ind w:left="0" w:leftChars="0" w:firstLine="0" w:firstLineChars="0"/>
              <w:rPr>
                <w:rFonts w:hint="default" w:ascii="Times New Roman" w:hAnsi="Times New Roman" w:eastAsia="黑体" w:cs="Times New Roman"/>
                <w:color w:val="auto"/>
              </w:rPr>
            </w:pPr>
            <w:r>
              <w:rPr>
                <w:rFonts w:hint="default" w:ascii="Times New Roman" w:hAnsi="Times New Roman" w:eastAsia="黑体" w:cs="Times New Roman"/>
                <w:color w:val="auto"/>
              </w:rPr>
              <w:t>3.3.2废水</w:t>
            </w:r>
          </w:p>
          <w:p w14:paraId="6E8CF168">
            <w:pPr>
              <w:numPr>
                <w:ilvl w:val="0"/>
                <w:numId w:val="3"/>
              </w:numPr>
              <w:spacing w:line="360" w:lineRule="auto"/>
              <w:ind w:firstLine="482" w:firstLineChars="20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生产废水</w:t>
            </w:r>
          </w:p>
          <w:p w14:paraId="301611FA">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项目生产废水主要为漂洗废水、吸收塔废水、高频焊管喷淋废水、镀锌水淬废水、生产设备冷却排污、乳化废水、锅炉排污、脱盐水站排污、软水制备排污、初期雨水。</w:t>
            </w:r>
          </w:p>
          <w:p w14:paraId="59BC6C93">
            <w:pPr>
              <w:spacing w:line="360" w:lineRule="auto"/>
              <w:ind w:firstLine="480" w:firstLineChars="200"/>
              <w:rPr>
                <w:rFonts w:hint="default" w:ascii="Times New Roman" w:hAnsi="Times New Roman" w:cs="Times New Roman"/>
                <w:color w:val="auto"/>
                <w:kern w:val="0"/>
                <w:sz w:val="24"/>
              </w:rPr>
            </w:pPr>
            <w:bookmarkStart w:id="68" w:name="_Toc29218"/>
            <w:bookmarkStart w:id="69" w:name="_Toc4243"/>
            <w:r>
              <w:rPr>
                <w:rFonts w:hint="default" w:ascii="Times New Roman" w:hAnsi="Times New Roman" w:cs="Times New Roman"/>
                <w:color w:val="auto"/>
                <w:kern w:val="0"/>
                <w:sz w:val="24"/>
              </w:rPr>
              <w:t>（1）漂洗废水</w:t>
            </w:r>
            <w:bookmarkEnd w:id="68"/>
            <w:bookmarkEnd w:id="69"/>
          </w:p>
          <w:p w14:paraId="2C9E2B8E">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漂洗废水产生量为163m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/d，漂洗废水呈酸性，主要污染物为COD、SS、Fe、Cl</w:t>
            </w:r>
            <w:r>
              <w:rPr>
                <w:rFonts w:hint="default" w:ascii="Times New Roman" w:hAnsi="Times New Roman" w:cs="Times New Roman"/>
                <w:color w:val="auto"/>
                <w:kern w:val="0"/>
                <w:sz w:val="24"/>
                <w:vertAlign w:val="superscript"/>
              </w:rPr>
              <w:t>-</w:t>
            </w:r>
            <w:r>
              <w:rPr>
                <w:rFonts w:hint="default" w:ascii="Times New Roman" w:hAnsi="Times New Roman" w:cs="Times New Roman"/>
                <w:color w:val="auto"/>
                <w:kern w:val="0"/>
                <w:sz w:val="24"/>
              </w:rPr>
              <w:t>，漂洗废水经生产废水处理站处理后循环使用，不外排。</w:t>
            </w:r>
          </w:p>
          <w:p w14:paraId="4AF9AC7E">
            <w:pPr>
              <w:spacing w:line="360" w:lineRule="auto"/>
              <w:ind w:firstLine="480" w:firstLineChars="200"/>
              <w:rPr>
                <w:rFonts w:hint="default" w:ascii="Times New Roman" w:hAnsi="Times New Roman" w:cs="Times New Roman"/>
                <w:color w:val="auto"/>
                <w:kern w:val="0"/>
                <w:sz w:val="24"/>
              </w:rPr>
            </w:pPr>
            <w:bookmarkStart w:id="70" w:name="_Toc9680"/>
            <w:bookmarkStart w:id="71" w:name="_Toc19678"/>
            <w:r>
              <w:rPr>
                <w:rFonts w:hint="default" w:ascii="Times New Roman" w:hAnsi="Times New Roman" w:cs="Times New Roman"/>
                <w:color w:val="auto"/>
                <w:kern w:val="0"/>
                <w:sz w:val="24"/>
              </w:rPr>
              <w:t>（2）吸收塔废水</w:t>
            </w:r>
            <w:bookmarkEnd w:id="70"/>
            <w:bookmarkEnd w:id="71"/>
          </w:p>
          <w:p w14:paraId="675B49AB">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吸收塔喷淋废水系统内循环沉淀后回用，少量强制排污，排污量为90m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/d，喷淋废水呈酸性，主要污染物为COD、SS，喷淋废水经生产废水处理站处理后循环使用，不外排。</w:t>
            </w:r>
          </w:p>
          <w:p w14:paraId="3426148A">
            <w:pPr>
              <w:spacing w:line="360" w:lineRule="auto"/>
              <w:ind w:firstLine="480" w:firstLineChars="200"/>
              <w:rPr>
                <w:rFonts w:hint="default" w:ascii="Times New Roman" w:hAnsi="Times New Roman" w:cs="Times New Roman"/>
                <w:color w:val="auto"/>
                <w:kern w:val="0"/>
                <w:sz w:val="24"/>
              </w:rPr>
            </w:pPr>
            <w:bookmarkStart w:id="72" w:name="_Toc24156"/>
            <w:bookmarkStart w:id="73" w:name="_Toc21449"/>
            <w:r>
              <w:rPr>
                <w:rFonts w:hint="default" w:ascii="Times New Roman" w:hAnsi="Times New Roman" w:cs="Times New Roman"/>
                <w:color w:val="auto"/>
                <w:kern w:val="0"/>
                <w:sz w:val="24"/>
              </w:rPr>
              <w:t>（3）高频焊管喷淋废水</w:t>
            </w:r>
            <w:bookmarkEnd w:id="72"/>
            <w:bookmarkEnd w:id="73"/>
          </w:p>
          <w:p w14:paraId="33EECFCB">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高频焊管喷淋废水产生量为670m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/d，主要污染物为SS、Zn，循环池沉淀后循环使用，不外排。</w:t>
            </w:r>
          </w:p>
          <w:p w14:paraId="6BA67A88">
            <w:pPr>
              <w:spacing w:line="360" w:lineRule="auto"/>
              <w:ind w:firstLine="480" w:firstLineChars="200"/>
              <w:rPr>
                <w:rFonts w:hint="default" w:ascii="Times New Roman" w:hAnsi="Times New Roman" w:cs="Times New Roman"/>
                <w:color w:val="auto"/>
                <w:kern w:val="0"/>
                <w:sz w:val="24"/>
              </w:rPr>
            </w:pPr>
            <w:bookmarkStart w:id="74" w:name="_Toc28671"/>
            <w:bookmarkStart w:id="75" w:name="_Toc30652"/>
            <w:r>
              <w:rPr>
                <w:rFonts w:hint="default" w:ascii="Times New Roman" w:hAnsi="Times New Roman" w:cs="Times New Roman"/>
                <w:color w:val="auto"/>
                <w:kern w:val="0"/>
                <w:sz w:val="24"/>
              </w:rPr>
              <w:t>（4）镀锌水淬废水</w:t>
            </w:r>
            <w:bookmarkEnd w:id="74"/>
            <w:bookmarkEnd w:id="75"/>
          </w:p>
          <w:p w14:paraId="6CB7A0CD">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镀锌水淬废水产生量为464m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/d，主要污染物为SS、Zn，循环池沉淀后循环使用不外排。</w:t>
            </w:r>
          </w:p>
          <w:p w14:paraId="5BA0B9CE">
            <w:pPr>
              <w:spacing w:line="360" w:lineRule="auto"/>
              <w:ind w:firstLine="480" w:firstLineChars="200"/>
              <w:rPr>
                <w:rFonts w:hint="default" w:ascii="Times New Roman" w:hAnsi="Times New Roman" w:cs="Times New Roman"/>
                <w:color w:val="auto"/>
                <w:kern w:val="0"/>
                <w:sz w:val="24"/>
              </w:rPr>
            </w:pPr>
            <w:bookmarkStart w:id="76" w:name="_Toc23933"/>
            <w:bookmarkStart w:id="77" w:name="_Toc10030"/>
            <w:r>
              <w:rPr>
                <w:rFonts w:hint="default" w:ascii="Times New Roman" w:hAnsi="Times New Roman" w:cs="Times New Roman"/>
                <w:color w:val="auto"/>
                <w:kern w:val="0"/>
                <w:sz w:val="24"/>
              </w:rPr>
              <w:t>（5）乳化液废水</w:t>
            </w:r>
            <w:bookmarkEnd w:id="76"/>
            <w:bookmarkEnd w:id="77"/>
          </w:p>
          <w:p w14:paraId="4004EBE1">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乳化液废水产生量为0.8，沉淀过滤后循环回用于乳化液系统，不外排。</w:t>
            </w:r>
          </w:p>
          <w:p w14:paraId="17D9DAA0">
            <w:pPr>
              <w:spacing w:line="360" w:lineRule="auto"/>
              <w:ind w:firstLine="480" w:firstLineChars="200"/>
              <w:rPr>
                <w:rFonts w:hint="default" w:ascii="Times New Roman" w:hAnsi="Times New Roman" w:cs="Times New Roman"/>
                <w:color w:val="auto"/>
                <w:kern w:val="0"/>
                <w:sz w:val="24"/>
              </w:rPr>
            </w:pPr>
            <w:bookmarkStart w:id="78" w:name="_Toc16901"/>
            <w:bookmarkStart w:id="79" w:name="_Toc26078"/>
            <w:r>
              <w:rPr>
                <w:rFonts w:hint="default" w:ascii="Times New Roman" w:hAnsi="Times New Roman" w:cs="Times New Roman"/>
                <w:color w:val="auto"/>
                <w:kern w:val="0"/>
                <w:sz w:val="24"/>
              </w:rPr>
              <w:t>（6）生产设备冷却排污</w:t>
            </w:r>
            <w:bookmarkEnd w:id="78"/>
            <w:bookmarkEnd w:id="79"/>
          </w:p>
          <w:p w14:paraId="1BA4F555">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轧机设备冷却、镀锌设备冷却、焊管设备冷却用水量为15000m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/d，回水量为14738m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/d，强制排污52m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/d，废水主要污染物为SS、COD，无机盐，废水经收集进入生产废水处理站进行处理，处理后回用于浊循环系统。</w:t>
            </w:r>
          </w:p>
          <w:p w14:paraId="2264831D">
            <w:pPr>
              <w:spacing w:line="360" w:lineRule="auto"/>
              <w:ind w:firstLine="480" w:firstLineChars="200"/>
              <w:rPr>
                <w:rFonts w:hint="default" w:ascii="Times New Roman" w:hAnsi="Times New Roman" w:cs="Times New Roman"/>
                <w:color w:val="auto"/>
                <w:kern w:val="0"/>
                <w:sz w:val="24"/>
              </w:rPr>
            </w:pPr>
            <w:bookmarkStart w:id="80" w:name="_Toc25157"/>
            <w:bookmarkStart w:id="81" w:name="_Toc21627"/>
            <w:r>
              <w:rPr>
                <w:rFonts w:hint="default" w:ascii="Times New Roman" w:hAnsi="Times New Roman" w:cs="Times New Roman"/>
                <w:color w:val="auto"/>
                <w:kern w:val="0"/>
                <w:sz w:val="24"/>
              </w:rPr>
              <w:t>（7）锅炉排污</w:t>
            </w:r>
            <w:bookmarkEnd w:id="80"/>
            <w:bookmarkEnd w:id="81"/>
          </w:p>
          <w:p w14:paraId="0506C316">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项目锅炉排污量为3m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/d，废水主要污染物为SS、COD，无机盐，经收集进入生产废水处理站进行处理，处理后回用于浊循环系统。</w:t>
            </w:r>
          </w:p>
          <w:p w14:paraId="6F76C468">
            <w:pPr>
              <w:spacing w:line="360" w:lineRule="auto"/>
              <w:ind w:firstLine="480" w:firstLineChars="200"/>
              <w:rPr>
                <w:rFonts w:hint="default" w:ascii="Times New Roman" w:hAnsi="Times New Roman" w:cs="Times New Roman"/>
                <w:color w:val="auto"/>
                <w:kern w:val="0"/>
                <w:sz w:val="24"/>
              </w:rPr>
            </w:pPr>
            <w:bookmarkStart w:id="82" w:name="_Toc22887"/>
            <w:bookmarkStart w:id="83" w:name="_Toc4950"/>
            <w:r>
              <w:rPr>
                <w:rFonts w:hint="default" w:ascii="Times New Roman" w:hAnsi="Times New Roman" w:cs="Times New Roman"/>
                <w:color w:val="auto"/>
                <w:kern w:val="0"/>
                <w:sz w:val="24"/>
              </w:rPr>
              <w:t>（8）软水制备排污</w:t>
            </w:r>
            <w:bookmarkEnd w:id="82"/>
            <w:bookmarkEnd w:id="83"/>
          </w:p>
          <w:p w14:paraId="3A59CA6F">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项目软水制备装置排污量为67m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/d，废水为微酸性废水，主要污染为SS、COD、无机盐，废水经收集进入生产废水处理站进行处理，处理后回用于浊循环系统。</w:t>
            </w:r>
          </w:p>
          <w:p w14:paraId="21B7D985">
            <w:pPr>
              <w:numPr>
                <w:ilvl w:val="0"/>
                <w:numId w:val="3"/>
              </w:numPr>
              <w:spacing w:line="360" w:lineRule="auto"/>
              <w:ind w:firstLine="482" w:firstLineChars="200"/>
              <w:rPr>
                <w:rFonts w:hint="default" w:ascii="Times New Roman" w:hAnsi="Times New Roman" w:cs="Times New Roman"/>
                <w:b/>
                <w:bCs/>
                <w:color w:val="auto"/>
                <w:kern w:val="0"/>
                <w:sz w:val="24"/>
              </w:rPr>
            </w:pPr>
            <w:bookmarkStart w:id="84" w:name="_Toc32490"/>
            <w:bookmarkStart w:id="85" w:name="_Toc6998"/>
            <w:r>
              <w:rPr>
                <w:rFonts w:hint="default" w:ascii="Times New Roman" w:hAnsi="Times New Roman" w:cs="Times New Roman"/>
                <w:b/>
                <w:bCs/>
                <w:color w:val="auto"/>
                <w:kern w:val="0"/>
                <w:sz w:val="24"/>
              </w:rPr>
              <w:t>生活污水</w:t>
            </w:r>
            <w:bookmarkEnd w:id="84"/>
            <w:bookmarkEnd w:id="85"/>
          </w:p>
          <w:p w14:paraId="25208AF3">
            <w:pPr>
              <w:pStyle w:val="122"/>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rPr>
              <w:t>本项目生活污水产生量为8m</w:t>
            </w:r>
            <w:r>
              <w:rPr>
                <w:rFonts w:hint="default" w:ascii="Times New Roman" w:hAnsi="Times New Roman" w:cs="Times New Roman"/>
                <w:color w:val="auto"/>
                <w:sz w:val="24"/>
                <w:szCs w:val="24"/>
                <w:vertAlign w:val="superscript"/>
                <w:lang w:val="en-US"/>
              </w:rPr>
              <w:t>3</w:t>
            </w:r>
            <w:r>
              <w:rPr>
                <w:rFonts w:hint="default" w:ascii="Times New Roman" w:hAnsi="Times New Roman" w:cs="Times New Roman"/>
                <w:color w:val="auto"/>
                <w:sz w:val="24"/>
                <w:szCs w:val="24"/>
                <w:lang w:val="en-US"/>
              </w:rPr>
              <w:t>/d、2400m</w:t>
            </w:r>
            <w:r>
              <w:rPr>
                <w:rFonts w:hint="default" w:ascii="Times New Roman" w:hAnsi="Times New Roman" w:cs="Times New Roman"/>
                <w:color w:val="auto"/>
                <w:sz w:val="24"/>
                <w:szCs w:val="24"/>
                <w:vertAlign w:val="superscript"/>
                <w:lang w:val="en-US"/>
              </w:rPr>
              <w:t>3</w:t>
            </w:r>
            <w:r>
              <w:rPr>
                <w:rFonts w:hint="default" w:ascii="Times New Roman" w:hAnsi="Times New Roman" w:cs="Times New Roman"/>
                <w:color w:val="auto"/>
                <w:sz w:val="24"/>
                <w:szCs w:val="24"/>
              </w:rPr>
              <w:t>/a，主要污染物COD350mg/L、SS200mg/L、氨氮25mg/L、总磷3mg/L、动植物油</w:t>
            </w:r>
            <w:r>
              <w:rPr>
                <w:rFonts w:hint="default" w:ascii="Times New Roman" w:hAnsi="Times New Roman" w:cs="Times New Roman"/>
                <w:color w:val="auto"/>
                <w:sz w:val="24"/>
                <w:szCs w:val="24"/>
                <w:lang w:val="en-US"/>
              </w:rPr>
              <w:t>25</w:t>
            </w:r>
            <w:r>
              <w:rPr>
                <w:rFonts w:hint="default" w:ascii="Times New Roman" w:hAnsi="Times New Roman" w:cs="Times New Roman"/>
                <w:color w:val="auto"/>
                <w:sz w:val="24"/>
                <w:szCs w:val="24"/>
              </w:rPr>
              <w:t>mg/L。生活污水</w:t>
            </w:r>
            <w:r>
              <w:rPr>
                <w:rFonts w:hint="default" w:ascii="Times New Roman" w:hAnsi="Times New Roman" w:cs="Times New Roman"/>
                <w:color w:val="auto"/>
                <w:sz w:val="24"/>
                <w:szCs w:val="24"/>
                <w:lang w:val="en-US"/>
              </w:rPr>
              <w:t>经</w:t>
            </w:r>
            <w:r>
              <w:rPr>
                <w:rFonts w:hint="default" w:ascii="Times New Roman" w:hAnsi="Times New Roman" w:cs="Times New Roman"/>
                <w:color w:val="auto"/>
                <w:sz w:val="24"/>
                <w:szCs w:val="24"/>
              </w:rPr>
              <w:t>化粪池处理后满足《污水综合排放标准》（GB8978-1996）（表4）三级标准及《污水排入城镇下水道水质标准》（GB/T31962-2015）表1B等级标准</w:t>
            </w:r>
            <w:r>
              <w:rPr>
                <w:rFonts w:hint="default" w:ascii="Times New Roman" w:hAnsi="Times New Roman" w:cs="Times New Roman"/>
                <w:color w:val="auto"/>
                <w:sz w:val="24"/>
                <w:szCs w:val="24"/>
                <w:lang w:val="en-US"/>
              </w:rPr>
              <w:t>后</w:t>
            </w:r>
            <w:r>
              <w:rPr>
                <w:rFonts w:hint="default" w:ascii="Times New Roman" w:hAnsi="Times New Roman" w:cs="Times New Roman"/>
                <w:color w:val="auto"/>
                <w:szCs w:val="24"/>
              </w:rPr>
              <w:t>，</w:t>
            </w:r>
            <w:r>
              <w:rPr>
                <w:rFonts w:hint="default" w:ascii="Times New Roman" w:hAnsi="Times New Roman" w:cs="Times New Roman"/>
                <w:color w:val="auto"/>
                <w:sz w:val="24"/>
                <w:szCs w:val="24"/>
              </w:rPr>
              <w:t>进入园区污水处理厂处理。</w:t>
            </w:r>
          </w:p>
          <w:p w14:paraId="6C7F58A0">
            <w:pPr>
              <w:pStyle w:val="34"/>
              <w:spacing w:line="360" w:lineRule="auto"/>
              <w:ind w:left="0" w:leftChars="0" w:firstLine="0" w:firstLineChars="0"/>
              <w:rPr>
                <w:rFonts w:hint="default" w:ascii="Times New Roman" w:hAnsi="Times New Roman" w:eastAsia="黑体" w:cs="Times New Roman"/>
                <w:color w:val="auto"/>
              </w:rPr>
            </w:pPr>
            <w:r>
              <w:rPr>
                <w:rFonts w:hint="default" w:ascii="Times New Roman" w:hAnsi="Times New Roman" w:eastAsia="黑体" w:cs="Times New Roman"/>
                <w:color w:val="auto"/>
              </w:rPr>
              <w:t>3.3.3运营期噪声</w:t>
            </w:r>
          </w:p>
          <w:p w14:paraId="6C77F5D9">
            <w:pPr>
              <w:pStyle w:val="122"/>
              <w:ind w:firstLine="480"/>
              <w:jc w:val="both"/>
              <w:rPr>
                <w:rFonts w:hint="default" w:ascii="Times New Roman" w:hAnsi="Times New Roman" w:cs="Times New Roman"/>
                <w:color w:val="auto"/>
                <w:lang w:val="en-US"/>
              </w:rPr>
            </w:pPr>
            <w:r>
              <w:rPr>
                <w:rFonts w:hint="default" w:ascii="Times New Roman" w:hAnsi="Times New Roman" w:cs="Times New Roman"/>
                <w:color w:val="auto"/>
                <w:sz w:val="24"/>
                <w:szCs w:val="24"/>
                <w:lang w:val="en-US"/>
              </w:rPr>
              <w:t>本项目噪声源主要有开卷机、剪切机、收卷机、空压机、风机、水泵等，所有噪声源均位于相应的厂房内，源强为80~95dB(A)之间，噪声控制为设备减震、厂房隔声以及距离衰减等。</w:t>
            </w:r>
          </w:p>
          <w:p w14:paraId="511F6C42">
            <w:pPr>
              <w:pStyle w:val="34"/>
              <w:spacing w:line="360" w:lineRule="auto"/>
              <w:ind w:left="0" w:leftChars="0" w:firstLine="0" w:firstLineChars="0"/>
              <w:rPr>
                <w:rFonts w:hint="default" w:ascii="Times New Roman" w:hAnsi="Times New Roman" w:eastAsia="黑体" w:cs="Times New Roman"/>
                <w:color w:val="auto"/>
              </w:rPr>
            </w:pPr>
            <w:bookmarkStart w:id="86" w:name="_Toc14962"/>
            <w:r>
              <w:rPr>
                <w:rFonts w:hint="default" w:ascii="Times New Roman" w:hAnsi="Times New Roman" w:eastAsia="黑体" w:cs="Times New Roman"/>
                <w:color w:val="auto"/>
              </w:rPr>
              <w:t>3.3.4运营期固体废物</w:t>
            </w:r>
            <w:bookmarkEnd w:id="86"/>
          </w:p>
          <w:p w14:paraId="3D890581">
            <w:pPr>
              <w:pStyle w:val="111"/>
              <w:spacing w:line="360" w:lineRule="auto"/>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表2-21    本项目主要固废产生、处置及排放情况</w:t>
            </w:r>
          </w:p>
          <w:tbl>
            <w:tblPr>
              <w:tblStyle w:val="36"/>
              <w:tblW w:w="853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0"/>
              <w:gridCol w:w="1032"/>
              <w:gridCol w:w="813"/>
              <w:gridCol w:w="920"/>
              <w:gridCol w:w="1055"/>
              <w:gridCol w:w="693"/>
              <w:gridCol w:w="833"/>
              <w:gridCol w:w="1313"/>
              <w:gridCol w:w="1365"/>
            </w:tblGrid>
            <w:tr w14:paraId="3D5561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Borders>
                    <w:tl2br w:val="nil"/>
                    <w:tr2bl w:val="nil"/>
                  </w:tcBorders>
                  <w:vAlign w:val="center"/>
                </w:tcPr>
                <w:p w14:paraId="4CA5046C">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序号</w:t>
                  </w:r>
                </w:p>
              </w:tc>
              <w:tc>
                <w:tcPr>
                  <w:tcW w:w="604" w:type="pct"/>
                  <w:tcBorders>
                    <w:tl2br w:val="nil"/>
                    <w:tr2bl w:val="nil"/>
                  </w:tcBorders>
                  <w:vAlign w:val="center"/>
                </w:tcPr>
                <w:p w14:paraId="71A785EA">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产生环节</w:t>
                  </w:r>
                </w:p>
              </w:tc>
              <w:tc>
                <w:tcPr>
                  <w:tcW w:w="476" w:type="pct"/>
                  <w:tcBorders>
                    <w:tl2br w:val="nil"/>
                    <w:tr2bl w:val="nil"/>
                  </w:tcBorders>
                  <w:vAlign w:val="center"/>
                </w:tcPr>
                <w:p w14:paraId="42C94450">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固体废物名称</w:t>
                  </w:r>
                </w:p>
              </w:tc>
              <w:tc>
                <w:tcPr>
                  <w:tcW w:w="539" w:type="pct"/>
                  <w:tcBorders>
                    <w:tl2br w:val="nil"/>
                    <w:tr2bl w:val="nil"/>
                  </w:tcBorders>
                  <w:vAlign w:val="center"/>
                </w:tcPr>
                <w:p w14:paraId="3E4E96E4">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固废属性</w:t>
                  </w:r>
                </w:p>
              </w:tc>
              <w:tc>
                <w:tcPr>
                  <w:tcW w:w="618" w:type="pct"/>
                  <w:tcBorders>
                    <w:tl2br w:val="nil"/>
                    <w:tr2bl w:val="nil"/>
                  </w:tcBorders>
                  <w:vAlign w:val="center"/>
                </w:tcPr>
                <w:p w14:paraId="67FF7CE5">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废物类别及代码</w:t>
                  </w:r>
                </w:p>
              </w:tc>
              <w:tc>
                <w:tcPr>
                  <w:tcW w:w="406" w:type="pct"/>
                  <w:tcBorders>
                    <w:tl2br w:val="nil"/>
                    <w:tr2bl w:val="nil"/>
                  </w:tcBorders>
                  <w:vAlign w:val="center"/>
                </w:tcPr>
                <w:p w14:paraId="4F6755C0">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物理性状</w:t>
                  </w:r>
                </w:p>
              </w:tc>
              <w:tc>
                <w:tcPr>
                  <w:tcW w:w="488" w:type="pct"/>
                  <w:tcBorders>
                    <w:tl2br w:val="nil"/>
                    <w:tr2bl w:val="nil"/>
                  </w:tcBorders>
                  <w:vAlign w:val="center"/>
                </w:tcPr>
                <w:p w14:paraId="4A518A8E">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产生量（t/a）</w:t>
                  </w:r>
                </w:p>
              </w:tc>
              <w:tc>
                <w:tcPr>
                  <w:tcW w:w="768" w:type="pct"/>
                  <w:tcBorders>
                    <w:tl2br w:val="nil"/>
                    <w:tr2bl w:val="nil"/>
                  </w:tcBorders>
                  <w:vAlign w:val="center"/>
                </w:tcPr>
                <w:p w14:paraId="353D4154">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贮存方式</w:t>
                  </w:r>
                </w:p>
              </w:tc>
              <w:tc>
                <w:tcPr>
                  <w:tcW w:w="799" w:type="pct"/>
                  <w:tcBorders>
                    <w:tl2br w:val="nil"/>
                    <w:tr2bl w:val="nil"/>
                  </w:tcBorders>
                  <w:vAlign w:val="center"/>
                </w:tcPr>
                <w:p w14:paraId="0A0001E5">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最终去向</w:t>
                  </w:r>
                </w:p>
              </w:tc>
            </w:tr>
            <w:tr w14:paraId="7C7EF8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Borders>
                    <w:tl2br w:val="nil"/>
                    <w:tr2bl w:val="nil"/>
                  </w:tcBorders>
                  <w:vAlign w:val="center"/>
                </w:tcPr>
                <w:p w14:paraId="0F8AEF0E">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S1</w:t>
                  </w:r>
                </w:p>
              </w:tc>
              <w:tc>
                <w:tcPr>
                  <w:tcW w:w="604" w:type="pct"/>
                  <w:tcBorders>
                    <w:tl2br w:val="nil"/>
                    <w:tr2bl w:val="nil"/>
                  </w:tcBorders>
                  <w:vAlign w:val="center"/>
                </w:tcPr>
                <w:p w14:paraId="6001A75A">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职工生活</w:t>
                  </w:r>
                </w:p>
              </w:tc>
              <w:tc>
                <w:tcPr>
                  <w:tcW w:w="476" w:type="pct"/>
                  <w:tcBorders>
                    <w:tl2br w:val="nil"/>
                    <w:tr2bl w:val="nil"/>
                  </w:tcBorders>
                  <w:vAlign w:val="center"/>
                </w:tcPr>
                <w:p w14:paraId="3A7E1B89">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生活垃圾</w:t>
                  </w:r>
                </w:p>
              </w:tc>
              <w:tc>
                <w:tcPr>
                  <w:tcW w:w="539" w:type="pct"/>
                  <w:tcBorders>
                    <w:tl2br w:val="nil"/>
                    <w:tr2bl w:val="nil"/>
                  </w:tcBorders>
                  <w:vAlign w:val="center"/>
                </w:tcPr>
                <w:p w14:paraId="12F32992">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一般固体废物</w:t>
                  </w:r>
                </w:p>
              </w:tc>
              <w:tc>
                <w:tcPr>
                  <w:tcW w:w="618" w:type="pct"/>
                  <w:tcBorders>
                    <w:tl2br w:val="nil"/>
                    <w:tr2bl w:val="nil"/>
                  </w:tcBorders>
                  <w:vAlign w:val="center"/>
                </w:tcPr>
                <w:p w14:paraId="158E6E81">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p>
              </w:tc>
              <w:tc>
                <w:tcPr>
                  <w:tcW w:w="406" w:type="pct"/>
                  <w:tcBorders>
                    <w:tl2br w:val="nil"/>
                    <w:tr2bl w:val="nil"/>
                  </w:tcBorders>
                  <w:vAlign w:val="center"/>
                </w:tcPr>
                <w:p w14:paraId="143201A4">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固体</w:t>
                  </w:r>
                </w:p>
              </w:tc>
              <w:tc>
                <w:tcPr>
                  <w:tcW w:w="488" w:type="pct"/>
                  <w:tcBorders>
                    <w:tl2br w:val="nil"/>
                    <w:tr2bl w:val="nil"/>
                  </w:tcBorders>
                  <w:vAlign w:val="center"/>
                </w:tcPr>
                <w:p w14:paraId="5D759B96">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15</w:t>
                  </w:r>
                </w:p>
              </w:tc>
              <w:tc>
                <w:tcPr>
                  <w:tcW w:w="768" w:type="pct"/>
                  <w:tcBorders>
                    <w:tl2br w:val="nil"/>
                    <w:tr2bl w:val="nil"/>
                  </w:tcBorders>
                  <w:vAlign w:val="center"/>
                </w:tcPr>
                <w:p w14:paraId="03DEAD60">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生活垃圾桶</w:t>
                  </w:r>
                </w:p>
              </w:tc>
              <w:tc>
                <w:tcPr>
                  <w:tcW w:w="799" w:type="pct"/>
                  <w:tcBorders>
                    <w:tl2br w:val="nil"/>
                    <w:tr2bl w:val="nil"/>
                  </w:tcBorders>
                  <w:vAlign w:val="center"/>
                </w:tcPr>
                <w:p w14:paraId="10ADF439">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统一收集后运至园区垃圾收集点处理</w:t>
                  </w:r>
                </w:p>
              </w:tc>
            </w:tr>
            <w:tr w14:paraId="5F9BCE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Borders>
                    <w:tl2br w:val="nil"/>
                    <w:tr2bl w:val="nil"/>
                  </w:tcBorders>
                  <w:vAlign w:val="center"/>
                </w:tcPr>
                <w:p w14:paraId="2E21CF6F">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S2</w:t>
                  </w:r>
                </w:p>
              </w:tc>
              <w:tc>
                <w:tcPr>
                  <w:tcW w:w="604" w:type="pct"/>
                  <w:tcBorders>
                    <w:tl2br w:val="nil"/>
                    <w:tr2bl w:val="nil"/>
                  </w:tcBorders>
                  <w:vAlign w:val="center"/>
                </w:tcPr>
                <w:p w14:paraId="621F95B0">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带头带尾剪切</w:t>
                  </w:r>
                </w:p>
              </w:tc>
              <w:tc>
                <w:tcPr>
                  <w:tcW w:w="476" w:type="pct"/>
                  <w:tcBorders>
                    <w:tl2br w:val="nil"/>
                    <w:tr2bl w:val="nil"/>
                  </w:tcBorders>
                  <w:vAlign w:val="center"/>
                </w:tcPr>
                <w:p w14:paraId="70BE5BE6">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废边角料</w:t>
                  </w:r>
                </w:p>
                <w:p w14:paraId="51D87406">
                  <w:pPr>
                    <w:adjustRightInd w:val="0"/>
                    <w:snapToGrid w:val="0"/>
                    <w:jc w:val="center"/>
                    <w:rPr>
                      <w:rFonts w:hint="default" w:ascii="Times New Roman" w:hAnsi="Times New Roman" w:cs="Times New Roman"/>
                      <w:bCs/>
                      <w:color w:val="auto"/>
                      <w:sz w:val="18"/>
                      <w:szCs w:val="18"/>
                    </w:rPr>
                  </w:pPr>
                </w:p>
              </w:tc>
              <w:tc>
                <w:tcPr>
                  <w:tcW w:w="539" w:type="pct"/>
                  <w:tcBorders>
                    <w:tl2br w:val="nil"/>
                    <w:tr2bl w:val="nil"/>
                  </w:tcBorders>
                  <w:vAlign w:val="center"/>
                </w:tcPr>
                <w:p w14:paraId="77E7F28D">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一般固体废物</w:t>
                  </w:r>
                </w:p>
              </w:tc>
              <w:tc>
                <w:tcPr>
                  <w:tcW w:w="618" w:type="pct"/>
                  <w:tcBorders>
                    <w:tl2br w:val="nil"/>
                    <w:tr2bl w:val="nil"/>
                  </w:tcBorders>
                  <w:vAlign w:val="center"/>
                </w:tcPr>
                <w:p w14:paraId="18510C67">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p>
              </w:tc>
              <w:tc>
                <w:tcPr>
                  <w:tcW w:w="406" w:type="pct"/>
                  <w:tcBorders>
                    <w:tl2br w:val="nil"/>
                    <w:tr2bl w:val="nil"/>
                  </w:tcBorders>
                  <w:vAlign w:val="center"/>
                </w:tcPr>
                <w:p w14:paraId="78558496">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固体</w:t>
                  </w:r>
                </w:p>
              </w:tc>
              <w:tc>
                <w:tcPr>
                  <w:tcW w:w="488" w:type="pct"/>
                  <w:tcBorders>
                    <w:tl2br w:val="nil"/>
                    <w:tr2bl w:val="nil"/>
                  </w:tcBorders>
                  <w:vAlign w:val="center"/>
                </w:tcPr>
                <w:p w14:paraId="03CC5F0A">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784.72</w:t>
                  </w:r>
                </w:p>
              </w:tc>
              <w:tc>
                <w:tcPr>
                  <w:tcW w:w="768" w:type="pct"/>
                  <w:tcBorders>
                    <w:tl2br w:val="nil"/>
                    <w:tr2bl w:val="nil"/>
                  </w:tcBorders>
                  <w:vAlign w:val="center"/>
                </w:tcPr>
                <w:p w14:paraId="5266AF84">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暂存一般固体废物暂存间</w:t>
                  </w:r>
                </w:p>
              </w:tc>
              <w:tc>
                <w:tcPr>
                  <w:tcW w:w="799" w:type="pct"/>
                  <w:tcBorders>
                    <w:tl2br w:val="nil"/>
                    <w:tr2bl w:val="nil"/>
                  </w:tcBorders>
                  <w:vAlign w:val="center"/>
                </w:tcPr>
                <w:p w14:paraId="48682D39">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外售</w:t>
                  </w:r>
                </w:p>
              </w:tc>
            </w:tr>
            <w:tr w14:paraId="6DF42D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Borders>
                    <w:tl2br w:val="nil"/>
                    <w:tr2bl w:val="nil"/>
                  </w:tcBorders>
                  <w:vAlign w:val="center"/>
                </w:tcPr>
                <w:p w14:paraId="774D184D">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S3</w:t>
                  </w:r>
                </w:p>
              </w:tc>
              <w:tc>
                <w:tcPr>
                  <w:tcW w:w="604" w:type="pct"/>
                  <w:tcBorders>
                    <w:tl2br w:val="nil"/>
                    <w:tr2bl w:val="nil"/>
                  </w:tcBorders>
                  <w:vAlign w:val="center"/>
                </w:tcPr>
                <w:p w14:paraId="63AA3715">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剥皮机</w:t>
                  </w:r>
                </w:p>
              </w:tc>
              <w:tc>
                <w:tcPr>
                  <w:tcW w:w="476" w:type="pct"/>
                  <w:tcBorders>
                    <w:tl2br w:val="nil"/>
                    <w:tr2bl w:val="nil"/>
                  </w:tcBorders>
                  <w:vAlign w:val="center"/>
                </w:tcPr>
                <w:p w14:paraId="14101D3D">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氧化铁皮</w:t>
                  </w:r>
                </w:p>
              </w:tc>
              <w:tc>
                <w:tcPr>
                  <w:tcW w:w="539" w:type="pct"/>
                  <w:tcBorders>
                    <w:tl2br w:val="nil"/>
                    <w:tr2bl w:val="nil"/>
                  </w:tcBorders>
                  <w:vAlign w:val="center"/>
                </w:tcPr>
                <w:p w14:paraId="493E6342">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一般固体废物</w:t>
                  </w:r>
                </w:p>
              </w:tc>
              <w:tc>
                <w:tcPr>
                  <w:tcW w:w="618" w:type="pct"/>
                  <w:tcBorders>
                    <w:tl2br w:val="nil"/>
                    <w:tr2bl w:val="nil"/>
                  </w:tcBorders>
                  <w:vAlign w:val="center"/>
                </w:tcPr>
                <w:p w14:paraId="7972BA5B">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p>
              </w:tc>
              <w:tc>
                <w:tcPr>
                  <w:tcW w:w="406" w:type="pct"/>
                  <w:tcBorders>
                    <w:tl2br w:val="nil"/>
                    <w:tr2bl w:val="nil"/>
                  </w:tcBorders>
                  <w:vAlign w:val="center"/>
                </w:tcPr>
                <w:p w14:paraId="41643E07">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固体</w:t>
                  </w:r>
                </w:p>
              </w:tc>
              <w:tc>
                <w:tcPr>
                  <w:tcW w:w="488" w:type="pct"/>
                  <w:tcBorders>
                    <w:tl2br w:val="nil"/>
                    <w:tr2bl w:val="nil"/>
                  </w:tcBorders>
                  <w:vAlign w:val="center"/>
                </w:tcPr>
                <w:p w14:paraId="3DAC6DE2">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768" w:type="pct"/>
                  <w:tcBorders>
                    <w:tl2br w:val="nil"/>
                    <w:tr2bl w:val="nil"/>
                  </w:tcBorders>
                  <w:vAlign w:val="center"/>
                </w:tcPr>
                <w:p w14:paraId="1B003AB1">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暂存一般固体废物暂存间</w:t>
                  </w:r>
                </w:p>
              </w:tc>
              <w:tc>
                <w:tcPr>
                  <w:tcW w:w="799" w:type="pct"/>
                  <w:tcBorders>
                    <w:tl2br w:val="nil"/>
                    <w:tr2bl w:val="nil"/>
                  </w:tcBorders>
                  <w:vAlign w:val="center"/>
                </w:tcPr>
                <w:p w14:paraId="72D845A1">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外售</w:t>
                  </w:r>
                </w:p>
              </w:tc>
            </w:tr>
            <w:tr w14:paraId="756375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Borders>
                    <w:tl2br w:val="nil"/>
                    <w:tr2bl w:val="nil"/>
                  </w:tcBorders>
                  <w:vAlign w:val="center"/>
                </w:tcPr>
                <w:p w14:paraId="4B850C16">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S4</w:t>
                  </w:r>
                </w:p>
              </w:tc>
              <w:tc>
                <w:tcPr>
                  <w:tcW w:w="604" w:type="pct"/>
                  <w:tcBorders>
                    <w:tl2br w:val="nil"/>
                    <w:tr2bl w:val="nil"/>
                  </w:tcBorders>
                  <w:vAlign w:val="center"/>
                </w:tcPr>
                <w:p w14:paraId="4A2D7DEF">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原料处理布袋除尘器</w:t>
                  </w:r>
                </w:p>
              </w:tc>
              <w:tc>
                <w:tcPr>
                  <w:tcW w:w="476" w:type="pct"/>
                  <w:tcBorders>
                    <w:tl2br w:val="nil"/>
                    <w:tr2bl w:val="nil"/>
                  </w:tcBorders>
                  <w:vAlign w:val="center"/>
                </w:tcPr>
                <w:p w14:paraId="4E4520C6">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原料处理收尘灰</w:t>
                  </w:r>
                </w:p>
              </w:tc>
              <w:tc>
                <w:tcPr>
                  <w:tcW w:w="539" w:type="pct"/>
                  <w:tcBorders>
                    <w:tl2br w:val="nil"/>
                    <w:tr2bl w:val="nil"/>
                  </w:tcBorders>
                  <w:vAlign w:val="center"/>
                </w:tcPr>
                <w:p w14:paraId="4D073BCC">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一般固体废物</w:t>
                  </w:r>
                </w:p>
              </w:tc>
              <w:tc>
                <w:tcPr>
                  <w:tcW w:w="618" w:type="pct"/>
                  <w:tcBorders>
                    <w:tl2br w:val="nil"/>
                    <w:tr2bl w:val="nil"/>
                  </w:tcBorders>
                  <w:vAlign w:val="center"/>
                </w:tcPr>
                <w:p w14:paraId="298DE238">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p>
              </w:tc>
              <w:tc>
                <w:tcPr>
                  <w:tcW w:w="406" w:type="pct"/>
                  <w:tcBorders>
                    <w:tl2br w:val="nil"/>
                    <w:tr2bl w:val="nil"/>
                  </w:tcBorders>
                  <w:vAlign w:val="center"/>
                </w:tcPr>
                <w:p w14:paraId="432C4168">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固体</w:t>
                  </w:r>
                </w:p>
              </w:tc>
              <w:tc>
                <w:tcPr>
                  <w:tcW w:w="488" w:type="pct"/>
                  <w:tcBorders>
                    <w:tl2br w:val="nil"/>
                    <w:tr2bl w:val="nil"/>
                  </w:tcBorders>
                  <w:vAlign w:val="center"/>
                </w:tcPr>
                <w:p w14:paraId="13D5FC10">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371.25</w:t>
                  </w:r>
                </w:p>
              </w:tc>
              <w:tc>
                <w:tcPr>
                  <w:tcW w:w="768" w:type="pct"/>
                  <w:tcBorders>
                    <w:tl2br w:val="nil"/>
                    <w:tr2bl w:val="nil"/>
                  </w:tcBorders>
                  <w:vAlign w:val="center"/>
                </w:tcPr>
                <w:p w14:paraId="1333BE05">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暂存一般固体废物暂存间</w:t>
                  </w:r>
                </w:p>
              </w:tc>
              <w:tc>
                <w:tcPr>
                  <w:tcW w:w="799" w:type="pct"/>
                  <w:tcBorders>
                    <w:tl2br w:val="nil"/>
                    <w:tr2bl w:val="nil"/>
                  </w:tcBorders>
                  <w:vAlign w:val="center"/>
                </w:tcPr>
                <w:p w14:paraId="430D6EE1">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外售</w:t>
                  </w:r>
                </w:p>
              </w:tc>
            </w:tr>
            <w:tr w14:paraId="31F7F4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Borders>
                    <w:tl2br w:val="nil"/>
                    <w:tr2bl w:val="nil"/>
                  </w:tcBorders>
                  <w:vAlign w:val="center"/>
                </w:tcPr>
                <w:p w14:paraId="03AEA8F6">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S5</w:t>
                  </w:r>
                </w:p>
              </w:tc>
              <w:tc>
                <w:tcPr>
                  <w:tcW w:w="604" w:type="pct"/>
                  <w:tcBorders>
                    <w:tl2br w:val="nil"/>
                    <w:tr2bl w:val="nil"/>
                  </w:tcBorders>
                  <w:vAlign w:val="center"/>
                </w:tcPr>
                <w:p w14:paraId="5E94A607">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轧机</w:t>
                  </w:r>
                </w:p>
              </w:tc>
              <w:tc>
                <w:tcPr>
                  <w:tcW w:w="476" w:type="pct"/>
                  <w:tcBorders>
                    <w:tl2br w:val="nil"/>
                    <w:tr2bl w:val="nil"/>
                  </w:tcBorders>
                  <w:vAlign w:val="center"/>
                </w:tcPr>
                <w:p w14:paraId="07B25162">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废轧辊</w:t>
                  </w:r>
                </w:p>
              </w:tc>
              <w:tc>
                <w:tcPr>
                  <w:tcW w:w="539" w:type="pct"/>
                  <w:tcBorders>
                    <w:tl2br w:val="nil"/>
                    <w:tr2bl w:val="nil"/>
                  </w:tcBorders>
                  <w:vAlign w:val="center"/>
                </w:tcPr>
                <w:p w14:paraId="5EE8D339">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一般固体废物</w:t>
                  </w:r>
                </w:p>
              </w:tc>
              <w:tc>
                <w:tcPr>
                  <w:tcW w:w="618" w:type="pct"/>
                  <w:tcBorders>
                    <w:tl2br w:val="nil"/>
                    <w:tr2bl w:val="nil"/>
                  </w:tcBorders>
                  <w:vAlign w:val="center"/>
                </w:tcPr>
                <w:p w14:paraId="24FC1B82">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p>
              </w:tc>
              <w:tc>
                <w:tcPr>
                  <w:tcW w:w="406" w:type="pct"/>
                  <w:tcBorders>
                    <w:tl2br w:val="nil"/>
                    <w:tr2bl w:val="nil"/>
                  </w:tcBorders>
                  <w:vAlign w:val="center"/>
                </w:tcPr>
                <w:p w14:paraId="76B80FFB">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固体</w:t>
                  </w:r>
                </w:p>
              </w:tc>
              <w:tc>
                <w:tcPr>
                  <w:tcW w:w="488" w:type="pct"/>
                  <w:tcBorders>
                    <w:tl2br w:val="nil"/>
                    <w:tr2bl w:val="nil"/>
                  </w:tcBorders>
                  <w:vAlign w:val="center"/>
                </w:tcPr>
                <w:p w14:paraId="0E4A1483">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45</w:t>
                  </w:r>
                </w:p>
              </w:tc>
              <w:tc>
                <w:tcPr>
                  <w:tcW w:w="768" w:type="pct"/>
                  <w:tcBorders>
                    <w:tl2br w:val="nil"/>
                    <w:tr2bl w:val="nil"/>
                  </w:tcBorders>
                  <w:vAlign w:val="center"/>
                </w:tcPr>
                <w:p w14:paraId="4B0190AC">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暂存一般固体废物暂存间</w:t>
                  </w:r>
                </w:p>
              </w:tc>
              <w:tc>
                <w:tcPr>
                  <w:tcW w:w="799" w:type="pct"/>
                  <w:tcBorders>
                    <w:tl2br w:val="nil"/>
                    <w:tr2bl w:val="nil"/>
                  </w:tcBorders>
                  <w:vAlign w:val="center"/>
                </w:tcPr>
                <w:p w14:paraId="16180156">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外卖给废旧资源回收单位</w:t>
                  </w:r>
                </w:p>
              </w:tc>
            </w:tr>
            <w:tr w14:paraId="7CEF63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Borders>
                    <w:tl2br w:val="nil"/>
                    <w:tr2bl w:val="nil"/>
                  </w:tcBorders>
                  <w:vAlign w:val="center"/>
                </w:tcPr>
                <w:p w14:paraId="106A6A3A">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S6</w:t>
                  </w:r>
                </w:p>
              </w:tc>
              <w:tc>
                <w:tcPr>
                  <w:tcW w:w="604" w:type="pct"/>
                  <w:tcBorders>
                    <w:tl2br w:val="nil"/>
                    <w:tr2bl w:val="nil"/>
                  </w:tcBorders>
                  <w:vAlign w:val="center"/>
                </w:tcPr>
                <w:p w14:paraId="5D79E33F">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氨分解系统</w:t>
                  </w:r>
                </w:p>
              </w:tc>
              <w:tc>
                <w:tcPr>
                  <w:tcW w:w="476" w:type="pct"/>
                  <w:tcBorders>
                    <w:tl2br w:val="nil"/>
                    <w:tr2bl w:val="nil"/>
                  </w:tcBorders>
                  <w:vAlign w:val="center"/>
                </w:tcPr>
                <w:p w14:paraId="280FE039">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废分子筛</w:t>
                  </w:r>
                </w:p>
              </w:tc>
              <w:tc>
                <w:tcPr>
                  <w:tcW w:w="539" w:type="pct"/>
                  <w:tcBorders>
                    <w:tl2br w:val="nil"/>
                    <w:tr2bl w:val="nil"/>
                  </w:tcBorders>
                  <w:vAlign w:val="center"/>
                </w:tcPr>
                <w:p w14:paraId="0419B99C">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一般固体废物</w:t>
                  </w:r>
                </w:p>
              </w:tc>
              <w:tc>
                <w:tcPr>
                  <w:tcW w:w="618" w:type="pct"/>
                  <w:tcBorders>
                    <w:tl2br w:val="nil"/>
                    <w:tr2bl w:val="nil"/>
                  </w:tcBorders>
                  <w:vAlign w:val="center"/>
                </w:tcPr>
                <w:p w14:paraId="69F25369">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p>
              </w:tc>
              <w:tc>
                <w:tcPr>
                  <w:tcW w:w="406" w:type="pct"/>
                  <w:tcBorders>
                    <w:tl2br w:val="nil"/>
                    <w:tr2bl w:val="nil"/>
                  </w:tcBorders>
                  <w:vAlign w:val="center"/>
                </w:tcPr>
                <w:p w14:paraId="1076D6C3">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固体</w:t>
                  </w:r>
                </w:p>
              </w:tc>
              <w:tc>
                <w:tcPr>
                  <w:tcW w:w="488" w:type="pct"/>
                  <w:tcBorders>
                    <w:tl2br w:val="nil"/>
                    <w:tr2bl w:val="nil"/>
                  </w:tcBorders>
                  <w:vAlign w:val="center"/>
                </w:tcPr>
                <w:p w14:paraId="3A19B4BB">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2.3</w:t>
                  </w:r>
                </w:p>
              </w:tc>
              <w:tc>
                <w:tcPr>
                  <w:tcW w:w="768" w:type="pct"/>
                  <w:tcBorders>
                    <w:tl2br w:val="nil"/>
                    <w:tr2bl w:val="nil"/>
                  </w:tcBorders>
                  <w:vAlign w:val="center"/>
                </w:tcPr>
                <w:p w14:paraId="07374520">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暂存一般固体废物暂存间</w:t>
                  </w:r>
                </w:p>
              </w:tc>
              <w:tc>
                <w:tcPr>
                  <w:tcW w:w="799" w:type="pct"/>
                  <w:tcBorders>
                    <w:tl2br w:val="nil"/>
                    <w:tr2bl w:val="nil"/>
                  </w:tcBorders>
                  <w:vAlign w:val="center"/>
                </w:tcPr>
                <w:p w14:paraId="6E639245">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交由厂家回收再生</w:t>
                  </w:r>
                </w:p>
              </w:tc>
            </w:tr>
            <w:tr w14:paraId="365B60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Borders>
                    <w:tl2br w:val="nil"/>
                    <w:tr2bl w:val="nil"/>
                  </w:tcBorders>
                  <w:vAlign w:val="center"/>
                </w:tcPr>
                <w:p w14:paraId="06C3E232">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S7</w:t>
                  </w:r>
                </w:p>
              </w:tc>
              <w:tc>
                <w:tcPr>
                  <w:tcW w:w="604" w:type="pct"/>
                  <w:tcBorders>
                    <w:tl2br w:val="nil"/>
                    <w:tr2bl w:val="nil"/>
                  </w:tcBorders>
                  <w:vAlign w:val="center"/>
                </w:tcPr>
                <w:p w14:paraId="23C951F0">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软水站、脱盐水站</w:t>
                  </w:r>
                </w:p>
              </w:tc>
              <w:tc>
                <w:tcPr>
                  <w:tcW w:w="476" w:type="pct"/>
                  <w:tcBorders>
                    <w:tl2br w:val="nil"/>
                    <w:tr2bl w:val="nil"/>
                  </w:tcBorders>
                  <w:vAlign w:val="center"/>
                </w:tcPr>
                <w:p w14:paraId="7D591962">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废膜</w:t>
                  </w:r>
                </w:p>
              </w:tc>
              <w:tc>
                <w:tcPr>
                  <w:tcW w:w="539" w:type="pct"/>
                  <w:tcBorders>
                    <w:tl2br w:val="nil"/>
                    <w:tr2bl w:val="nil"/>
                  </w:tcBorders>
                  <w:vAlign w:val="center"/>
                </w:tcPr>
                <w:p w14:paraId="5E2FC374">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一般固体废物</w:t>
                  </w:r>
                </w:p>
              </w:tc>
              <w:tc>
                <w:tcPr>
                  <w:tcW w:w="618" w:type="pct"/>
                  <w:tcBorders>
                    <w:tl2br w:val="nil"/>
                    <w:tr2bl w:val="nil"/>
                  </w:tcBorders>
                  <w:vAlign w:val="center"/>
                </w:tcPr>
                <w:p w14:paraId="696A26E9">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p>
              </w:tc>
              <w:tc>
                <w:tcPr>
                  <w:tcW w:w="406" w:type="pct"/>
                  <w:tcBorders>
                    <w:tl2br w:val="nil"/>
                    <w:tr2bl w:val="nil"/>
                  </w:tcBorders>
                  <w:vAlign w:val="center"/>
                </w:tcPr>
                <w:p w14:paraId="28639675">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固体</w:t>
                  </w:r>
                </w:p>
              </w:tc>
              <w:tc>
                <w:tcPr>
                  <w:tcW w:w="488" w:type="pct"/>
                  <w:tcBorders>
                    <w:tl2br w:val="nil"/>
                    <w:tr2bl w:val="nil"/>
                  </w:tcBorders>
                  <w:vAlign w:val="center"/>
                </w:tcPr>
                <w:p w14:paraId="0F8FC9DE">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768" w:type="pct"/>
                  <w:tcBorders>
                    <w:tl2br w:val="nil"/>
                    <w:tr2bl w:val="nil"/>
                  </w:tcBorders>
                  <w:vAlign w:val="center"/>
                </w:tcPr>
                <w:p w14:paraId="1A400871">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暂存一般固体废物暂存间</w:t>
                  </w:r>
                </w:p>
              </w:tc>
              <w:tc>
                <w:tcPr>
                  <w:tcW w:w="799" w:type="pct"/>
                  <w:tcBorders>
                    <w:tl2br w:val="nil"/>
                    <w:tr2bl w:val="nil"/>
                  </w:tcBorders>
                  <w:vAlign w:val="center"/>
                </w:tcPr>
                <w:p w14:paraId="259092C5">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交由厂家回收再生</w:t>
                  </w:r>
                </w:p>
              </w:tc>
            </w:tr>
            <w:tr w14:paraId="2210DE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Borders>
                    <w:tl2br w:val="nil"/>
                    <w:tr2bl w:val="nil"/>
                  </w:tcBorders>
                  <w:vAlign w:val="center"/>
                </w:tcPr>
                <w:p w14:paraId="6A917BD7">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S8</w:t>
                  </w:r>
                </w:p>
              </w:tc>
              <w:tc>
                <w:tcPr>
                  <w:tcW w:w="604" w:type="pct"/>
                  <w:tcBorders>
                    <w:tl2br w:val="nil"/>
                    <w:tr2bl w:val="nil"/>
                  </w:tcBorders>
                  <w:vAlign w:val="center"/>
                </w:tcPr>
                <w:p w14:paraId="6A48DE8A">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原料包装</w:t>
                  </w:r>
                </w:p>
              </w:tc>
              <w:tc>
                <w:tcPr>
                  <w:tcW w:w="476" w:type="pct"/>
                  <w:tcBorders>
                    <w:tl2br w:val="nil"/>
                    <w:tr2bl w:val="nil"/>
                  </w:tcBorders>
                  <w:vAlign w:val="center"/>
                </w:tcPr>
                <w:p w14:paraId="088E4282">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废弃包装物</w:t>
                  </w:r>
                </w:p>
              </w:tc>
              <w:tc>
                <w:tcPr>
                  <w:tcW w:w="539" w:type="pct"/>
                  <w:tcBorders>
                    <w:tl2br w:val="nil"/>
                    <w:tr2bl w:val="nil"/>
                  </w:tcBorders>
                  <w:vAlign w:val="center"/>
                </w:tcPr>
                <w:p w14:paraId="549A17B1">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一般固体废物</w:t>
                  </w:r>
                </w:p>
              </w:tc>
              <w:tc>
                <w:tcPr>
                  <w:tcW w:w="618" w:type="pct"/>
                  <w:tcBorders>
                    <w:tl2br w:val="nil"/>
                    <w:tr2bl w:val="nil"/>
                  </w:tcBorders>
                  <w:vAlign w:val="center"/>
                </w:tcPr>
                <w:p w14:paraId="368BD06C">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p>
              </w:tc>
              <w:tc>
                <w:tcPr>
                  <w:tcW w:w="406" w:type="pct"/>
                  <w:tcBorders>
                    <w:tl2br w:val="nil"/>
                    <w:tr2bl w:val="nil"/>
                  </w:tcBorders>
                  <w:vAlign w:val="center"/>
                </w:tcPr>
                <w:p w14:paraId="2CC78106">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固体</w:t>
                  </w:r>
                </w:p>
              </w:tc>
              <w:tc>
                <w:tcPr>
                  <w:tcW w:w="488" w:type="pct"/>
                  <w:tcBorders>
                    <w:tl2br w:val="nil"/>
                    <w:tr2bl w:val="nil"/>
                  </w:tcBorders>
                  <w:vAlign w:val="center"/>
                </w:tcPr>
                <w:p w14:paraId="7CAD8916">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1.3</w:t>
                  </w:r>
                </w:p>
              </w:tc>
              <w:tc>
                <w:tcPr>
                  <w:tcW w:w="768" w:type="pct"/>
                  <w:tcBorders>
                    <w:tl2br w:val="nil"/>
                    <w:tr2bl w:val="nil"/>
                  </w:tcBorders>
                  <w:vAlign w:val="center"/>
                </w:tcPr>
                <w:p w14:paraId="2870FCE4">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暂存一般固体废物暂存间</w:t>
                  </w:r>
                </w:p>
              </w:tc>
              <w:tc>
                <w:tcPr>
                  <w:tcW w:w="799" w:type="pct"/>
                  <w:tcBorders>
                    <w:tl2br w:val="nil"/>
                    <w:tr2bl w:val="nil"/>
                  </w:tcBorders>
                  <w:vAlign w:val="center"/>
                </w:tcPr>
                <w:p w14:paraId="11A27FE3">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外卖给废旧资源回收单位</w:t>
                  </w:r>
                </w:p>
              </w:tc>
            </w:tr>
            <w:tr w14:paraId="74C5E5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Borders>
                    <w:tl2br w:val="nil"/>
                    <w:tr2bl w:val="nil"/>
                  </w:tcBorders>
                  <w:vAlign w:val="center"/>
                </w:tcPr>
                <w:p w14:paraId="7C3EBAA0">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S9</w:t>
                  </w:r>
                </w:p>
              </w:tc>
              <w:tc>
                <w:tcPr>
                  <w:tcW w:w="604" w:type="pct"/>
                  <w:tcBorders>
                    <w:tl2br w:val="nil"/>
                    <w:tr2bl w:val="nil"/>
                  </w:tcBorders>
                  <w:vAlign w:val="center"/>
                </w:tcPr>
                <w:p w14:paraId="0D8A7986">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油雾净化</w:t>
                  </w:r>
                </w:p>
              </w:tc>
              <w:tc>
                <w:tcPr>
                  <w:tcW w:w="476" w:type="pct"/>
                  <w:tcBorders>
                    <w:tl2br w:val="nil"/>
                    <w:tr2bl w:val="nil"/>
                  </w:tcBorders>
                  <w:vAlign w:val="center"/>
                </w:tcPr>
                <w:p w14:paraId="1464C4A7">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油雾净化器收集的废油</w:t>
                  </w:r>
                </w:p>
              </w:tc>
              <w:tc>
                <w:tcPr>
                  <w:tcW w:w="539" w:type="pct"/>
                  <w:tcBorders>
                    <w:tl2br w:val="nil"/>
                    <w:tr2bl w:val="nil"/>
                  </w:tcBorders>
                  <w:vAlign w:val="center"/>
                </w:tcPr>
                <w:p w14:paraId="78D8EC44">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危险废物</w:t>
                  </w:r>
                </w:p>
              </w:tc>
              <w:tc>
                <w:tcPr>
                  <w:tcW w:w="618" w:type="pct"/>
                  <w:tcBorders>
                    <w:tl2br w:val="nil"/>
                    <w:tr2bl w:val="nil"/>
                  </w:tcBorders>
                  <w:vAlign w:val="center"/>
                </w:tcPr>
                <w:p w14:paraId="34ECF659">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900-204-08</w:t>
                  </w:r>
                </w:p>
              </w:tc>
              <w:tc>
                <w:tcPr>
                  <w:tcW w:w="406" w:type="pct"/>
                  <w:tcBorders>
                    <w:tl2br w:val="nil"/>
                    <w:tr2bl w:val="nil"/>
                  </w:tcBorders>
                  <w:vAlign w:val="center"/>
                </w:tcPr>
                <w:p w14:paraId="01B381BD">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固体</w:t>
                  </w:r>
                </w:p>
              </w:tc>
              <w:tc>
                <w:tcPr>
                  <w:tcW w:w="488" w:type="pct"/>
                  <w:tcBorders>
                    <w:tl2br w:val="nil"/>
                    <w:tr2bl w:val="nil"/>
                  </w:tcBorders>
                  <w:vAlign w:val="center"/>
                </w:tcPr>
                <w:p w14:paraId="5E84D51F">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4.58</w:t>
                  </w:r>
                </w:p>
              </w:tc>
              <w:tc>
                <w:tcPr>
                  <w:tcW w:w="768" w:type="pct"/>
                  <w:tcBorders>
                    <w:tl2br w:val="nil"/>
                    <w:tr2bl w:val="nil"/>
                  </w:tcBorders>
                  <w:vAlign w:val="center"/>
                </w:tcPr>
                <w:p w14:paraId="28F0FF93">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危险废物贮存库</w:t>
                  </w:r>
                </w:p>
              </w:tc>
              <w:tc>
                <w:tcPr>
                  <w:tcW w:w="799" w:type="pct"/>
                  <w:tcBorders>
                    <w:tl2br w:val="nil"/>
                    <w:tr2bl w:val="nil"/>
                  </w:tcBorders>
                  <w:vAlign w:val="center"/>
                </w:tcPr>
                <w:p w14:paraId="408977CE">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委托有资质的危废处置单位处置</w:t>
                  </w:r>
                </w:p>
              </w:tc>
            </w:tr>
            <w:tr w14:paraId="544129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Borders>
                    <w:tl2br w:val="nil"/>
                    <w:tr2bl w:val="nil"/>
                  </w:tcBorders>
                  <w:vAlign w:val="center"/>
                </w:tcPr>
                <w:p w14:paraId="67087DB4">
                  <w:pPr>
                    <w:adjustRightInd w:val="0"/>
                    <w:snapToGrid w:val="0"/>
                    <w:jc w:val="center"/>
                    <w:rPr>
                      <w:rFonts w:hint="default" w:ascii="Times New Roman" w:hAnsi="Times New Roman" w:cs="Times New Roman"/>
                      <w:bCs/>
                      <w:color w:val="auto"/>
                      <w:sz w:val="18"/>
                      <w:szCs w:val="18"/>
                    </w:rPr>
                  </w:pPr>
                  <w:bookmarkStart w:id="87" w:name="OLE_LINK2" w:colFirst="2" w:colLast="2"/>
                  <w:bookmarkStart w:id="88" w:name="OLE_LINK6" w:colFirst="6" w:colLast="6"/>
                  <w:bookmarkStart w:id="89" w:name="OLE_LINK5" w:colFirst="1" w:colLast="1"/>
                  <w:r>
                    <w:rPr>
                      <w:rFonts w:hint="default" w:ascii="Times New Roman" w:hAnsi="Times New Roman" w:cs="Times New Roman"/>
                      <w:bCs/>
                      <w:color w:val="auto"/>
                      <w:sz w:val="18"/>
                      <w:szCs w:val="18"/>
                    </w:rPr>
                    <w:t>S10</w:t>
                  </w:r>
                </w:p>
              </w:tc>
              <w:tc>
                <w:tcPr>
                  <w:tcW w:w="604" w:type="pct"/>
                  <w:tcBorders>
                    <w:tl2br w:val="nil"/>
                    <w:tr2bl w:val="nil"/>
                  </w:tcBorders>
                  <w:vAlign w:val="center"/>
                </w:tcPr>
                <w:p w14:paraId="4BCB3F3A">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冷轧乳化液循环系统</w:t>
                  </w:r>
                </w:p>
              </w:tc>
              <w:tc>
                <w:tcPr>
                  <w:tcW w:w="476" w:type="pct"/>
                  <w:tcBorders>
                    <w:tl2br w:val="nil"/>
                    <w:tr2bl w:val="nil"/>
                  </w:tcBorders>
                  <w:vAlign w:val="center"/>
                </w:tcPr>
                <w:p w14:paraId="4F456FEF">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冷轧工序含油废渣</w:t>
                  </w:r>
                </w:p>
              </w:tc>
              <w:tc>
                <w:tcPr>
                  <w:tcW w:w="539" w:type="pct"/>
                  <w:tcBorders>
                    <w:tl2br w:val="nil"/>
                    <w:tr2bl w:val="nil"/>
                  </w:tcBorders>
                  <w:vAlign w:val="center"/>
                </w:tcPr>
                <w:p w14:paraId="35E3F1D3">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危险废物</w:t>
                  </w:r>
                </w:p>
              </w:tc>
              <w:tc>
                <w:tcPr>
                  <w:tcW w:w="618" w:type="pct"/>
                  <w:tcBorders>
                    <w:tl2br w:val="nil"/>
                    <w:tr2bl w:val="nil"/>
                  </w:tcBorders>
                  <w:vAlign w:val="center"/>
                </w:tcPr>
                <w:p w14:paraId="04C108DE">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900-007-09</w:t>
                  </w:r>
                </w:p>
              </w:tc>
              <w:tc>
                <w:tcPr>
                  <w:tcW w:w="406" w:type="pct"/>
                  <w:tcBorders>
                    <w:tl2br w:val="nil"/>
                    <w:tr2bl w:val="nil"/>
                  </w:tcBorders>
                  <w:vAlign w:val="center"/>
                </w:tcPr>
                <w:p w14:paraId="7C7DDE9F">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固体</w:t>
                  </w:r>
                </w:p>
              </w:tc>
              <w:tc>
                <w:tcPr>
                  <w:tcW w:w="488" w:type="pct"/>
                  <w:tcBorders>
                    <w:tl2br w:val="nil"/>
                    <w:tr2bl w:val="nil"/>
                  </w:tcBorders>
                  <w:vAlign w:val="center"/>
                </w:tcPr>
                <w:p w14:paraId="03D27FE3">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5</w:t>
                  </w:r>
                </w:p>
              </w:tc>
              <w:tc>
                <w:tcPr>
                  <w:tcW w:w="768" w:type="pct"/>
                  <w:tcBorders>
                    <w:tl2br w:val="nil"/>
                    <w:tr2bl w:val="nil"/>
                  </w:tcBorders>
                  <w:vAlign w:val="center"/>
                </w:tcPr>
                <w:p w14:paraId="3D80E056">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危险废物贮存库</w:t>
                  </w:r>
                </w:p>
              </w:tc>
              <w:tc>
                <w:tcPr>
                  <w:tcW w:w="799" w:type="pct"/>
                  <w:tcBorders>
                    <w:tl2br w:val="nil"/>
                    <w:tr2bl w:val="nil"/>
                  </w:tcBorders>
                  <w:vAlign w:val="center"/>
                </w:tcPr>
                <w:p w14:paraId="142B17EA">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委托有资质的危废处置单位处置</w:t>
                  </w:r>
                </w:p>
              </w:tc>
            </w:tr>
            <w:tr w14:paraId="70189B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Borders>
                    <w:tl2br w:val="nil"/>
                    <w:tr2bl w:val="nil"/>
                  </w:tcBorders>
                  <w:vAlign w:val="center"/>
                </w:tcPr>
                <w:p w14:paraId="62D758E8">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S11</w:t>
                  </w:r>
                </w:p>
              </w:tc>
              <w:tc>
                <w:tcPr>
                  <w:tcW w:w="604" w:type="pct"/>
                  <w:tcBorders>
                    <w:tl2br w:val="nil"/>
                    <w:tr2bl w:val="nil"/>
                  </w:tcBorders>
                  <w:vAlign w:val="center"/>
                </w:tcPr>
                <w:p w14:paraId="7A7A9704">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液压系统</w:t>
                  </w:r>
                </w:p>
              </w:tc>
              <w:tc>
                <w:tcPr>
                  <w:tcW w:w="476" w:type="pct"/>
                  <w:tcBorders>
                    <w:tl2br w:val="nil"/>
                    <w:tr2bl w:val="nil"/>
                  </w:tcBorders>
                  <w:vAlign w:val="center"/>
                </w:tcPr>
                <w:p w14:paraId="4C007362">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废液压油</w:t>
                  </w:r>
                </w:p>
              </w:tc>
              <w:tc>
                <w:tcPr>
                  <w:tcW w:w="539" w:type="pct"/>
                  <w:tcBorders>
                    <w:tl2br w:val="nil"/>
                    <w:tr2bl w:val="nil"/>
                  </w:tcBorders>
                  <w:vAlign w:val="center"/>
                </w:tcPr>
                <w:p w14:paraId="4857450D">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危险废物</w:t>
                  </w:r>
                </w:p>
              </w:tc>
              <w:tc>
                <w:tcPr>
                  <w:tcW w:w="618" w:type="pct"/>
                  <w:tcBorders>
                    <w:tl2br w:val="nil"/>
                    <w:tr2bl w:val="nil"/>
                  </w:tcBorders>
                  <w:vAlign w:val="center"/>
                </w:tcPr>
                <w:p w14:paraId="5700E461">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900-218-08</w:t>
                  </w:r>
                </w:p>
              </w:tc>
              <w:tc>
                <w:tcPr>
                  <w:tcW w:w="406" w:type="pct"/>
                  <w:tcBorders>
                    <w:tl2br w:val="nil"/>
                    <w:tr2bl w:val="nil"/>
                  </w:tcBorders>
                  <w:vAlign w:val="center"/>
                </w:tcPr>
                <w:p w14:paraId="58464337">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液体</w:t>
                  </w:r>
                </w:p>
              </w:tc>
              <w:tc>
                <w:tcPr>
                  <w:tcW w:w="488" w:type="pct"/>
                  <w:tcBorders>
                    <w:tl2br w:val="nil"/>
                    <w:tr2bl w:val="nil"/>
                  </w:tcBorders>
                  <w:vAlign w:val="center"/>
                </w:tcPr>
                <w:p w14:paraId="1A8D76FD">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1.2</w:t>
                  </w:r>
                </w:p>
              </w:tc>
              <w:tc>
                <w:tcPr>
                  <w:tcW w:w="768" w:type="pct"/>
                  <w:tcBorders>
                    <w:tl2br w:val="nil"/>
                    <w:tr2bl w:val="nil"/>
                  </w:tcBorders>
                  <w:vAlign w:val="center"/>
                </w:tcPr>
                <w:p w14:paraId="401A91DD">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危险废物贮存库</w:t>
                  </w:r>
                </w:p>
              </w:tc>
              <w:tc>
                <w:tcPr>
                  <w:tcW w:w="799" w:type="pct"/>
                  <w:tcBorders>
                    <w:tl2br w:val="nil"/>
                    <w:tr2bl w:val="nil"/>
                  </w:tcBorders>
                  <w:vAlign w:val="center"/>
                </w:tcPr>
                <w:p w14:paraId="565AAFD6">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委托有资质的危废处置单位处置</w:t>
                  </w:r>
                </w:p>
              </w:tc>
            </w:tr>
            <w:tr w14:paraId="7D62E5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Borders>
                    <w:tl2br w:val="nil"/>
                    <w:tr2bl w:val="nil"/>
                  </w:tcBorders>
                  <w:vAlign w:val="center"/>
                </w:tcPr>
                <w:p w14:paraId="7B1DF95C">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S12</w:t>
                  </w:r>
                </w:p>
              </w:tc>
              <w:tc>
                <w:tcPr>
                  <w:tcW w:w="604" w:type="pct"/>
                  <w:tcBorders>
                    <w:tl2br w:val="nil"/>
                    <w:tr2bl w:val="nil"/>
                  </w:tcBorders>
                  <w:vAlign w:val="center"/>
                </w:tcPr>
                <w:p w14:paraId="47F44238">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机械维修、保养</w:t>
                  </w:r>
                </w:p>
              </w:tc>
              <w:tc>
                <w:tcPr>
                  <w:tcW w:w="476" w:type="pct"/>
                  <w:tcBorders>
                    <w:tl2br w:val="nil"/>
                    <w:tr2bl w:val="nil"/>
                  </w:tcBorders>
                  <w:vAlign w:val="center"/>
                </w:tcPr>
                <w:p w14:paraId="009D4BAB">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废润滑油</w:t>
                  </w:r>
                </w:p>
              </w:tc>
              <w:tc>
                <w:tcPr>
                  <w:tcW w:w="539" w:type="pct"/>
                  <w:tcBorders>
                    <w:tl2br w:val="nil"/>
                    <w:tr2bl w:val="nil"/>
                  </w:tcBorders>
                  <w:vAlign w:val="center"/>
                </w:tcPr>
                <w:p w14:paraId="2D6C931F">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危险废物</w:t>
                  </w:r>
                </w:p>
              </w:tc>
              <w:tc>
                <w:tcPr>
                  <w:tcW w:w="618" w:type="pct"/>
                  <w:tcBorders>
                    <w:tl2br w:val="nil"/>
                    <w:tr2bl w:val="nil"/>
                  </w:tcBorders>
                  <w:vAlign w:val="center"/>
                </w:tcPr>
                <w:p w14:paraId="3954E85A">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900-214-08</w:t>
                  </w:r>
                </w:p>
              </w:tc>
              <w:tc>
                <w:tcPr>
                  <w:tcW w:w="406" w:type="pct"/>
                  <w:tcBorders>
                    <w:tl2br w:val="nil"/>
                    <w:tr2bl w:val="nil"/>
                  </w:tcBorders>
                  <w:vAlign w:val="center"/>
                </w:tcPr>
                <w:p w14:paraId="09628CBE">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液体</w:t>
                  </w:r>
                </w:p>
              </w:tc>
              <w:tc>
                <w:tcPr>
                  <w:tcW w:w="488" w:type="pct"/>
                  <w:tcBorders>
                    <w:tl2br w:val="nil"/>
                    <w:tr2bl w:val="nil"/>
                  </w:tcBorders>
                  <w:vAlign w:val="center"/>
                </w:tcPr>
                <w:p w14:paraId="24BE0E1F">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0.8</w:t>
                  </w:r>
                </w:p>
              </w:tc>
              <w:tc>
                <w:tcPr>
                  <w:tcW w:w="768" w:type="pct"/>
                  <w:tcBorders>
                    <w:tl2br w:val="nil"/>
                    <w:tr2bl w:val="nil"/>
                  </w:tcBorders>
                  <w:vAlign w:val="center"/>
                </w:tcPr>
                <w:p w14:paraId="2A307E79">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危险废物贮存库</w:t>
                  </w:r>
                </w:p>
              </w:tc>
              <w:tc>
                <w:tcPr>
                  <w:tcW w:w="799" w:type="pct"/>
                  <w:tcBorders>
                    <w:tl2br w:val="nil"/>
                    <w:tr2bl w:val="nil"/>
                  </w:tcBorders>
                  <w:vAlign w:val="center"/>
                </w:tcPr>
                <w:p w14:paraId="2170BF2D">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委托有资质的危废处置单位处置</w:t>
                  </w:r>
                </w:p>
              </w:tc>
            </w:tr>
            <w:tr w14:paraId="26C8F7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Borders>
                    <w:tl2br w:val="nil"/>
                    <w:tr2bl w:val="nil"/>
                  </w:tcBorders>
                  <w:vAlign w:val="center"/>
                </w:tcPr>
                <w:p w14:paraId="5603D7DF">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S13</w:t>
                  </w:r>
                </w:p>
              </w:tc>
              <w:tc>
                <w:tcPr>
                  <w:tcW w:w="604" w:type="pct"/>
                  <w:tcBorders>
                    <w:tl2br w:val="nil"/>
                    <w:tr2bl w:val="nil"/>
                  </w:tcBorders>
                  <w:vAlign w:val="center"/>
                </w:tcPr>
                <w:p w14:paraId="6C7D6DA3">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布袋除尘</w:t>
                  </w:r>
                </w:p>
              </w:tc>
              <w:tc>
                <w:tcPr>
                  <w:tcW w:w="476" w:type="pct"/>
                  <w:tcBorders>
                    <w:tl2br w:val="nil"/>
                    <w:tr2bl w:val="nil"/>
                  </w:tcBorders>
                  <w:vAlign w:val="center"/>
                </w:tcPr>
                <w:p w14:paraId="22E3E813">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镀锌除尘灰</w:t>
                  </w:r>
                </w:p>
              </w:tc>
              <w:tc>
                <w:tcPr>
                  <w:tcW w:w="539" w:type="pct"/>
                  <w:tcBorders>
                    <w:tl2br w:val="nil"/>
                    <w:tr2bl w:val="nil"/>
                  </w:tcBorders>
                  <w:vAlign w:val="center"/>
                </w:tcPr>
                <w:p w14:paraId="1C4ADD13">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危险废物</w:t>
                  </w:r>
                </w:p>
              </w:tc>
              <w:tc>
                <w:tcPr>
                  <w:tcW w:w="618" w:type="pct"/>
                  <w:tcBorders>
                    <w:tl2br w:val="nil"/>
                    <w:tr2bl w:val="nil"/>
                  </w:tcBorders>
                  <w:vAlign w:val="center"/>
                </w:tcPr>
                <w:p w14:paraId="7F0FCFE8">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336-103-23</w:t>
                  </w:r>
                </w:p>
              </w:tc>
              <w:tc>
                <w:tcPr>
                  <w:tcW w:w="406" w:type="pct"/>
                  <w:tcBorders>
                    <w:tl2br w:val="nil"/>
                    <w:tr2bl w:val="nil"/>
                  </w:tcBorders>
                  <w:vAlign w:val="center"/>
                </w:tcPr>
                <w:p w14:paraId="1CA7E55A">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固体</w:t>
                  </w:r>
                </w:p>
              </w:tc>
              <w:tc>
                <w:tcPr>
                  <w:tcW w:w="488" w:type="pct"/>
                  <w:tcBorders>
                    <w:tl2br w:val="nil"/>
                    <w:tr2bl w:val="nil"/>
                  </w:tcBorders>
                  <w:vAlign w:val="center"/>
                </w:tcPr>
                <w:p w14:paraId="70168117">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13.701</w:t>
                  </w:r>
                </w:p>
              </w:tc>
              <w:tc>
                <w:tcPr>
                  <w:tcW w:w="768" w:type="pct"/>
                  <w:tcBorders>
                    <w:tl2br w:val="nil"/>
                    <w:tr2bl w:val="nil"/>
                  </w:tcBorders>
                  <w:vAlign w:val="center"/>
                </w:tcPr>
                <w:p w14:paraId="2A632F91">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危险废物贮存库</w:t>
                  </w:r>
                </w:p>
              </w:tc>
              <w:tc>
                <w:tcPr>
                  <w:tcW w:w="799" w:type="pct"/>
                  <w:tcBorders>
                    <w:tl2br w:val="nil"/>
                    <w:tr2bl w:val="nil"/>
                  </w:tcBorders>
                  <w:vAlign w:val="center"/>
                </w:tcPr>
                <w:p w14:paraId="3A2489D8">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委托有资质的危废处置单位处置</w:t>
                  </w:r>
                </w:p>
              </w:tc>
            </w:tr>
            <w:tr w14:paraId="49B5F3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Borders>
                    <w:tl2br w:val="nil"/>
                    <w:tr2bl w:val="nil"/>
                  </w:tcBorders>
                  <w:vAlign w:val="center"/>
                </w:tcPr>
                <w:p w14:paraId="06D8BAD1">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S14</w:t>
                  </w:r>
                </w:p>
              </w:tc>
              <w:tc>
                <w:tcPr>
                  <w:tcW w:w="604" w:type="pct"/>
                  <w:tcBorders>
                    <w:tl2br w:val="nil"/>
                    <w:tr2bl w:val="nil"/>
                  </w:tcBorders>
                  <w:vAlign w:val="center"/>
                </w:tcPr>
                <w:p w14:paraId="438390E2">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钝化</w:t>
                  </w:r>
                </w:p>
              </w:tc>
              <w:tc>
                <w:tcPr>
                  <w:tcW w:w="476" w:type="pct"/>
                  <w:tcBorders>
                    <w:tl2br w:val="nil"/>
                    <w:tr2bl w:val="nil"/>
                  </w:tcBorders>
                  <w:vAlign w:val="center"/>
                </w:tcPr>
                <w:p w14:paraId="295A0758">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钝化残渣</w:t>
                  </w:r>
                </w:p>
              </w:tc>
              <w:tc>
                <w:tcPr>
                  <w:tcW w:w="539" w:type="pct"/>
                  <w:tcBorders>
                    <w:tl2br w:val="nil"/>
                    <w:tr2bl w:val="nil"/>
                  </w:tcBorders>
                  <w:vAlign w:val="center"/>
                </w:tcPr>
                <w:p w14:paraId="7DD87B41">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危险废物</w:t>
                  </w:r>
                </w:p>
              </w:tc>
              <w:tc>
                <w:tcPr>
                  <w:tcW w:w="618" w:type="pct"/>
                  <w:tcBorders>
                    <w:tl2br w:val="nil"/>
                    <w:tr2bl w:val="nil"/>
                  </w:tcBorders>
                  <w:vAlign w:val="center"/>
                </w:tcPr>
                <w:p w14:paraId="74FD66F8">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900</w:t>
                  </w:r>
                  <w:r>
                    <w:rPr>
                      <w:rFonts w:hint="default" w:ascii="Times New Roman" w:hAnsi="Times New Roman" w:eastAsia="TimesNewRomanPSMT" w:cs="Times New Roman"/>
                      <w:color w:val="auto"/>
                      <w:sz w:val="18"/>
                      <w:szCs w:val="18"/>
                    </w:rPr>
                    <w:t>-</w:t>
                  </w:r>
                  <w:r>
                    <w:rPr>
                      <w:rFonts w:hint="default" w:ascii="Times New Roman" w:hAnsi="Times New Roman" w:cs="Times New Roman"/>
                      <w:color w:val="auto"/>
                      <w:sz w:val="18"/>
                      <w:szCs w:val="18"/>
                    </w:rPr>
                    <w:t>306</w:t>
                  </w:r>
                  <w:r>
                    <w:rPr>
                      <w:rFonts w:hint="default" w:ascii="Times New Roman" w:hAnsi="Times New Roman" w:eastAsia="TimesNewRomanPSMT" w:cs="Times New Roman"/>
                      <w:color w:val="auto"/>
                      <w:sz w:val="18"/>
                      <w:szCs w:val="18"/>
                    </w:rPr>
                    <w:t>-</w:t>
                  </w:r>
                  <w:r>
                    <w:rPr>
                      <w:rFonts w:hint="default" w:ascii="Times New Roman" w:hAnsi="Times New Roman" w:cs="Times New Roman"/>
                      <w:color w:val="auto"/>
                      <w:sz w:val="18"/>
                      <w:szCs w:val="18"/>
                    </w:rPr>
                    <w:t>34</w:t>
                  </w:r>
                </w:p>
              </w:tc>
              <w:tc>
                <w:tcPr>
                  <w:tcW w:w="406" w:type="pct"/>
                  <w:tcBorders>
                    <w:tl2br w:val="nil"/>
                    <w:tr2bl w:val="nil"/>
                  </w:tcBorders>
                  <w:vAlign w:val="center"/>
                </w:tcPr>
                <w:p w14:paraId="386429C3">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固体</w:t>
                  </w:r>
                </w:p>
              </w:tc>
              <w:tc>
                <w:tcPr>
                  <w:tcW w:w="488" w:type="pct"/>
                  <w:tcBorders>
                    <w:tl2br w:val="nil"/>
                    <w:tr2bl w:val="nil"/>
                  </w:tcBorders>
                  <w:vAlign w:val="center"/>
                </w:tcPr>
                <w:p w14:paraId="75A2E671">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2</w:t>
                  </w:r>
                </w:p>
              </w:tc>
              <w:tc>
                <w:tcPr>
                  <w:tcW w:w="768" w:type="pct"/>
                  <w:tcBorders>
                    <w:tl2br w:val="nil"/>
                    <w:tr2bl w:val="nil"/>
                  </w:tcBorders>
                  <w:vAlign w:val="center"/>
                </w:tcPr>
                <w:p w14:paraId="056F7DA2">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危险废物贮存库</w:t>
                  </w:r>
                </w:p>
              </w:tc>
              <w:tc>
                <w:tcPr>
                  <w:tcW w:w="799" w:type="pct"/>
                  <w:tcBorders>
                    <w:tl2br w:val="nil"/>
                    <w:tr2bl w:val="nil"/>
                  </w:tcBorders>
                  <w:vAlign w:val="center"/>
                </w:tcPr>
                <w:p w14:paraId="213357A4">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委托有资质的危废处置单位处置</w:t>
                  </w:r>
                </w:p>
              </w:tc>
            </w:tr>
            <w:tr w14:paraId="528A5D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Borders>
                    <w:tl2br w:val="nil"/>
                    <w:tr2bl w:val="nil"/>
                  </w:tcBorders>
                  <w:vAlign w:val="center"/>
                </w:tcPr>
                <w:p w14:paraId="644606E2">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S15</w:t>
                  </w:r>
                </w:p>
              </w:tc>
              <w:tc>
                <w:tcPr>
                  <w:tcW w:w="604" w:type="pct"/>
                  <w:tcBorders>
                    <w:tl2br w:val="nil"/>
                    <w:tr2bl w:val="nil"/>
                  </w:tcBorders>
                  <w:vAlign w:val="center"/>
                </w:tcPr>
                <w:p w14:paraId="6D82EC9B">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氨分解</w:t>
                  </w:r>
                </w:p>
              </w:tc>
              <w:tc>
                <w:tcPr>
                  <w:tcW w:w="476" w:type="pct"/>
                  <w:tcBorders>
                    <w:tl2br w:val="nil"/>
                    <w:tr2bl w:val="nil"/>
                  </w:tcBorders>
                  <w:vAlign w:val="center"/>
                </w:tcPr>
                <w:p w14:paraId="52BBF4B6">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氨分解废镍触媒</w:t>
                  </w:r>
                </w:p>
              </w:tc>
              <w:tc>
                <w:tcPr>
                  <w:tcW w:w="539" w:type="pct"/>
                  <w:tcBorders>
                    <w:tl2br w:val="nil"/>
                    <w:tr2bl w:val="nil"/>
                  </w:tcBorders>
                  <w:vAlign w:val="center"/>
                </w:tcPr>
                <w:p w14:paraId="0FA7D472">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危险废物</w:t>
                  </w:r>
                </w:p>
              </w:tc>
              <w:tc>
                <w:tcPr>
                  <w:tcW w:w="618" w:type="pct"/>
                  <w:tcBorders>
                    <w:tl2br w:val="nil"/>
                    <w:tr2bl w:val="nil"/>
                  </w:tcBorders>
                  <w:vAlign w:val="center"/>
                </w:tcPr>
                <w:p w14:paraId="348DC33A">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900-037-46</w:t>
                  </w:r>
                </w:p>
              </w:tc>
              <w:tc>
                <w:tcPr>
                  <w:tcW w:w="406" w:type="pct"/>
                  <w:tcBorders>
                    <w:tl2br w:val="nil"/>
                    <w:tr2bl w:val="nil"/>
                  </w:tcBorders>
                  <w:vAlign w:val="center"/>
                </w:tcPr>
                <w:p w14:paraId="3D87492F">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固体</w:t>
                  </w:r>
                </w:p>
              </w:tc>
              <w:tc>
                <w:tcPr>
                  <w:tcW w:w="488" w:type="pct"/>
                  <w:tcBorders>
                    <w:tl2br w:val="nil"/>
                    <w:tr2bl w:val="nil"/>
                  </w:tcBorders>
                  <w:vAlign w:val="center"/>
                </w:tcPr>
                <w:p w14:paraId="0A0F63FF">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0.2</w:t>
                  </w:r>
                </w:p>
              </w:tc>
              <w:tc>
                <w:tcPr>
                  <w:tcW w:w="768" w:type="pct"/>
                  <w:tcBorders>
                    <w:tl2br w:val="nil"/>
                    <w:tr2bl w:val="nil"/>
                  </w:tcBorders>
                  <w:vAlign w:val="center"/>
                </w:tcPr>
                <w:p w14:paraId="0B7BF1E6">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危险废物贮存库</w:t>
                  </w:r>
                </w:p>
              </w:tc>
              <w:tc>
                <w:tcPr>
                  <w:tcW w:w="799" w:type="pct"/>
                  <w:tcBorders>
                    <w:tl2br w:val="nil"/>
                    <w:tr2bl w:val="nil"/>
                  </w:tcBorders>
                  <w:vAlign w:val="center"/>
                </w:tcPr>
                <w:p w14:paraId="2CFBCA3D">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委托有资质的危废处置单位处置</w:t>
                  </w:r>
                </w:p>
              </w:tc>
            </w:tr>
            <w:tr w14:paraId="3EE574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Borders>
                    <w:tl2br w:val="nil"/>
                    <w:tr2bl w:val="nil"/>
                  </w:tcBorders>
                  <w:vAlign w:val="center"/>
                </w:tcPr>
                <w:p w14:paraId="21247697">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S16</w:t>
                  </w:r>
                </w:p>
              </w:tc>
              <w:tc>
                <w:tcPr>
                  <w:tcW w:w="604" w:type="pct"/>
                  <w:tcBorders>
                    <w:tl2br w:val="nil"/>
                    <w:tr2bl w:val="nil"/>
                  </w:tcBorders>
                  <w:vAlign w:val="center"/>
                </w:tcPr>
                <w:p w14:paraId="0EE63508">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原料包装</w:t>
                  </w:r>
                </w:p>
              </w:tc>
              <w:tc>
                <w:tcPr>
                  <w:tcW w:w="476" w:type="pct"/>
                  <w:tcBorders>
                    <w:tl2br w:val="nil"/>
                    <w:tr2bl w:val="nil"/>
                  </w:tcBorders>
                  <w:vAlign w:val="center"/>
                </w:tcPr>
                <w:p w14:paraId="308D33E5">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废油桶</w:t>
                  </w:r>
                </w:p>
              </w:tc>
              <w:tc>
                <w:tcPr>
                  <w:tcW w:w="539" w:type="pct"/>
                  <w:tcBorders>
                    <w:tl2br w:val="nil"/>
                    <w:tr2bl w:val="nil"/>
                  </w:tcBorders>
                  <w:vAlign w:val="center"/>
                </w:tcPr>
                <w:p w14:paraId="340CB6AD">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危险废物</w:t>
                  </w:r>
                </w:p>
              </w:tc>
              <w:tc>
                <w:tcPr>
                  <w:tcW w:w="618" w:type="pct"/>
                  <w:tcBorders>
                    <w:tl2br w:val="nil"/>
                    <w:tr2bl w:val="nil"/>
                  </w:tcBorders>
                  <w:vAlign w:val="center"/>
                </w:tcPr>
                <w:p w14:paraId="66C8E68F">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900-249-08</w:t>
                  </w:r>
                </w:p>
              </w:tc>
              <w:tc>
                <w:tcPr>
                  <w:tcW w:w="406" w:type="pct"/>
                  <w:tcBorders>
                    <w:tl2br w:val="nil"/>
                    <w:tr2bl w:val="nil"/>
                  </w:tcBorders>
                  <w:vAlign w:val="center"/>
                </w:tcPr>
                <w:p w14:paraId="4441E260">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固体</w:t>
                  </w:r>
                </w:p>
              </w:tc>
              <w:tc>
                <w:tcPr>
                  <w:tcW w:w="488" w:type="pct"/>
                  <w:tcBorders>
                    <w:tl2br w:val="nil"/>
                    <w:tr2bl w:val="nil"/>
                  </w:tcBorders>
                  <w:vAlign w:val="center"/>
                </w:tcPr>
                <w:p w14:paraId="2E966254">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0.5</w:t>
                  </w:r>
                </w:p>
              </w:tc>
              <w:tc>
                <w:tcPr>
                  <w:tcW w:w="768" w:type="pct"/>
                  <w:tcBorders>
                    <w:tl2br w:val="nil"/>
                    <w:tr2bl w:val="nil"/>
                  </w:tcBorders>
                  <w:vAlign w:val="center"/>
                </w:tcPr>
                <w:p w14:paraId="5A47081B">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危险废物贮存库</w:t>
                  </w:r>
                </w:p>
              </w:tc>
              <w:tc>
                <w:tcPr>
                  <w:tcW w:w="799" w:type="pct"/>
                  <w:tcBorders>
                    <w:tl2br w:val="nil"/>
                    <w:tr2bl w:val="nil"/>
                  </w:tcBorders>
                  <w:vAlign w:val="center"/>
                </w:tcPr>
                <w:p w14:paraId="720EDA9C">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委托有资质的危废处置单位处置</w:t>
                  </w:r>
                </w:p>
              </w:tc>
            </w:tr>
            <w:tr w14:paraId="2F0A7E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Borders>
                    <w:tl2br w:val="nil"/>
                    <w:tr2bl w:val="nil"/>
                  </w:tcBorders>
                  <w:vAlign w:val="center"/>
                </w:tcPr>
                <w:p w14:paraId="03B72160">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S17</w:t>
                  </w:r>
                </w:p>
              </w:tc>
              <w:tc>
                <w:tcPr>
                  <w:tcW w:w="604" w:type="pct"/>
                  <w:tcBorders>
                    <w:tl2br w:val="nil"/>
                    <w:tr2bl w:val="nil"/>
                  </w:tcBorders>
                  <w:vAlign w:val="center"/>
                </w:tcPr>
                <w:p w14:paraId="238802CB">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酸洗</w:t>
                  </w:r>
                </w:p>
              </w:tc>
              <w:tc>
                <w:tcPr>
                  <w:tcW w:w="476" w:type="pct"/>
                  <w:tcBorders>
                    <w:tl2br w:val="nil"/>
                    <w:tr2bl w:val="nil"/>
                  </w:tcBorders>
                  <w:vAlign w:val="center"/>
                </w:tcPr>
                <w:p w14:paraId="33DFF1F3">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废酸</w:t>
                  </w:r>
                </w:p>
              </w:tc>
              <w:tc>
                <w:tcPr>
                  <w:tcW w:w="539" w:type="pct"/>
                  <w:tcBorders>
                    <w:tl2br w:val="nil"/>
                    <w:tr2bl w:val="nil"/>
                  </w:tcBorders>
                  <w:vAlign w:val="center"/>
                </w:tcPr>
                <w:p w14:paraId="3151C6B4">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危险废物</w:t>
                  </w:r>
                </w:p>
              </w:tc>
              <w:tc>
                <w:tcPr>
                  <w:tcW w:w="618" w:type="pct"/>
                  <w:tcBorders>
                    <w:tl2br w:val="nil"/>
                    <w:tr2bl w:val="nil"/>
                  </w:tcBorders>
                  <w:vAlign w:val="center"/>
                </w:tcPr>
                <w:p w14:paraId="2940AF8C">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900-300-34</w:t>
                  </w:r>
                </w:p>
              </w:tc>
              <w:tc>
                <w:tcPr>
                  <w:tcW w:w="406" w:type="pct"/>
                  <w:tcBorders>
                    <w:tl2br w:val="nil"/>
                    <w:tr2bl w:val="nil"/>
                  </w:tcBorders>
                  <w:vAlign w:val="center"/>
                </w:tcPr>
                <w:p w14:paraId="319B64A1">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液体</w:t>
                  </w:r>
                </w:p>
              </w:tc>
              <w:tc>
                <w:tcPr>
                  <w:tcW w:w="488" w:type="pct"/>
                  <w:tcBorders>
                    <w:tl2br w:val="nil"/>
                    <w:tr2bl w:val="nil"/>
                  </w:tcBorders>
                  <w:vAlign w:val="center"/>
                </w:tcPr>
                <w:p w14:paraId="31703501">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276.17</w:t>
                  </w:r>
                </w:p>
              </w:tc>
              <w:tc>
                <w:tcPr>
                  <w:tcW w:w="768" w:type="pct"/>
                  <w:tcBorders>
                    <w:tl2br w:val="nil"/>
                    <w:tr2bl w:val="nil"/>
                  </w:tcBorders>
                  <w:vAlign w:val="center"/>
                </w:tcPr>
                <w:p w14:paraId="38AE29E6">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废酸储罐存于危险废物贮存库</w:t>
                  </w:r>
                </w:p>
              </w:tc>
              <w:tc>
                <w:tcPr>
                  <w:tcW w:w="799" w:type="pct"/>
                  <w:tcBorders>
                    <w:tl2br w:val="nil"/>
                    <w:tr2bl w:val="nil"/>
                  </w:tcBorders>
                  <w:vAlign w:val="center"/>
                </w:tcPr>
                <w:p w14:paraId="0C8A41C9">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委托有资质的危废处置单位处置</w:t>
                  </w:r>
                </w:p>
              </w:tc>
            </w:tr>
            <w:tr w14:paraId="102691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Borders>
                    <w:tl2br w:val="nil"/>
                    <w:tr2bl w:val="nil"/>
                  </w:tcBorders>
                  <w:vAlign w:val="center"/>
                </w:tcPr>
                <w:p w14:paraId="40ABB28E">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S18</w:t>
                  </w:r>
                </w:p>
              </w:tc>
              <w:tc>
                <w:tcPr>
                  <w:tcW w:w="604" w:type="pct"/>
                  <w:tcBorders>
                    <w:tl2br w:val="nil"/>
                    <w:tr2bl w:val="nil"/>
                  </w:tcBorders>
                  <w:vAlign w:val="center"/>
                </w:tcPr>
                <w:p w14:paraId="15EDD265">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助镀工序</w:t>
                  </w:r>
                </w:p>
              </w:tc>
              <w:tc>
                <w:tcPr>
                  <w:tcW w:w="476" w:type="pct"/>
                  <w:tcBorders>
                    <w:tl2br w:val="nil"/>
                    <w:tr2bl w:val="nil"/>
                  </w:tcBorders>
                  <w:vAlign w:val="center"/>
                </w:tcPr>
                <w:p w14:paraId="5FAD3A3E">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槽渣</w:t>
                  </w:r>
                </w:p>
              </w:tc>
              <w:tc>
                <w:tcPr>
                  <w:tcW w:w="539" w:type="pct"/>
                  <w:tcBorders>
                    <w:tl2br w:val="nil"/>
                    <w:tr2bl w:val="nil"/>
                  </w:tcBorders>
                  <w:vAlign w:val="center"/>
                </w:tcPr>
                <w:p w14:paraId="13A0364A">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危险废物</w:t>
                  </w:r>
                </w:p>
              </w:tc>
              <w:tc>
                <w:tcPr>
                  <w:tcW w:w="618" w:type="pct"/>
                  <w:tcBorders>
                    <w:tl2br w:val="nil"/>
                    <w:tr2bl w:val="nil"/>
                  </w:tcBorders>
                  <w:vAlign w:val="center"/>
                </w:tcPr>
                <w:p w14:paraId="044F7F97">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336-051-17</w:t>
                  </w:r>
                </w:p>
              </w:tc>
              <w:tc>
                <w:tcPr>
                  <w:tcW w:w="406" w:type="pct"/>
                  <w:tcBorders>
                    <w:tl2br w:val="nil"/>
                    <w:tr2bl w:val="nil"/>
                  </w:tcBorders>
                  <w:vAlign w:val="center"/>
                </w:tcPr>
                <w:p w14:paraId="78DE7B00">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固体</w:t>
                  </w:r>
                </w:p>
              </w:tc>
              <w:tc>
                <w:tcPr>
                  <w:tcW w:w="488" w:type="pct"/>
                  <w:tcBorders>
                    <w:tl2br w:val="nil"/>
                    <w:tr2bl w:val="nil"/>
                  </w:tcBorders>
                  <w:vAlign w:val="center"/>
                </w:tcPr>
                <w:p w14:paraId="0A21A338">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9.7</w:t>
                  </w:r>
                </w:p>
              </w:tc>
              <w:tc>
                <w:tcPr>
                  <w:tcW w:w="768" w:type="pct"/>
                  <w:tcBorders>
                    <w:tl2br w:val="nil"/>
                    <w:tr2bl w:val="nil"/>
                  </w:tcBorders>
                  <w:vAlign w:val="center"/>
                </w:tcPr>
                <w:p w14:paraId="477F4454">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危险废物贮存库</w:t>
                  </w:r>
                </w:p>
              </w:tc>
              <w:tc>
                <w:tcPr>
                  <w:tcW w:w="799" w:type="pct"/>
                  <w:tcBorders>
                    <w:tl2br w:val="nil"/>
                    <w:tr2bl w:val="nil"/>
                  </w:tcBorders>
                  <w:vAlign w:val="center"/>
                </w:tcPr>
                <w:p w14:paraId="786D3210">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委托有资质的危废处置单位处置</w:t>
                  </w:r>
                </w:p>
              </w:tc>
            </w:tr>
            <w:tr w14:paraId="3E32D3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Borders>
                    <w:tl2br w:val="nil"/>
                    <w:tr2bl w:val="nil"/>
                  </w:tcBorders>
                  <w:vAlign w:val="center"/>
                </w:tcPr>
                <w:p w14:paraId="3297F964">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S19</w:t>
                  </w:r>
                </w:p>
              </w:tc>
              <w:tc>
                <w:tcPr>
                  <w:tcW w:w="604" w:type="pct"/>
                  <w:tcBorders>
                    <w:tl2br w:val="nil"/>
                    <w:tr2bl w:val="nil"/>
                  </w:tcBorders>
                  <w:vAlign w:val="center"/>
                </w:tcPr>
                <w:p w14:paraId="0B473E5C">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锌锅</w:t>
                  </w:r>
                </w:p>
              </w:tc>
              <w:tc>
                <w:tcPr>
                  <w:tcW w:w="476" w:type="pct"/>
                  <w:tcBorders>
                    <w:tl2br w:val="nil"/>
                    <w:tr2bl w:val="nil"/>
                  </w:tcBorders>
                  <w:vAlign w:val="center"/>
                </w:tcPr>
                <w:p w14:paraId="472FF868">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锌渣</w:t>
                  </w:r>
                </w:p>
              </w:tc>
              <w:tc>
                <w:tcPr>
                  <w:tcW w:w="539" w:type="pct"/>
                  <w:tcBorders>
                    <w:tl2br w:val="nil"/>
                    <w:tr2bl w:val="nil"/>
                  </w:tcBorders>
                  <w:vAlign w:val="center"/>
                </w:tcPr>
                <w:p w14:paraId="16599556">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需要进一步确定属性</w:t>
                  </w:r>
                </w:p>
              </w:tc>
              <w:tc>
                <w:tcPr>
                  <w:tcW w:w="618" w:type="pct"/>
                  <w:tcBorders>
                    <w:tl2br w:val="nil"/>
                    <w:tr2bl w:val="nil"/>
                  </w:tcBorders>
                  <w:vAlign w:val="center"/>
                </w:tcPr>
                <w:p w14:paraId="05C2B8C5">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p>
              </w:tc>
              <w:tc>
                <w:tcPr>
                  <w:tcW w:w="406" w:type="pct"/>
                  <w:tcBorders>
                    <w:tl2br w:val="nil"/>
                    <w:tr2bl w:val="nil"/>
                  </w:tcBorders>
                  <w:vAlign w:val="center"/>
                </w:tcPr>
                <w:p w14:paraId="1A371DB5">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固体</w:t>
                  </w:r>
                </w:p>
              </w:tc>
              <w:tc>
                <w:tcPr>
                  <w:tcW w:w="488" w:type="pct"/>
                  <w:tcBorders>
                    <w:tl2br w:val="nil"/>
                    <w:tr2bl w:val="nil"/>
                  </w:tcBorders>
                  <w:vAlign w:val="center"/>
                </w:tcPr>
                <w:p w14:paraId="4F7B6ED0">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375</w:t>
                  </w:r>
                </w:p>
              </w:tc>
              <w:tc>
                <w:tcPr>
                  <w:tcW w:w="768" w:type="pct"/>
                  <w:tcBorders>
                    <w:tl2br w:val="nil"/>
                    <w:tr2bl w:val="nil"/>
                  </w:tcBorders>
                  <w:vAlign w:val="center"/>
                </w:tcPr>
                <w:p w14:paraId="4D56F508">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危险废物贮存库</w:t>
                  </w:r>
                </w:p>
              </w:tc>
              <w:tc>
                <w:tcPr>
                  <w:tcW w:w="799" w:type="pct"/>
                  <w:tcBorders>
                    <w:tl2br w:val="nil"/>
                    <w:tr2bl w:val="nil"/>
                  </w:tcBorders>
                  <w:vAlign w:val="center"/>
                </w:tcPr>
                <w:p w14:paraId="1C031B16">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委托有资质的危废处置单位处置</w:t>
                  </w:r>
                </w:p>
              </w:tc>
            </w:tr>
            <w:tr w14:paraId="4FF217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Borders>
                    <w:tl2br w:val="nil"/>
                    <w:tr2bl w:val="nil"/>
                  </w:tcBorders>
                  <w:vAlign w:val="center"/>
                </w:tcPr>
                <w:p w14:paraId="3ED6FB61">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S20</w:t>
                  </w:r>
                </w:p>
              </w:tc>
              <w:tc>
                <w:tcPr>
                  <w:tcW w:w="604" w:type="pct"/>
                  <w:tcBorders>
                    <w:tl2br w:val="nil"/>
                    <w:tr2bl w:val="nil"/>
                  </w:tcBorders>
                  <w:vAlign w:val="center"/>
                </w:tcPr>
                <w:p w14:paraId="58767C6C">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焊管喷淋、镀锌淬水</w:t>
                  </w:r>
                </w:p>
              </w:tc>
              <w:tc>
                <w:tcPr>
                  <w:tcW w:w="476" w:type="pct"/>
                  <w:tcBorders>
                    <w:tl2br w:val="nil"/>
                    <w:tr2bl w:val="nil"/>
                  </w:tcBorders>
                  <w:vAlign w:val="center"/>
                </w:tcPr>
                <w:p w14:paraId="54902050">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锌渣</w:t>
                  </w:r>
                </w:p>
              </w:tc>
              <w:tc>
                <w:tcPr>
                  <w:tcW w:w="539" w:type="pct"/>
                  <w:tcBorders>
                    <w:tl2br w:val="nil"/>
                    <w:tr2bl w:val="nil"/>
                  </w:tcBorders>
                  <w:vAlign w:val="center"/>
                </w:tcPr>
                <w:p w14:paraId="3834782D">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t>需要进一步确定属性</w:t>
                  </w:r>
                </w:p>
              </w:tc>
              <w:tc>
                <w:tcPr>
                  <w:tcW w:w="618" w:type="pct"/>
                  <w:tcBorders>
                    <w:tl2br w:val="nil"/>
                    <w:tr2bl w:val="nil"/>
                  </w:tcBorders>
                  <w:vAlign w:val="center"/>
                </w:tcPr>
                <w:p w14:paraId="4FF32B64">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p>
              </w:tc>
              <w:tc>
                <w:tcPr>
                  <w:tcW w:w="406" w:type="pct"/>
                  <w:tcBorders>
                    <w:tl2br w:val="nil"/>
                    <w:tr2bl w:val="nil"/>
                  </w:tcBorders>
                  <w:vAlign w:val="center"/>
                </w:tcPr>
                <w:p w14:paraId="3ED47B63">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固体</w:t>
                  </w:r>
                </w:p>
              </w:tc>
              <w:tc>
                <w:tcPr>
                  <w:tcW w:w="488" w:type="pct"/>
                  <w:tcBorders>
                    <w:tl2br w:val="nil"/>
                    <w:tr2bl w:val="nil"/>
                  </w:tcBorders>
                  <w:vAlign w:val="center"/>
                </w:tcPr>
                <w:p w14:paraId="788E598E">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768" w:type="pct"/>
                  <w:tcBorders>
                    <w:tl2br w:val="nil"/>
                    <w:tr2bl w:val="nil"/>
                  </w:tcBorders>
                  <w:vAlign w:val="center"/>
                </w:tcPr>
                <w:p w14:paraId="080E9F90">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危险废物贮存库</w:t>
                  </w:r>
                </w:p>
              </w:tc>
              <w:tc>
                <w:tcPr>
                  <w:tcW w:w="799" w:type="pct"/>
                  <w:tcBorders>
                    <w:tl2br w:val="nil"/>
                    <w:tr2bl w:val="nil"/>
                  </w:tcBorders>
                  <w:vAlign w:val="center"/>
                </w:tcPr>
                <w:p w14:paraId="340C1E45">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委托有资质的危废处置单位处置</w:t>
                  </w:r>
                </w:p>
              </w:tc>
            </w:tr>
            <w:tr w14:paraId="71E917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Borders>
                    <w:tl2br w:val="nil"/>
                    <w:tr2bl w:val="nil"/>
                  </w:tcBorders>
                  <w:vAlign w:val="center"/>
                </w:tcPr>
                <w:p w14:paraId="1579B30D">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S21</w:t>
                  </w:r>
                </w:p>
              </w:tc>
              <w:tc>
                <w:tcPr>
                  <w:tcW w:w="604" w:type="pct"/>
                  <w:tcBorders>
                    <w:tl2br w:val="nil"/>
                    <w:tr2bl w:val="nil"/>
                  </w:tcBorders>
                  <w:vAlign w:val="center"/>
                </w:tcPr>
                <w:p w14:paraId="78D6B643">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漂洗、酸洗废水处理系统污泥</w:t>
                  </w:r>
                </w:p>
              </w:tc>
              <w:tc>
                <w:tcPr>
                  <w:tcW w:w="476" w:type="pct"/>
                  <w:tcBorders>
                    <w:tl2br w:val="nil"/>
                    <w:tr2bl w:val="nil"/>
                  </w:tcBorders>
                  <w:vAlign w:val="center"/>
                </w:tcPr>
                <w:p w14:paraId="601B1F8D">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污泥</w:t>
                  </w:r>
                </w:p>
              </w:tc>
              <w:tc>
                <w:tcPr>
                  <w:tcW w:w="539" w:type="pct"/>
                  <w:tcBorders>
                    <w:tl2br w:val="nil"/>
                    <w:tr2bl w:val="nil"/>
                  </w:tcBorders>
                  <w:vAlign w:val="center"/>
                </w:tcPr>
                <w:p w14:paraId="0B963DC4">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需要进一步确定属性</w:t>
                  </w:r>
                </w:p>
              </w:tc>
              <w:tc>
                <w:tcPr>
                  <w:tcW w:w="618" w:type="pct"/>
                  <w:tcBorders>
                    <w:tl2br w:val="nil"/>
                    <w:tr2bl w:val="nil"/>
                  </w:tcBorders>
                  <w:vAlign w:val="center"/>
                </w:tcPr>
                <w:p w14:paraId="1DCC3E01">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w:t>
                  </w:r>
                </w:p>
              </w:tc>
              <w:tc>
                <w:tcPr>
                  <w:tcW w:w="406" w:type="pct"/>
                  <w:tcBorders>
                    <w:tl2br w:val="nil"/>
                    <w:tr2bl w:val="nil"/>
                  </w:tcBorders>
                  <w:vAlign w:val="center"/>
                </w:tcPr>
                <w:p w14:paraId="3F736FE0">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固体</w:t>
                  </w:r>
                </w:p>
              </w:tc>
              <w:tc>
                <w:tcPr>
                  <w:tcW w:w="488" w:type="pct"/>
                  <w:tcBorders>
                    <w:tl2br w:val="nil"/>
                    <w:tr2bl w:val="nil"/>
                  </w:tcBorders>
                  <w:vAlign w:val="center"/>
                </w:tcPr>
                <w:p w14:paraId="4A97B11A">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16</w:t>
                  </w:r>
                </w:p>
              </w:tc>
              <w:tc>
                <w:tcPr>
                  <w:tcW w:w="768" w:type="pct"/>
                  <w:tcBorders>
                    <w:tl2br w:val="nil"/>
                    <w:tr2bl w:val="nil"/>
                  </w:tcBorders>
                  <w:vAlign w:val="center"/>
                </w:tcPr>
                <w:p w14:paraId="38720C49">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危险废物贮存库</w:t>
                  </w:r>
                </w:p>
              </w:tc>
              <w:tc>
                <w:tcPr>
                  <w:tcW w:w="799" w:type="pct"/>
                  <w:tcBorders>
                    <w:tl2br w:val="nil"/>
                    <w:tr2bl w:val="nil"/>
                  </w:tcBorders>
                  <w:vAlign w:val="center"/>
                </w:tcPr>
                <w:p w14:paraId="0A4E1E32">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委托有资质的危废处置单位处置</w:t>
                  </w:r>
                </w:p>
              </w:tc>
            </w:tr>
            <w:bookmarkEnd w:id="87"/>
            <w:bookmarkEnd w:id="88"/>
            <w:bookmarkEnd w:id="89"/>
          </w:tbl>
          <w:p w14:paraId="162B8107">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4、现有工程存在的环境问题及整改措施</w:t>
            </w:r>
          </w:p>
          <w:p w14:paraId="1E01B54C">
            <w:pPr>
              <w:pStyle w:val="34"/>
              <w:spacing w:line="360" w:lineRule="auto"/>
              <w:ind w:left="0" w:leftChars="0" w:firstLine="0" w:firstLineChars="0"/>
              <w:rPr>
                <w:rFonts w:hint="default" w:ascii="Times New Roman" w:hAnsi="Times New Roman" w:cs="Times New Roman"/>
                <w:b/>
                <w:color w:val="auto"/>
              </w:rPr>
            </w:pPr>
            <w:r>
              <w:rPr>
                <w:rFonts w:hint="default" w:ascii="Times New Roman" w:hAnsi="Times New Roman" w:cs="Times New Roman"/>
                <w:b/>
                <w:color w:val="auto"/>
              </w:rPr>
              <w:t>4.1存在的环境问题</w:t>
            </w:r>
          </w:p>
          <w:p w14:paraId="4294F096">
            <w:pPr>
              <w:pStyle w:val="122"/>
              <w:ind w:firstLine="480"/>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（1）现有厂房内和回车场内的场地有破损裂缝。</w:t>
            </w:r>
          </w:p>
          <w:p w14:paraId="66DE8B5F">
            <w:pPr>
              <w:pStyle w:val="122"/>
              <w:ind w:firstLine="480"/>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（2）现有工程机修区域设备乱堆存，有油渍滴漏到地上。</w:t>
            </w:r>
          </w:p>
          <w:p w14:paraId="0295B666">
            <w:pPr>
              <w:pStyle w:val="34"/>
              <w:spacing w:line="360" w:lineRule="auto"/>
              <w:ind w:left="0" w:leftChars="0" w:firstLine="0" w:firstLineChars="0"/>
              <w:rPr>
                <w:rFonts w:hint="default" w:ascii="Times New Roman" w:hAnsi="Times New Roman" w:cs="Times New Roman"/>
                <w:b/>
                <w:color w:val="auto"/>
              </w:rPr>
            </w:pPr>
            <w:r>
              <w:rPr>
                <w:rFonts w:hint="default" w:ascii="Times New Roman" w:hAnsi="Times New Roman" w:cs="Times New Roman"/>
                <w:b/>
                <w:color w:val="auto"/>
              </w:rPr>
              <w:t>4.2整改措施</w:t>
            </w:r>
          </w:p>
          <w:p w14:paraId="44831656">
            <w:pPr>
              <w:pStyle w:val="122"/>
              <w:ind w:firstLine="480"/>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（1）尽快对场地进行硬化恢复，避免土壤和地下水污染。</w:t>
            </w:r>
          </w:p>
          <w:p w14:paraId="73FCAC52">
            <w:pPr>
              <w:pStyle w:val="122"/>
              <w:ind w:firstLine="480"/>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（2）建设方在对现有工程场地清理，处理乱堆存带来的环境问题。</w:t>
            </w:r>
          </w:p>
          <w:p w14:paraId="3F6BB6C8">
            <w:pPr>
              <w:spacing w:before="120" w:beforeLines="50" w:line="360" w:lineRule="auto"/>
              <w:jc w:val="left"/>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5、“三本账”</w:t>
            </w:r>
          </w:p>
          <w:p w14:paraId="224FED33">
            <w:pPr>
              <w:pStyle w:val="34"/>
              <w:spacing w:line="360" w:lineRule="auto"/>
              <w:ind w:left="0" w:leftChars="0" w:firstLine="480"/>
              <w:rPr>
                <w:rFonts w:hint="default" w:ascii="Times New Roman" w:hAnsi="Times New Roman" w:cs="Times New Roman"/>
                <w:bCs/>
                <w:color w:val="auto"/>
              </w:rPr>
            </w:pPr>
            <w:r>
              <w:rPr>
                <w:rFonts w:hint="default" w:ascii="Times New Roman" w:hAnsi="Times New Roman" w:cs="Times New Roman"/>
                <w:bCs/>
                <w:color w:val="auto"/>
              </w:rPr>
              <w:t>“三本账”情况见下表：</w:t>
            </w:r>
          </w:p>
          <w:p w14:paraId="6F4B8F7F">
            <w:pPr>
              <w:pStyle w:val="111"/>
              <w:spacing w:line="360" w:lineRule="auto"/>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表2-22    “三本账”一览表   单位：t/a</w:t>
            </w:r>
          </w:p>
          <w:tbl>
            <w:tblPr>
              <w:tblStyle w:val="35"/>
              <w:tblW w:w="4942"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0"/>
              <w:gridCol w:w="653"/>
              <w:gridCol w:w="665"/>
              <w:gridCol w:w="1079"/>
              <w:gridCol w:w="742"/>
              <w:gridCol w:w="742"/>
              <w:gridCol w:w="742"/>
              <w:gridCol w:w="742"/>
              <w:gridCol w:w="742"/>
              <w:gridCol w:w="744"/>
              <w:gridCol w:w="768"/>
            </w:tblGrid>
            <w:tr w14:paraId="3F25D7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1" w:hRule="atLeast"/>
              </w:trPr>
              <w:tc>
                <w:tcPr>
                  <w:tcW w:w="348" w:type="pct"/>
                  <w:tcBorders>
                    <w:tl2br w:val="nil"/>
                    <w:tr2bl w:val="nil"/>
                  </w:tcBorders>
                  <w:vAlign w:val="center"/>
                </w:tcPr>
                <w:p w14:paraId="40CCF06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序号</w:t>
                  </w:r>
                </w:p>
              </w:tc>
              <w:tc>
                <w:tcPr>
                  <w:tcW w:w="399" w:type="pct"/>
                  <w:tcBorders>
                    <w:tl2br w:val="nil"/>
                    <w:tr2bl w:val="nil"/>
                  </w:tcBorders>
                  <w:vAlign w:val="center"/>
                </w:tcPr>
                <w:p w14:paraId="112F5D3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项目</w:t>
                  </w:r>
                </w:p>
              </w:tc>
              <w:tc>
                <w:tcPr>
                  <w:tcW w:w="1064" w:type="pct"/>
                  <w:gridSpan w:val="2"/>
                  <w:tcBorders>
                    <w:tl2br w:val="nil"/>
                    <w:tr2bl w:val="nil"/>
                  </w:tcBorders>
                  <w:vAlign w:val="center"/>
                </w:tcPr>
                <w:p w14:paraId="61189B0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污染物种类</w:t>
                  </w:r>
                </w:p>
              </w:tc>
              <w:tc>
                <w:tcPr>
                  <w:tcW w:w="453" w:type="pct"/>
                  <w:tcBorders>
                    <w:tl2br w:val="nil"/>
                    <w:tr2bl w:val="nil"/>
                  </w:tcBorders>
                  <w:vAlign w:val="center"/>
                </w:tcPr>
                <w:p w14:paraId="07FFC89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现有已建工程排放量</w:t>
                  </w:r>
                </w:p>
              </w:tc>
              <w:tc>
                <w:tcPr>
                  <w:tcW w:w="453" w:type="pct"/>
                  <w:tcBorders>
                    <w:tl2br w:val="nil"/>
                    <w:tr2bl w:val="nil"/>
                  </w:tcBorders>
                  <w:vAlign w:val="center"/>
                </w:tcPr>
                <w:p w14:paraId="7ABEFE0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在建工程排放量</w:t>
                  </w:r>
                </w:p>
              </w:tc>
              <w:tc>
                <w:tcPr>
                  <w:tcW w:w="453" w:type="pct"/>
                  <w:tcBorders>
                    <w:tl2br w:val="nil"/>
                    <w:tr2bl w:val="nil"/>
                  </w:tcBorders>
                  <w:vAlign w:val="center"/>
                </w:tcPr>
                <w:p w14:paraId="0C25379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拟建工程排放量</w:t>
                  </w:r>
                </w:p>
              </w:tc>
              <w:tc>
                <w:tcPr>
                  <w:tcW w:w="453" w:type="pct"/>
                  <w:tcBorders>
                    <w:tl2br w:val="nil"/>
                    <w:tr2bl w:val="nil"/>
                  </w:tcBorders>
                  <w:vAlign w:val="center"/>
                </w:tcPr>
                <w:p w14:paraId="0AD1F02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本项目排放量</w:t>
                  </w:r>
                </w:p>
              </w:tc>
              <w:tc>
                <w:tcPr>
                  <w:tcW w:w="453" w:type="pct"/>
                  <w:tcBorders>
                    <w:tl2br w:val="nil"/>
                    <w:tr2bl w:val="nil"/>
                  </w:tcBorders>
                  <w:vAlign w:val="center"/>
                </w:tcPr>
                <w:p w14:paraId="32F7A5C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“以新带老”削减量</w:t>
                  </w:r>
                </w:p>
              </w:tc>
              <w:tc>
                <w:tcPr>
                  <w:tcW w:w="454" w:type="pct"/>
                  <w:tcBorders>
                    <w:tl2br w:val="nil"/>
                    <w:tr2bl w:val="nil"/>
                  </w:tcBorders>
                  <w:vAlign w:val="center"/>
                </w:tcPr>
                <w:p w14:paraId="61A0467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项目建成后全厂排放量</w:t>
                  </w:r>
                </w:p>
              </w:tc>
              <w:tc>
                <w:tcPr>
                  <w:tcW w:w="467" w:type="pct"/>
                  <w:tcBorders>
                    <w:tl2br w:val="nil"/>
                    <w:tr2bl w:val="nil"/>
                  </w:tcBorders>
                  <w:vAlign w:val="center"/>
                </w:tcPr>
                <w:p w14:paraId="5CBC4EB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本项目建成后全厂增减量变化</w:t>
                  </w:r>
                </w:p>
              </w:tc>
            </w:tr>
            <w:tr w14:paraId="4E1B1F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48" w:type="pct"/>
                  <w:vMerge w:val="restart"/>
                  <w:tcBorders>
                    <w:tl2br w:val="nil"/>
                    <w:tr2bl w:val="nil"/>
                  </w:tcBorders>
                  <w:vAlign w:val="center"/>
                </w:tcPr>
                <w:p w14:paraId="29C7E78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w:t>
                  </w:r>
                </w:p>
              </w:tc>
              <w:tc>
                <w:tcPr>
                  <w:tcW w:w="399" w:type="pct"/>
                  <w:vMerge w:val="restart"/>
                  <w:tcBorders>
                    <w:tl2br w:val="nil"/>
                    <w:tr2bl w:val="nil"/>
                  </w:tcBorders>
                  <w:vAlign w:val="center"/>
                </w:tcPr>
                <w:p w14:paraId="7509936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废气</w:t>
                  </w:r>
                </w:p>
              </w:tc>
              <w:tc>
                <w:tcPr>
                  <w:tcW w:w="406" w:type="pct"/>
                  <w:vMerge w:val="restart"/>
                  <w:tcBorders>
                    <w:tl2br w:val="nil"/>
                    <w:tr2bl w:val="nil"/>
                  </w:tcBorders>
                  <w:vAlign w:val="center"/>
                </w:tcPr>
                <w:p w14:paraId="0B680E0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有组织</w:t>
                  </w:r>
                </w:p>
              </w:tc>
              <w:tc>
                <w:tcPr>
                  <w:tcW w:w="658" w:type="pct"/>
                  <w:tcBorders>
                    <w:tl2br w:val="nil"/>
                    <w:tr2bl w:val="nil"/>
                  </w:tcBorders>
                  <w:vAlign w:val="center"/>
                </w:tcPr>
                <w:p w14:paraId="31EF5DC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颗粒物）</w:t>
                  </w:r>
                </w:p>
              </w:tc>
              <w:tc>
                <w:tcPr>
                  <w:tcW w:w="453" w:type="pct"/>
                  <w:tcBorders>
                    <w:tl2br w:val="nil"/>
                    <w:tr2bl w:val="nil"/>
                  </w:tcBorders>
                  <w:vAlign w:val="center"/>
                </w:tcPr>
                <w:p w14:paraId="46EDE52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0.795</w:t>
                  </w:r>
                </w:p>
              </w:tc>
              <w:tc>
                <w:tcPr>
                  <w:tcW w:w="453" w:type="pct"/>
                  <w:tcBorders>
                    <w:tl2br w:val="nil"/>
                    <w:tr2bl w:val="nil"/>
                  </w:tcBorders>
                  <w:vAlign w:val="center"/>
                </w:tcPr>
                <w:p w14:paraId="2F7CC9A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0.795</w:t>
                  </w:r>
                </w:p>
              </w:tc>
              <w:tc>
                <w:tcPr>
                  <w:tcW w:w="453" w:type="pct"/>
                  <w:tcBorders>
                    <w:tl2br w:val="nil"/>
                    <w:tr2bl w:val="nil"/>
                  </w:tcBorders>
                  <w:vAlign w:val="center"/>
                </w:tcPr>
                <w:p w14:paraId="6152011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3.9</w:t>
                  </w:r>
                </w:p>
              </w:tc>
              <w:tc>
                <w:tcPr>
                  <w:tcW w:w="453" w:type="pct"/>
                  <w:tcBorders>
                    <w:tl2br w:val="nil"/>
                    <w:tr2bl w:val="nil"/>
                  </w:tcBorders>
                  <w:vAlign w:val="center"/>
                </w:tcPr>
                <w:p w14:paraId="2201746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742" w:type="dxa"/>
                  <w:tcBorders>
                    <w:tl2br w:val="nil"/>
                    <w:tr2bl w:val="nil"/>
                  </w:tcBorders>
                  <w:vAlign w:val="center"/>
                </w:tcPr>
                <w:p w14:paraId="2CDB561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0.795</w:t>
                  </w:r>
                </w:p>
              </w:tc>
              <w:tc>
                <w:tcPr>
                  <w:tcW w:w="454" w:type="pct"/>
                  <w:tcBorders>
                    <w:tl2br w:val="nil"/>
                    <w:tr2bl w:val="nil"/>
                  </w:tcBorders>
                  <w:vAlign w:val="center"/>
                </w:tcPr>
                <w:p w14:paraId="7583169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4.695</w:t>
                  </w:r>
                </w:p>
              </w:tc>
              <w:tc>
                <w:tcPr>
                  <w:tcW w:w="467" w:type="pct"/>
                  <w:tcBorders>
                    <w:tl2br w:val="nil"/>
                    <w:tr2bl w:val="nil"/>
                  </w:tcBorders>
                  <w:vAlign w:val="center"/>
                </w:tcPr>
                <w:p w14:paraId="41073F7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r>
            <w:tr w14:paraId="0DD64A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348" w:type="pct"/>
                  <w:vMerge w:val="continue"/>
                  <w:tcBorders>
                    <w:tl2br w:val="nil"/>
                    <w:tr2bl w:val="nil"/>
                  </w:tcBorders>
                  <w:vAlign w:val="center"/>
                </w:tcPr>
                <w:p w14:paraId="018A1A91">
                  <w:pPr>
                    <w:jc w:val="center"/>
                    <w:rPr>
                      <w:rFonts w:hint="default" w:ascii="Times New Roman" w:hAnsi="Times New Roman" w:cs="Times New Roman"/>
                      <w:color w:val="auto"/>
                      <w:sz w:val="18"/>
                      <w:szCs w:val="18"/>
                    </w:rPr>
                  </w:pPr>
                </w:p>
              </w:tc>
              <w:tc>
                <w:tcPr>
                  <w:tcW w:w="399" w:type="pct"/>
                  <w:vMerge w:val="continue"/>
                  <w:tcBorders>
                    <w:tl2br w:val="nil"/>
                    <w:tr2bl w:val="nil"/>
                  </w:tcBorders>
                  <w:vAlign w:val="center"/>
                </w:tcPr>
                <w:p w14:paraId="2A29D105">
                  <w:pPr>
                    <w:jc w:val="center"/>
                    <w:rPr>
                      <w:rFonts w:hint="default" w:ascii="Times New Roman" w:hAnsi="Times New Roman" w:cs="Times New Roman"/>
                      <w:color w:val="auto"/>
                      <w:sz w:val="18"/>
                      <w:szCs w:val="18"/>
                    </w:rPr>
                  </w:pPr>
                </w:p>
              </w:tc>
              <w:tc>
                <w:tcPr>
                  <w:tcW w:w="406" w:type="pct"/>
                  <w:vMerge w:val="continue"/>
                  <w:tcBorders>
                    <w:tl2br w:val="nil"/>
                    <w:tr2bl w:val="nil"/>
                  </w:tcBorders>
                  <w:vAlign w:val="center"/>
                </w:tcPr>
                <w:p w14:paraId="214463F8">
                  <w:pPr>
                    <w:jc w:val="center"/>
                    <w:rPr>
                      <w:rFonts w:hint="default" w:ascii="Times New Roman" w:hAnsi="Times New Roman" w:cs="Times New Roman"/>
                      <w:color w:val="auto"/>
                      <w:sz w:val="18"/>
                      <w:szCs w:val="18"/>
                    </w:rPr>
                  </w:pPr>
                </w:p>
              </w:tc>
              <w:tc>
                <w:tcPr>
                  <w:tcW w:w="658" w:type="pct"/>
                  <w:tcBorders>
                    <w:tl2br w:val="nil"/>
                    <w:tr2bl w:val="nil"/>
                  </w:tcBorders>
                  <w:vAlign w:val="center"/>
                </w:tcPr>
                <w:p w14:paraId="57BBD41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SO</w:t>
                  </w:r>
                  <w:r>
                    <w:rPr>
                      <w:rFonts w:hint="default" w:ascii="Times New Roman" w:hAnsi="Times New Roman" w:cs="Times New Roman"/>
                      <w:color w:val="auto"/>
                      <w:kern w:val="0"/>
                      <w:sz w:val="18"/>
                      <w:szCs w:val="18"/>
                      <w:vertAlign w:val="subscript"/>
                      <w:lang w:bidi="ar"/>
                    </w:rPr>
                    <w:t>2</w:t>
                  </w:r>
                </w:p>
              </w:tc>
              <w:tc>
                <w:tcPr>
                  <w:tcW w:w="453" w:type="pct"/>
                  <w:tcBorders>
                    <w:tl2br w:val="nil"/>
                    <w:tr2bl w:val="nil"/>
                  </w:tcBorders>
                  <w:vAlign w:val="center"/>
                </w:tcPr>
                <w:p w14:paraId="5BC4078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0.957</w:t>
                  </w:r>
                </w:p>
              </w:tc>
              <w:tc>
                <w:tcPr>
                  <w:tcW w:w="453" w:type="pct"/>
                  <w:tcBorders>
                    <w:tl2br w:val="nil"/>
                    <w:tr2bl w:val="nil"/>
                  </w:tcBorders>
                  <w:vAlign w:val="center"/>
                </w:tcPr>
                <w:p w14:paraId="0A628D2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0.957</w:t>
                  </w:r>
                </w:p>
              </w:tc>
              <w:tc>
                <w:tcPr>
                  <w:tcW w:w="453" w:type="pct"/>
                  <w:tcBorders>
                    <w:tl2br w:val="nil"/>
                    <w:tr2bl w:val="nil"/>
                  </w:tcBorders>
                  <w:vAlign w:val="center"/>
                </w:tcPr>
                <w:p w14:paraId="01CEF93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1.06</w:t>
                  </w:r>
                </w:p>
              </w:tc>
              <w:tc>
                <w:tcPr>
                  <w:tcW w:w="453" w:type="pct"/>
                  <w:tcBorders>
                    <w:tl2br w:val="nil"/>
                    <w:tr2bl w:val="nil"/>
                  </w:tcBorders>
                  <w:vAlign w:val="center"/>
                </w:tcPr>
                <w:p w14:paraId="7C3AEB0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742" w:type="dxa"/>
                  <w:tcBorders>
                    <w:tl2br w:val="nil"/>
                    <w:tr2bl w:val="nil"/>
                  </w:tcBorders>
                  <w:vAlign w:val="center"/>
                </w:tcPr>
                <w:p w14:paraId="7B581D2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0.957</w:t>
                  </w:r>
                </w:p>
              </w:tc>
              <w:tc>
                <w:tcPr>
                  <w:tcW w:w="454" w:type="pct"/>
                  <w:tcBorders>
                    <w:tl2br w:val="nil"/>
                    <w:tr2bl w:val="nil"/>
                  </w:tcBorders>
                  <w:vAlign w:val="center"/>
                </w:tcPr>
                <w:p w14:paraId="7E6434D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2.017</w:t>
                  </w:r>
                </w:p>
              </w:tc>
              <w:tc>
                <w:tcPr>
                  <w:tcW w:w="467" w:type="pct"/>
                  <w:tcBorders>
                    <w:tl2br w:val="nil"/>
                    <w:tr2bl w:val="nil"/>
                  </w:tcBorders>
                  <w:vAlign w:val="center"/>
                </w:tcPr>
                <w:p w14:paraId="654B1E4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r>
            <w:tr w14:paraId="08A3B9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348" w:type="pct"/>
                  <w:vMerge w:val="continue"/>
                  <w:tcBorders>
                    <w:tl2br w:val="nil"/>
                    <w:tr2bl w:val="nil"/>
                  </w:tcBorders>
                  <w:vAlign w:val="center"/>
                </w:tcPr>
                <w:p w14:paraId="7102C06C">
                  <w:pPr>
                    <w:jc w:val="center"/>
                    <w:rPr>
                      <w:rFonts w:hint="default" w:ascii="Times New Roman" w:hAnsi="Times New Roman" w:cs="Times New Roman"/>
                      <w:color w:val="auto"/>
                      <w:sz w:val="18"/>
                      <w:szCs w:val="18"/>
                    </w:rPr>
                  </w:pPr>
                </w:p>
              </w:tc>
              <w:tc>
                <w:tcPr>
                  <w:tcW w:w="399" w:type="pct"/>
                  <w:vMerge w:val="continue"/>
                  <w:tcBorders>
                    <w:tl2br w:val="nil"/>
                    <w:tr2bl w:val="nil"/>
                  </w:tcBorders>
                  <w:vAlign w:val="center"/>
                </w:tcPr>
                <w:p w14:paraId="119CDBA9">
                  <w:pPr>
                    <w:jc w:val="center"/>
                    <w:rPr>
                      <w:rFonts w:hint="default" w:ascii="Times New Roman" w:hAnsi="Times New Roman" w:cs="Times New Roman"/>
                      <w:color w:val="auto"/>
                      <w:sz w:val="18"/>
                      <w:szCs w:val="18"/>
                    </w:rPr>
                  </w:pPr>
                </w:p>
              </w:tc>
              <w:tc>
                <w:tcPr>
                  <w:tcW w:w="406" w:type="pct"/>
                  <w:vMerge w:val="continue"/>
                  <w:tcBorders>
                    <w:tl2br w:val="nil"/>
                    <w:tr2bl w:val="nil"/>
                  </w:tcBorders>
                  <w:vAlign w:val="center"/>
                </w:tcPr>
                <w:p w14:paraId="49A38F93">
                  <w:pPr>
                    <w:jc w:val="center"/>
                    <w:rPr>
                      <w:rFonts w:hint="default" w:ascii="Times New Roman" w:hAnsi="Times New Roman" w:cs="Times New Roman"/>
                      <w:color w:val="auto"/>
                      <w:sz w:val="18"/>
                      <w:szCs w:val="18"/>
                    </w:rPr>
                  </w:pPr>
                </w:p>
              </w:tc>
              <w:tc>
                <w:tcPr>
                  <w:tcW w:w="658" w:type="pct"/>
                  <w:tcBorders>
                    <w:tl2br w:val="nil"/>
                    <w:tr2bl w:val="nil"/>
                  </w:tcBorders>
                  <w:vAlign w:val="center"/>
                </w:tcPr>
                <w:p w14:paraId="22C7E88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NO</w:t>
                  </w:r>
                  <w:r>
                    <w:rPr>
                      <w:rFonts w:hint="default" w:ascii="Times New Roman" w:hAnsi="Times New Roman" w:cs="Times New Roman"/>
                      <w:color w:val="auto"/>
                      <w:kern w:val="0"/>
                      <w:sz w:val="18"/>
                      <w:szCs w:val="18"/>
                      <w:vertAlign w:val="subscript"/>
                      <w:lang w:bidi="ar"/>
                    </w:rPr>
                    <w:t>X</w:t>
                  </w:r>
                </w:p>
              </w:tc>
              <w:tc>
                <w:tcPr>
                  <w:tcW w:w="453" w:type="pct"/>
                  <w:tcBorders>
                    <w:tl2br w:val="nil"/>
                    <w:tr2bl w:val="nil"/>
                  </w:tcBorders>
                  <w:vAlign w:val="center"/>
                </w:tcPr>
                <w:p w14:paraId="6A311D2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5.24</w:t>
                  </w:r>
                </w:p>
              </w:tc>
              <w:tc>
                <w:tcPr>
                  <w:tcW w:w="453" w:type="pct"/>
                  <w:tcBorders>
                    <w:tl2br w:val="nil"/>
                    <w:tr2bl w:val="nil"/>
                  </w:tcBorders>
                  <w:vAlign w:val="center"/>
                </w:tcPr>
                <w:p w14:paraId="79380FE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5.24</w:t>
                  </w:r>
                </w:p>
              </w:tc>
              <w:tc>
                <w:tcPr>
                  <w:tcW w:w="453" w:type="pct"/>
                  <w:tcBorders>
                    <w:tl2br w:val="nil"/>
                    <w:tr2bl w:val="nil"/>
                  </w:tcBorders>
                  <w:vAlign w:val="center"/>
                </w:tcPr>
                <w:p w14:paraId="76C7B7C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8.41</w:t>
                  </w:r>
                </w:p>
              </w:tc>
              <w:tc>
                <w:tcPr>
                  <w:tcW w:w="453" w:type="pct"/>
                  <w:tcBorders>
                    <w:tl2br w:val="nil"/>
                    <w:tr2bl w:val="nil"/>
                  </w:tcBorders>
                  <w:vAlign w:val="center"/>
                </w:tcPr>
                <w:p w14:paraId="66E1846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742" w:type="dxa"/>
                  <w:tcBorders>
                    <w:tl2br w:val="nil"/>
                    <w:tr2bl w:val="nil"/>
                  </w:tcBorders>
                  <w:vAlign w:val="center"/>
                </w:tcPr>
                <w:p w14:paraId="74A0ADF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5.24</w:t>
                  </w:r>
                </w:p>
              </w:tc>
              <w:tc>
                <w:tcPr>
                  <w:tcW w:w="454" w:type="pct"/>
                  <w:tcBorders>
                    <w:tl2br w:val="nil"/>
                    <w:tr2bl w:val="nil"/>
                  </w:tcBorders>
                  <w:vAlign w:val="center"/>
                </w:tcPr>
                <w:p w14:paraId="533FD5E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13.65</w:t>
                  </w:r>
                </w:p>
              </w:tc>
              <w:tc>
                <w:tcPr>
                  <w:tcW w:w="467" w:type="pct"/>
                  <w:tcBorders>
                    <w:tl2br w:val="nil"/>
                    <w:tr2bl w:val="nil"/>
                  </w:tcBorders>
                  <w:vAlign w:val="center"/>
                </w:tcPr>
                <w:p w14:paraId="52FE80E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r>
            <w:tr w14:paraId="1C4302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48" w:type="pct"/>
                  <w:vMerge w:val="continue"/>
                  <w:tcBorders>
                    <w:tl2br w:val="nil"/>
                    <w:tr2bl w:val="nil"/>
                  </w:tcBorders>
                  <w:vAlign w:val="center"/>
                </w:tcPr>
                <w:p w14:paraId="0C2129D9">
                  <w:pPr>
                    <w:jc w:val="center"/>
                    <w:rPr>
                      <w:rFonts w:hint="default" w:ascii="Times New Roman" w:hAnsi="Times New Roman" w:cs="Times New Roman"/>
                      <w:color w:val="auto"/>
                      <w:sz w:val="18"/>
                      <w:szCs w:val="18"/>
                    </w:rPr>
                  </w:pPr>
                </w:p>
              </w:tc>
              <w:tc>
                <w:tcPr>
                  <w:tcW w:w="399" w:type="pct"/>
                  <w:vMerge w:val="continue"/>
                  <w:tcBorders>
                    <w:tl2br w:val="nil"/>
                    <w:tr2bl w:val="nil"/>
                  </w:tcBorders>
                  <w:vAlign w:val="center"/>
                </w:tcPr>
                <w:p w14:paraId="6F4F0E65">
                  <w:pPr>
                    <w:jc w:val="center"/>
                    <w:rPr>
                      <w:rFonts w:hint="default" w:ascii="Times New Roman" w:hAnsi="Times New Roman" w:cs="Times New Roman"/>
                      <w:color w:val="auto"/>
                      <w:sz w:val="18"/>
                      <w:szCs w:val="18"/>
                    </w:rPr>
                  </w:pPr>
                </w:p>
              </w:tc>
              <w:tc>
                <w:tcPr>
                  <w:tcW w:w="406" w:type="pct"/>
                  <w:vMerge w:val="continue"/>
                  <w:tcBorders>
                    <w:tl2br w:val="nil"/>
                    <w:tr2bl w:val="nil"/>
                  </w:tcBorders>
                  <w:vAlign w:val="center"/>
                </w:tcPr>
                <w:p w14:paraId="46E82B1B">
                  <w:pPr>
                    <w:jc w:val="center"/>
                    <w:rPr>
                      <w:rFonts w:hint="default" w:ascii="Times New Roman" w:hAnsi="Times New Roman" w:cs="Times New Roman"/>
                      <w:color w:val="auto"/>
                      <w:sz w:val="18"/>
                      <w:szCs w:val="18"/>
                    </w:rPr>
                  </w:pPr>
                </w:p>
              </w:tc>
              <w:tc>
                <w:tcPr>
                  <w:tcW w:w="658" w:type="pct"/>
                  <w:tcBorders>
                    <w:tl2br w:val="nil"/>
                    <w:tr2bl w:val="nil"/>
                  </w:tcBorders>
                  <w:vAlign w:val="center"/>
                </w:tcPr>
                <w:p w14:paraId="53CA92B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HCl</w:t>
                  </w:r>
                </w:p>
              </w:tc>
              <w:tc>
                <w:tcPr>
                  <w:tcW w:w="453" w:type="pct"/>
                  <w:tcBorders>
                    <w:tl2br w:val="nil"/>
                    <w:tr2bl w:val="nil"/>
                  </w:tcBorders>
                  <w:vAlign w:val="center"/>
                </w:tcPr>
                <w:p w14:paraId="1D6C0DA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53" w:type="pct"/>
                  <w:tcBorders>
                    <w:tl2br w:val="nil"/>
                    <w:tr2bl w:val="nil"/>
                  </w:tcBorders>
                  <w:vAlign w:val="center"/>
                </w:tcPr>
                <w:p w14:paraId="555504A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53" w:type="pct"/>
                  <w:tcBorders>
                    <w:tl2br w:val="nil"/>
                    <w:tr2bl w:val="nil"/>
                  </w:tcBorders>
                  <w:vAlign w:val="center"/>
                </w:tcPr>
                <w:p w14:paraId="39A068F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2.23</w:t>
                  </w:r>
                </w:p>
              </w:tc>
              <w:tc>
                <w:tcPr>
                  <w:tcW w:w="453" w:type="pct"/>
                  <w:tcBorders>
                    <w:tl2br w:val="nil"/>
                    <w:tr2bl w:val="nil"/>
                  </w:tcBorders>
                  <w:vAlign w:val="center"/>
                </w:tcPr>
                <w:p w14:paraId="59E78D9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742" w:type="dxa"/>
                  <w:tcBorders>
                    <w:tl2br w:val="nil"/>
                    <w:tr2bl w:val="nil"/>
                  </w:tcBorders>
                  <w:vAlign w:val="center"/>
                </w:tcPr>
                <w:p w14:paraId="232FCD1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54" w:type="pct"/>
                  <w:tcBorders>
                    <w:tl2br w:val="nil"/>
                    <w:tr2bl w:val="nil"/>
                  </w:tcBorders>
                  <w:vAlign w:val="center"/>
                </w:tcPr>
                <w:p w14:paraId="7BDBF97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67" w:type="pct"/>
                  <w:tcBorders>
                    <w:tl2br w:val="nil"/>
                    <w:tr2bl w:val="nil"/>
                  </w:tcBorders>
                  <w:vAlign w:val="center"/>
                </w:tcPr>
                <w:p w14:paraId="40FF469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r>
            <w:tr w14:paraId="3A90B6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348" w:type="pct"/>
                  <w:vMerge w:val="continue"/>
                  <w:tcBorders>
                    <w:tl2br w:val="nil"/>
                    <w:tr2bl w:val="nil"/>
                  </w:tcBorders>
                  <w:vAlign w:val="center"/>
                </w:tcPr>
                <w:p w14:paraId="51CFD31B">
                  <w:pPr>
                    <w:jc w:val="center"/>
                    <w:rPr>
                      <w:rFonts w:hint="default" w:ascii="Times New Roman" w:hAnsi="Times New Roman" w:cs="Times New Roman"/>
                      <w:color w:val="auto"/>
                      <w:sz w:val="18"/>
                      <w:szCs w:val="18"/>
                    </w:rPr>
                  </w:pPr>
                </w:p>
              </w:tc>
              <w:tc>
                <w:tcPr>
                  <w:tcW w:w="399" w:type="pct"/>
                  <w:vMerge w:val="continue"/>
                  <w:tcBorders>
                    <w:tl2br w:val="nil"/>
                    <w:tr2bl w:val="nil"/>
                  </w:tcBorders>
                  <w:vAlign w:val="center"/>
                </w:tcPr>
                <w:p w14:paraId="2CE2A214">
                  <w:pPr>
                    <w:jc w:val="center"/>
                    <w:rPr>
                      <w:rFonts w:hint="default" w:ascii="Times New Roman" w:hAnsi="Times New Roman" w:cs="Times New Roman"/>
                      <w:color w:val="auto"/>
                      <w:sz w:val="18"/>
                      <w:szCs w:val="18"/>
                    </w:rPr>
                  </w:pPr>
                </w:p>
              </w:tc>
              <w:tc>
                <w:tcPr>
                  <w:tcW w:w="406" w:type="pct"/>
                  <w:vMerge w:val="continue"/>
                  <w:tcBorders>
                    <w:tl2br w:val="nil"/>
                    <w:tr2bl w:val="nil"/>
                  </w:tcBorders>
                  <w:vAlign w:val="center"/>
                </w:tcPr>
                <w:p w14:paraId="0D70A8FE">
                  <w:pPr>
                    <w:jc w:val="center"/>
                    <w:rPr>
                      <w:rFonts w:hint="default" w:ascii="Times New Roman" w:hAnsi="Times New Roman" w:cs="Times New Roman"/>
                      <w:color w:val="auto"/>
                      <w:sz w:val="18"/>
                      <w:szCs w:val="18"/>
                    </w:rPr>
                  </w:pPr>
                </w:p>
              </w:tc>
              <w:tc>
                <w:tcPr>
                  <w:tcW w:w="658" w:type="pct"/>
                  <w:tcBorders>
                    <w:tl2br w:val="nil"/>
                    <w:tr2bl w:val="nil"/>
                  </w:tcBorders>
                  <w:vAlign w:val="center"/>
                </w:tcPr>
                <w:p w14:paraId="360FD5F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NH</w:t>
                  </w:r>
                  <w:r>
                    <w:rPr>
                      <w:rFonts w:hint="default" w:ascii="Times New Roman" w:hAnsi="Times New Roman" w:cs="Times New Roman"/>
                      <w:color w:val="auto"/>
                      <w:kern w:val="0"/>
                      <w:sz w:val="18"/>
                      <w:szCs w:val="18"/>
                      <w:vertAlign w:val="subscript"/>
                      <w:lang w:bidi="ar"/>
                    </w:rPr>
                    <w:t>3</w:t>
                  </w:r>
                </w:p>
              </w:tc>
              <w:tc>
                <w:tcPr>
                  <w:tcW w:w="453" w:type="pct"/>
                  <w:tcBorders>
                    <w:tl2br w:val="nil"/>
                    <w:tr2bl w:val="nil"/>
                  </w:tcBorders>
                  <w:vAlign w:val="center"/>
                </w:tcPr>
                <w:p w14:paraId="188F44D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53" w:type="pct"/>
                  <w:tcBorders>
                    <w:tl2br w:val="nil"/>
                    <w:tr2bl w:val="nil"/>
                  </w:tcBorders>
                  <w:vAlign w:val="center"/>
                </w:tcPr>
                <w:p w14:paraId="4B5087C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53" w:type="pct"/>
                  <w:tcBorders>
                    <w:tl2br w:val="nil"/>
                    <w:tr2bl w:val="nil"/>
                  </w:tcBorders>
                  <w:vAlign w:val="center"/>
                </w:tcPr>
                <w:p w14:paraId="6B74D1E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0.62</w:t>
                  </w:r>
                </w:p>
              </w:tc>
              <w:tc>
                <w:tcPr>
                  <w:tcW w:w="453" w:type="pct"/>
                  <w:tcBorders>
                    <w:tl2br w:val="nil"/>
                    <w:tr2bl w:val="nil"/>
                  </w:tcBorders>
                  <w:vAlign w:val="center"/>
                </w:tcPr>
                <w:p w14:paraId="7BA650A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742" w:type="dxa"/>
                  <w:tcBorders>
                    <w:tl2br w:val="nil"/>
                    <w:tr2bl w:val="nil"/>
                  </w:tcBorders>
                  <w:vAlign w:val="center"/>
                </w:tcPr>
                <w:p w14:paraId="3670211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54" w:type="pct"/>
                  <w:tcBorders>
                    <w:tl2br w:val="nil"/>
                    <w:tr2bl w:val="nil"/>
                  </w:tcBorders>
                  <w:vAlign w:val="center"/>
                </w:tcPr>
                <w:p w14:paraId="06B2E2F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67" w:type="pct"/>
                  <w:tcBorders>
                    <w:tl2br w:val="nil"/>
                    <w:tr2bl w:val="nil"/>
                  </w:tcBorders>
                  <w:vAlign w:val="center"/>
                </w:tcPr>
                <w:p w14:paraId="17B94B7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r>
            <w:tr w14:paraId="0D602B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48" w:type="pct"/>
                  <w:vMerge w:val="continue"/>
                  <w:tcBorders>
                    <w:tl2br w:val="nil"/>
                    <w:tr2bl w:val="nil"/>
                  </w:tcBorders>
                  <w:vAlign w:val="center"/>
                </w:tcPr>
                <w:p w14:paraId="5CC099A7">
                  <w:pPr>
                    <w:jc w:val="center"/>
                    <w:rPr>
                      <w:rFonts w:hint="default" w:ascii="Times New Roman" w:hAnsi="Times New Roman" w:cs="Times New Roman"/>
                      <w:color w:val="auto"/>
                      <w:sz w:val="18"/>
                      <w:szCs w:val="18"/>
                    </w:rPr>
                  </w:pPr>
                </w:p>
              </w:tc>
              <w:tc>
                <w:tcPr>
                  <w:tcW w:w="399" w:type="pct"/>
                  <w:vMerge w:val="continue"/>
                  <w:tcBorders>
                    <w:tl2br w:val="nil"/>
                    <w:tr2bl w:val="nil"/>
                  </w:tcBorders>
                  <w:vAlign w:val="center"/>
                </w:tcPr>
                <w:p w14:paraId="63D37FB2">
                  <w:pPr>
                    <w:jc w:val="center"/>
                    <w:rPr>
                      <w:rFonts w:hint="default" w:ascii="Times New Roman" w:hAnsi="Times New Roman" w:cs="Times New Roman"/>
                      <w:color w:val="auto"/>
                      <w:sz w:val="18"/>
                      <w:szCs w:val="18"/>
                    </w:rPr>
                  </w:pPr>
                </w:p>
              </w:tc>
              <w:tc>
                <w:tcPr>
                  <w:tcW w:w="406" w:type="pct"/>
                  <w:vMerge w:val="continue"/>
                  <w:tcBorders>
                    <w:tl2br w:val="nil"/>
                    <w:tr2bl w:val="nil"/>
                  </w:tcBorders>
                  <w:vAlign w:val="center"/>
                </w:tcPr>
                <w:p w14:paraId="43D6BC4F">
                  <w:pPr>
                    <w:jc w:val="center"/>
                    <w:rPr>
                      <w:rFonts w:hint="default" w:ascii="Times New Roman" w:hAnsi="Times New Roman" w:cs="Times New Roman"/>
                      <w:color w:val="auto"/>
                      <w:sz w:val="18"/>
                      <w:szCs w:val="18"/>
                    </w:rPr>
                  </w:pPr>
                </w:p>
              </w:tc>
              <w:tc>
                <w:tcPr>
                  <w:tcW w:w="658" w:type="pct"/>
                  <w:tcBorders>
                    <w:tl2br w:val="nil"/>
                    <w:tr2bl w:val="nil"/>
                  </w:tcBorders>
                  <w:vAlign w:val="center"/>
                </w:tcPr>
                <w:p w14:paraId="20030B1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油雾</w:t>
                  </w:r>
                </w:p>
              </w:tc>
              <w:tc>
                <w:tcPr>
                  <w:tcW w:w="453" w:type="pct"/>
                  <w:tcBorders>
                    <w:tl2br w:val="nil"/>
                    <w:tr2bl w:val="nil"/>
                  </w:tcBorders>
                  <w:vAlign w:val="center"/>
                </w:tcPr>
                <w:p w14:paraId="2FCCB2B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53" w:type="pct"/>
                  <w:tcBorders>
                    <w:tl2br w:val="nil"/>
                    <w:tr2bl w:val="nil"/>
                  </w:tcBorders>
                  <w:vAlign w:val="center"/>
                </w:tcPr>
                <w:p w14:paraId="5AF0F60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53" w:type="pct"/>
                  <w:tcBorders>
                    <w:tl2br w:val="nil"/>
                    <w:tr2bl w:val="nil"/>
                  </w:tcBorders>
                  <w:vAlign w:val="center"/>
                </w:tcPr>
                <w:p w14:paraId="691AC1A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1.12</w:t>
                  </w:r>
                </w:p>
              </w:tc>
              <w:tc>
                <w:tcPr>
                  <w:tcW w:w="453" w:type="pct"/>
                  <w:tcBorders>
                    <w:tl2br w:val="nil"/>
                    <w:tr2bl w:val="nil"/>
                  </w:tcBorders>
                  <w:vAlign w:val="center"/>
                </w:tcPr>
                <w:p w14:paraId="428336F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742" w:type="dxa"/>
                  <w:tcBorders>
                    <w:tl2br w:val="nil"/>
                    <w:tr2bl w:val="nil"/>
                  </w:tcBorders>
                  <w:vAlign w:val="center"/>
                </w:tcPr>
                <w:p w14:paraId="3EDFCC9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54" w:type="pct"/>
                  <w:tcBorders>
                    <w:tl2br w:val="nil"/>
                    <w:tr2bl w:val="nil"/>
                  </w:tcBorders>
                  <w:vAlign w:val="center"/>
                </w:tcPr>
                <w:p w14:paraId="2AB96FB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67" w:type="pct"/>
                  <w:tcBorders>
                    <w:tl2br w:val="nil"/>
                    <w:tr2bl w:val="nil"/>
                  </w:tcBorders>
                  <w:vAlign w:val="center"/>
                </w:tcPr>
                <w:p w14:paraId="26FE85C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r>
            <w:tr w14:paraId="5B2F0D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48" w:type="pct"/>
                  <w:vMerge w:val="continue"/>
                  <w:tcBorders>
                    <w:tl2br w:val="nil"/>
                    <w:tr2bl w:val="nil"/>
                  </w:tcBorders>
                  <w:vAlign w:val="center"/>
                </w:tcPr>
                <w:p w14:paraId="3D84884A">
                  <w:pPr>
                    <w:jc w:val="center"/>
                    <w:rPr>
                      <w:rFonts w:hint="default" w:ascii="Times New Roman" w:hAnsi="Times New Roman" w:cs="Times New Roman"/>
                      <w:color w:val="auto"/>
                      <w:sz w:val="18"/>
                      <w:szCs w:val="18"/>
                    </w:rPr>
                  </w:pPr>
                </w:p>
              </w:tc>
              <w:tc>
                <w:tcPr>
                  <w:tcW w:w="399" w:type="pct"/>
                  <w:vMerge w:val="continue"/>
                  <w:tcBorders>
                    <w:tl2br w:val="nil"/>
                    <w:tr2bl w:val="nil"/>
                  </w:tcBorders>
                  <w:vAlign w:val="center"/>
                </w:tcPr>
                <w:p w14:paraId="206D50A2">
                  <w:pPr>
                    <w:jc w:val="center"/>
                    <w:rPr>
                      <w:rFonts w:hint="default" w:ascii="Times New Roman" w:hAnsi="Times New Roman" w:cs="Times New Roman"/>
                      <w:color w:val="auto"/>
                      <w:sz w:val="18"/>
                      <w:szCs w:val="18"/>
                    </w:rPr>
                  </w:pPr>
                </w:p>
              </w:tc>
              <w:tc>
                <w:tcPr>
                  <w:tcW w:w="406" w:type="pct"/>
                  <w:vMerge w:val="restart"/>
                  <w:tcBorders>
                    <w:tl2br w:val="nil"/>
                    <w:tr2bl w:val="nil"/>
                  </w:tcBorders>
                  <w:vAlign w:val="center"/>
                </w:tcPr>
                <w:p w14:paraId="1CBB10D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无组织</w:t>
                  </w:r>
                </w:p>
              </w:tc>
              <w:tc>
                <w:tcPr>
                  <w:tcW w:w="658" w:type="pct"/>
                  <w:tcBorders>
                    <w:tl2br w:val="nil"/>
                    <w:tr2bl w:val="nil"/>
                  </w:tcBorders>
                  <w:vAlign w:val="center"/>
                </w:tcPr>
                <w:p w14:paraId="4F821EE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颗粒物</w:t>
                  </w:r>
                </w:p>
              </w:tc>
              <w:tc>
                <w:tcPr>
                  <w:tcW w:w="453" w:type="pct"/>
                  <w:tcBorders>
                    <w:tl2br w:val="nil"/>
                    <w:tr2bl w:val="nil"/>
                  </w:tcBorders>
                  <w:vAlign w:val="center"/>
                </w:tcPr>
                <w:p w14:paraId="4DE9A95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4.8</w:t>
                  </w:r>
                </w:p>
              </w:tc>
              <w:tc>
                <w:tcPr>
                  <w:tcW w:w="453" w:type="pct"/>
                  <w:tcBorders>
                    <w:tl2br w:val="nil"/>
                    <w:tr2bl w:val="nil"/>
                  </w:tcBorders>
                  <w:vAlign w:val="center"/>
                </w:tcPr>
                <w:p w14:paraId="181150E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4.8</w:t>
                  </w:r>
                </w:p>
              </w:tc>
              <w:tc>
                <w:tcPr>
                  <w:tcW w:w="453" w:type="pct"/>
                  <w:tcBorders>
                    <w:tl2br w:val="nil"/>
                    <w:tr2bl w:val="nil"/>
                  </w:tcBorders>
                  <w:vAlign w:val="center"/>
                </w:tcPr>
                <w:p w14:paraId="6B58BA6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1.434</w:t>
                  </w:r>
                </w:p>
              </w:tc>
              <w:tc>
                <w:tcPr>
                  <w:tcW w:w="453" w:type="pct"/>
                  <w:tcBorders>
                    <w:tl2br w:val="nil"/>
                    <w:tr2bl w:val="nil"/>
                  </w:tcBorders>
                  <w:vAlign w:val="center"/>
                </w:tcPr>
                <w:p w14:paraId="45F2F1A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742" w:type="dxa"/>
                  <w:tcBorders>
                    <w:tl2br w:val="nil"/>
                    <w:tr2bl w:val="nil"/>
                  </w:tcBorders>
                  <w:vAlign w:val="center"/>
                </w:tcPr>
                <w:p w14:paraId="142C97F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4.8</w:t>
                  </w:r>
                </w:p>
              </w:tc>
              <w:tc>
                <w:tcPr>
                  <w:tcW w:w="454" w:type="pct"/>
                  <w:tcBorders>
                    <w:tl2br w:val="nil"/>
                    <w:tr2bl w:val="nil"/>
                  </w:tcBorders>
                  <w:vAlign w:val="center"/>
                </w:tcPr>
                <w:p w14:paraId="0DCE967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6.234</w:t>
                  </w:r>
                </w:p>
              </w:tc>
              <w:tc>
                <w:tcPr>
                  <w:tcW w:w="467" w:type="pct"/>
                  <w:tcBorders>
                    <w:tl2br w:val="nil"/>
                    <w:tr2bl w:val="nil"/>
                  </w:tcBorders>
                  <w:vAlign w:val="center"/>
                </w:tcPr>
                <w:p w14:paraId="496FA58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r>
            <w:tr w14:paraId="74512F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48" w:type="pct"/>
                  <w:vMerge w:val="continue"/>
                  <w:tcBorders>
                    <w:tl2br w:val="nil"/>
                    <w:tr2bl w:val="nil"/>
                  </w:tcBorders>
                  <w:vAlign w:val="center"/>
                </w:tcPr>
                <w:p w14:paraId="371C5A32">
                  <w:pPr>
                    <w:jc w:val="center"/>
                    <w:rPr>
                      <w:rFonts w:hint="default" w:ascii="Times New Roman" w:hAnsi="Times New Roman" w:cs="Times New Roman"/>
                      <w:color w:val="auto"/>
                      <w:sz w:val="18"/>
                      <w:szCs w:val="18"/>
                    </w:rPr>
                  </w:pPr>
                </w:p>
              </w:tc>
              <w:tc>
                <w:tcPr>
                  <w:tcW w:w="399" w:type="pct"/>
                  <w:vMerge w:val="continue"/>
                  <w:tcBorders>
                    <w:tl2br w:val="nil"/>
                    <w:tr2bl w:val="nil"/>
                  </w:tcBorders>
                  <w:vAlign w:val="center"/>
                </w:tcPr>
                <w:p w14:paraId="55BCF300">
                  <w:pPr>
                    <w:jc w:val="center"/>
                    <w:rPr>
                      <w:rFonts w:hint="default" w:ascii="Times New Roman" w:hAnsi="Times New Roman" w:cs="Times New Roman"/>
                      <w:color w:val="auto"/>
                      <w:sz w:val="18"/>
                      <w:szCs w:val="18"/>
                    </w:rPr>
                  </w:pPr>
                </w:p>
              </w:tc>
              <w:tc>
                <w:tcPr>
                  <w:tcW w:w="406" w:type="pct"/>
                  <w:vMerge w:val="continue"/>
                  <w:tcBorders>
                    <w:tl2br w:val="nil"/>
                    <w:tr2bl w:val="nil"/>
                  </w:tcBorders>
                  <w:vAlign w:val="center"/>
                </w:tcPr>
                <w:p w14:paraId="4CC321BD">
                  <w:pPr>
                    <w:jc w:val="center"/>
                    <w:rPr>
                      <w:rFonts w:hint="default" w:ascii="Times New Roman" w:hAnsi="Times New Roman" w:cs="Times New Roman"/>
                      <w:color w:val="auto"/>
                      <w:sz w:val="18"/>
                      <w:szCs w:val="18"/>
                    </w:rPr>
                  </w:pPr>
                </w:p>
              </w:tc>
              <w:tc>
                <w:tcPr>
                  <w:tcW w:w="658" w:type="pct"/>
                  <w:tcBorders>
                    <w:tl2br w:val="nil"/>
                    <w:tr2bl w:val="nil"/>
                  </w:tcBorders>
                  <w:vAlign w:val="center"/>
                </w:tcPr>
                <w:p w14:paraId="74F2283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HCl</w:t>
                  </w:r>
                </w:p>
              </w:tc>
              <w:tc>
                <w:tcPr>
                  <w:tcW w:w="453" w:type="pct"/>
                  <w:tcBorders>
                    <w:tl2br w:val="nil"/>
                    <w:tr2bl w:val="nil"/>
                  </w:tcBorders>
                  <w:vAlign w:val="center"/>
                </w:tcPr>
                <w:p w14:paraId="08FE076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53" w:type="pct"/>
                  <w:tcBorders>
                    <w:tl2br w:val="nil"/>
                    <w:tr2bl w:val="nil"/>
                  </w:tcBorders>
                  <w:vAlign w:val="center"/>
                </w:tcPr>
                <w:p w14:paraId="146D9A4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53" w:type="pct"/>
                  <w:tcBorders>
                    <w:tl2br w:val="nil"/>
                    <w:tr2bl w:val="nil"/>
                  </w:tcBorders>
                  <w:vAlign w:val="center"/>
                </w:tcPr>
                <w:p w14:paraId="4BC5978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0.373</w:t>
                  </w:r>
                </w:p>
              </w:tc>
              <w:tc>
                <w:tcPr>
                  <w:tcW w:w="453" w:type="pct"/>
                  <w:tcBorders>
                    <w:tl2br w:val="nil"/>
                    <w:tr2bl w:val="nil"/>
                  </w:tcBorders>
                  <w:vAlign w:val="center"/>
                </w:tcPr>
                <w:p w14:paraId="7652CCD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742" w:type="dxa"/>
                  <w:tcBorders>
                    <w:tl2br w:val="nil"/>
                    <w:tr2bl w:val="nil"/>
                  </w:tcBorders>
                  <w:vAlign w:val="center"/>
                </w:tcPr>
                <w:p w14:paraId="61883F4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54" w:type="pct"/>
                  <w:tcBorders>
                    <w:tl2br w:val="nil"/>
                    <w:tr2bl w:val="nil"/>
                  </w:tcBorders>
                  <w:vAlign w:val="center"/>
                </w:tcPr>
                <w:p w14:paraId="42F12AA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67" w:type="pct"/>
                  <w:tcBorders>
                    <w:tl2br w:val="nil"/>
                    <w:tr2bl w:val="nil"/>
                  </w:tcBorders>
                  <w:vAlign w:val="center"/>
                </w:tcPr>
                <w:p w14:paraId="38FD9BD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r>
            <w:tr w14:paraId="3E262A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348" w:type="pct"/>
                  <w:vMerge w:val="continue"/>
                  <w:tcBorders>
                    <w:tl2br w:val="nil"/>
                    <w:tr2bl w:val="nil"/>
                  </w:tcBorders>
                  <w:vAlign w:val="center"/>
                </w:tcPr>
                <w:p w14:paraId="6990516C">
                  <w:pPr>
                    <w:jc w:val="center"/>
                    <w:rPr>
                      <w:rFonts w:hint="default" w:ascii="Times New Roman" w:hAnsi="Times New Roman" w:cs="Times New Roman"/>
                      <w:color w:val="auto"/>
                      <w:sz w:val="18"/>
                      <w:szCs w:val="18"/>
                    </w:rPr>
                  </w:pPr>
                </w:p>
              </w:tc>
              <w:tc>
                <w:tcPr>
                  <w:tcW w:w="399" w:type="pct"/>
                  <w:vMerge w:val="continue"/>
                  <w:tcBorders>
                    <w:tl2br w:val="nil"/>
                    <w:tr2bl w:val="nil"/>
                  </w:tcBorders>
                  <w:vAlign w:val="center"/>
                </w:tcPr>
                <w:p w14:paraId="60907BC4">
                  <w:pPr>
                    <w:jc w:val="center"/>
                    <w:rPr>
                      <w:rFonts w:hint="default" w:ascii="Times New Roman" w:hAnsi="Times New Roman" w:cs="Times New Roman"/>
                      <w:color w:val="auto"/>
                      <w:sz w:val="18"/>
                      <w:szCs w:val="18"/>
                    </w:rPr>
                  </w:pPr>
                </w:p>
              </w:tc>
              <w:tc>
                <w:tcPr>
                  <w:tcW w:w="406" w:type="pct"/>
                  <w:vMerge w:val="continue"/>
                  <w:tcBorders>
                    <w:tl2br w:val="nil"/>
                    <w:tr2bl w:val="nil"/>
                  </w:tcBorders>
                  <w:vAlign w:val="center"/>
                </w:tcPr>
                <w:p w14:paraId="21E8FEBF">
                  <w:pPr>
                    <w:jc w:val="center"/>
                    <w:rPr>
                      <w:rFonts w:hint="default" w:ascii="Times New Roman" w:hAnsi="Times New Roman" w:cs="Times New Roman"/>
                      <w:color w:val="auto"/>
                      <w:sz w:val="18"/>
                      <w:szCs w:val="18"/>
                    </w:rPr>
                  </w:pPr>
                </w:p>
              </w:tc>
              <w:tc>
                <w:tcPr>
                  <w:tcW w:w="658" w:type="pct"/>
                  <w:tcBorders>
                    <w:tl2br w:val="nil"/>
                    <w:tr2bl w:val="nil"/>
                  </w:tcBorders>
                  <w:vAlign w:val="center"/>
                </w:tcPr>
                <w:p w14:paraId="0281B87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NH</w:t>
                  </w:r>
                  <w:r>
                    <w:rPr>
                      <w:rFonts w:hint="default" w:ascii="Times New Roman" w:hAnsi="Times New Roman" w:cs="Times New Roman"/>
                      <w:color w:val="auto"/>
                      <w:kern w:val="0"/>
                      <w:sz w:val="18"/>
                      <w:szCs w:val="18"/>
                      <w:vertAlign w:val="subscript"/>
                      <w:lang w:bidi="ar"/>
                    </w:rPr>
                    <w:t>3</w:t>
                  </w:r>
                </w:p>
              </w:tc>
              <w:tc>
                <w:tcPr>
                  <w:tcW w:w="453" w:type="pct"/>
                  <w:tcBorders>
                    <w:tl2br w:val="nil"/>
                    <w:tr2bl w:val="nil"/>
                  </w:tcBorders>
                  <w:vAlign w:val="center"/>
                </w:tcPr>
                <w:p w14:paraId="458F316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53" w:type="pct"/>
                  <w:tcBorders>
                    <w:tl2br w:val="nil"/>
                    <w:tr2bl w:val="nil"/>
                  </w:tcBorders>
                  <w:vAlign w:val="center"/>
                </w:tcPr>
                <w:p w14:paraId="2166494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53" w:type="pct"/>
                  <w:tcBorders>
                    <w:tl2br w:val="nil"/>
                    <w:tr2bl w:val="nil"/>
                  </w:tcBorders>
                  <w:vAlign w:val="center"/>
                </w:tcPr>
                <w:p w14:paraId="6C152C7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0.095</w:t>
                  </w:r>
                </w:p>
              </w:tc>
              <w:tc>
                <w:tcPr>
                  <w:tcW w:w="453" w:type="pct"/>
                  <w:tcBorders>
                    <w:tl2br w:val="nil"/>
                    <w:tr2bl w:val="nil"/>
                  </w:tcBorders>
                  <w:vAlign w:val="center"/>
                </w:tcPr>
                <w:p w14:paraId="0358842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742" w:type="dxa"/>
                  <w:tcBorders>
                    <w:tl2br w:val="nil"/>
                    <w:tr2bl w:val="nil"/>
                  </w:tcBorders>
                  <w:vAlign w:val="center"/>
                </w:tcPr>
                <w:p w14:paraId="75D20C8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54" w:type="pct"/>
                  <w:tcBorders>
                    <w:tl2br w:val="nil"/>
                    <w:tr2bl w:val="nil"/>
                  </w:tcBorders>
                  <w:vAlign w:val="center"/>
                </w:tcPr>
                <w:p w14:paraId="1638754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67" w:type="pct"/>
                  <w:tcBorders>
                    <w:tl2br w:val="nil"/>
                    <w:tr2bl w:val="nil"/>
                  </w:tcBorders>
                  <w:vAlign w:val="center"/>
                </w:tcPr>
                <w:p w14:paraId="0EF73E8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r>
            <w:tr w14:paraId="2C7977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48" w:type="pct"/>
                  <w:vMerge w:val="continue"/>
                  <w:tcBorders>
                    <w:tl2br w:val="nil"/>
                    <w:tr2bl w:val="nil"/>
                  </w:tcBorders>
                  <w:vAlign w:val="center"/>
                </w:tcPr>
                <w:p w14:paraId="592A8468">
                  <w:pPr>
                    <w:jc w:val="center"/>
                    <w:rPr>
                      <w:rFonts w:hint="default" w:ascii="Times New Roman" w:hAnsi="Times New Roman" w:cs="Times New Roman"/>
                      <w:color w:val="auto"/>
                      <w:sz w:val="18"/>
                      <w:szCs w:val="18"/>
                    </w:rPr>
                  </w:pPr>
                </w:p>
              </w:tc>
              <w:tc>
                <w:tcPr>
                  <w:tcW w:w="399" w:type="pct"/>
                  <w:vMerge w:val="continue"/>
                  <w:tcBorders>
                    <w:tl2br w:val="nil"/>
                    <w:tr2bl w:val="nil"/>
                  </w:tcBorders>
                  <w:vAlign w:val="center"/>
                </w:tcPr>
                <w:p w14:paraId="4F267CDF">
                  <w:pPr>
                    <w:jc w:val="center"/>
                    <w:rPr>
                      <w:rFonts w:hint="default" w:ascii="Times New Roman" w:hAnsi="Times New Roman" w:cs="Times New Roman"/>
                      <w:color w:val="auto"/>
                      <w:sz w:val="18"/>
                      <w:szCs w:val="18"/>
                    </w:rPr>
                  </w:pPr>
                </w:p>
              </w:tc>
              <w:tc>
                <w:tcPr>
                  <w:tcW w:w="406" w:type="pct"/>
                  <w:vMerge w:val="continue"/>
                  <w:tcBorders>
                    <w:tl2br w:val="nil"/>
                    <w:tr2bl w:val="nil"/>
                  </w:tcBorders>
                  <w:vAlign w:val="center"/>
                </w:tcPr>
                <w:p w14:paraId="129150DB">
                  <w:pPr>
                    <w:jc w:val="center"/>
                    <w:rPr>
                      <w:rFonts w:hint="default" w:ascii="Times New Roman" w:hAnsi="Times New Roman" w:cs="Times New Roman"/>
                      <w:color w:val="auto"/>
                      <w:sz w:val="18"/>
                      <w:szCs w:val="18"/>
                    </w:rPr>
                  </w:pPr>
                </w:p>
              </w:tc>
              <w:tc>
                <w:tcPr>
                  <w:tcW w:w="658" w:type="pct"/>
                  <w:tcBorders>
                    <w:tl2br w:val="nil"/>
                    <w:tr2bl w:val="nil"/>
                  </w:tcBorders>
                  <w:vAlign w:val="center"/>
                </w:tcPr>
                <w:p w14:paraId="6BD78CD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油雾</w:t>
                  </w:r>
                </w:p>
              </w:tc>
              <w:tc>
                <w:tcPr>
                  <w:tcW w:w="453" w:type="pct"/>
                  <w:tcBorders>
                    <w:tl2br w:val="nil"/>
                    <w:tr2bl w:val="nil"/>
                  </w:tcBorders>
                  <w:vAlign w:val="center"/>
                </w:tcPr>
                <w:p w14:paraId="4743FA0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53" w:type="pct"/>
                  <w:tcBorders>
                    <w:tl2br w:val="nil"/>
                    <w:tr2bl w:val="nil"/>
                  </w:tcBorders>
                  <w:vAlign w:val="center"/>
                </w:tcPr>
                <w:p w14:paraId="15DC1FF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53" w:type="pct"/>
                  <w:tcBorders>
                    <w:tl2br w:val="nil"/>
                    <w:tr2bl w:val="nil"/>
                  </w:tcBorders>
                  <w:vAlign w:val="center"/>
                </w:tcPr>
                <w:p w14:paraId="38C1E68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0.3</w:t>
                  </w:r>
                </w:p>
              </w:tc>
              <w:tc>
                <w:tcPr>
                  <w:tcW w:w="453" w:type="pct"/>
                  <w:tcBorders>
                    <w:tl2br w:val="nil"/>
                    <w:tr2bl w:val="nil"/>
                  </w:tcBorders>
                  <w:vAlign w:val="center"/>
                </w:tcPr>
                <w:p w14:paraId="01B650B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742" w:type="dxa"/>
                  <w:tcBorders>
                    <w:tl2br w:val="nil"/>
                    <w:tr2bl w:val="nil"/>
                  </w:tcBorders>
                  <w:vAlign w:val="center"/>
                </w:tcPr>
                <w:p w14:paraId="4A435DB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54" w:type="pct"/>
                  <w:tcBorders>
                    <w:tl2br w:val="nil"/>
                    <w:tr2bl w:val="nil"/>
                  </w:tcBorders>
                  <w:vAlign w:val="center"/>
                </w:tcPr>
                <w:p w14:paraId="156FECA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67" w:type="pct"/>
                  <w:tcBorders>
                    <w:tl2br w:val="nil"/>
                    <w:tr2bl w:val="nil"/>
                  </w:tcBorders>
                  <w:vAlign w:val="center"/>
                </w:tcPr>
                <w:p w14:paraId="01D6E77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r>
            <w:tr w14:paraId="5FC080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48" w:type="pct"/>
                  <w:vMerge w:val="restart"/>
                  <w:tcBorders>
                    <w:tl2br w:val="nil"/>
                    <w:tr2bl w:val="nil"/>
                  </w:tcBorders>
                  <w:vAlign w:val="center"/>
                </w:tcPr>
                <w:p w14:paraId="4AED0B9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2</w:t>
                  </w:r>
                </w:p>
              </w:tc>
              <w:tc>
                <w:tcPr>
                  <w:tcW w:w="399" w:type="pct"/>
                  <w:vMerge w:val="restart"/>
                  <w:tcBorders>
                    <w:tl2br w:val="nil"/>
                    <w:tr2bl w:val="nil"/>
                  </w:tcBorders>
                  <w:vAlign w:val="center"/>
                </w:tcPr>
                <w:p w14:paraId="02E33BE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废水</w:t>
                  </w:r>
                </w:p>
              </w:tc>
              <w:tc>
                <w:tcPr>
                  <w:tcW w:w="1064" w:type="pct"/>
                  <w:gridSpan w:val="2"/>
                  <w:tcBorders>
                    <w:tl2br w:val="nil"/>
                    <w:tr2bl w:val="nil"/>
                  </w:tcBorders>
                  <w:vAlign w:val="center"/>
                </w:tcPr>
                <w:p w14:paraId="627E241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生产废水</w:t>
                  </w:r>
                </w:p>
              </w:tc>
              <w:tc>
                <w:tcPr>
                  <w:tcW w:w="453" w:type="pct"/>
                  <w:tcBorders>
                    <w:tl2br w:val="nil"/>
                    <w:tr2bl w:val="nil"/>
                  </w:tcBorders>
                  <w:vAlign w:val="center"/>
                </w:tcPr>
                <w:p w14:paraId="1C3CA83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453" w:type="pct"/>
                  <w:tcBorders>
                    <w:tl2br w:val="nil"/>
                    <w:tr2bl w:val="nil"/>
                  </w:tcBorders>
                  <w:vAlign w:val="center"/>
                </w:tcPr>
                <w:p w14:paraId="5E0ED0A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453" w:type="pct"/>
                  <w:tcBorders>
                    <w:tl2br w:val="nil"/>
                    <w:tr2bl w:val="nil"/>
                  </w:tcBorders>
                  <w:vAlign w:val="center"/>
                </w:tcPr>
                <w:p w14:paraId="79675BC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453" w:type="pct"/>
                  <w:tcBorders>
                    <w:tl2br w:val="nil"/>
                    <w:tr2bl w:val="nil"/>
                  </w:tcBorders>
                  <w:vAlign w:val="center"/>
                </w:tcPr>
                <w:p w14:paraId="0D37C0B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742" w:type="dxa"/>
                  <w:tcBorders>
                    <w:tl2br w:val="nil"/>
                    <w:tr2bl w:val="nil"/>
                  </w:tcBorders>
                  <w:vAlign w:val="center"/>
                </w:tcPr>
                <w:p w14:paraId="2EE9494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454" w:type="pct"/>
                  <w:tcBorders>
                    <w:tl2br w:val="nil"/>
                    <w:tr2bl w:val="nil"/>
                  </w:tcBorders>
                  <w:vAlign w:val="center"/>
                </w:tcPr>
                <w:p w14:paraId="46AE15D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467" w:type="pct"/>
                  <w:tcBorders>
                    <w:tl2br w:val="nil"/>
                    <w:tr2bl w:val="nil"/>
                  </w:tcBorders>
                  <w:vAlign w:val="center"/>
                </w:tcPr>
                <w:p w14:paraId="1F88D78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r>
            <w:tr w14:paraId="3E44D9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48" w:type="pct"/>
                  <w:vMerge w:val="continue"/>
                  <w:tcBorders>
                    <w:tl2br w:val="nil"/>
                    <w:tr2bl w:val="nil"/>
                  </w:tcBorders>
                  <w:vAlign w:val="center"/>
                </w:tcPr>
                <w:p w14:paraId="770D9186">
                  <w:pPr>
                    <w:jc w:val="center"/>
                    <w:rPr>
                      <w:rFonts w:hint="default" w:ascii="Times New Roman" w:hAnsi="Times New Roman" w:cs="Times New Roman"/>
                      <w:color w:val="auto"/>
                      <w:sz w:val="18"/>
                      <w:szCs w:val="18"/>
                    </w:rPr>
                  </w:pPr>
                </w:p>
              </w:tc>
              <w:tc>
                <w:tcPr>
                  <w:tcW w:w="399" w:type="pct"/>
                  <w:vMerge w:val="continue"/>
                  <w:tcBorders>
                    <w:tl2br w:val="nil"/>
                    <w:tr2bl w:val="nil"/>
                  </w:tcBorders>
                  <w:vAlign w:val="center"/>
                </w:tcPr>
                <w:p w14:paraId="5E94AD46">
                  <w:pPr>
                    <w:jc w:val="center"/>
                    <w:rPr>
                      <w:rFonts w:hint="default" w:ascii="Times New Roman" w:hAnsi="Times New Roman" w:cs="Times New Roman"/>
                      <w:color w:val="auto"/>
                      <w:sz w:val="18"/>
                      <w:szCs w:val="18"/>
                    </w:rPr>
                  </w:pPr>
                </w:p>
              </w:tc>
              <w:tc>
                <w:tcPr>
                  <w:tcW w:w="1064" w:type="pct"/>
                  <w:gridSpan w:val="2"/>
                  <w:tcBorders>
                    <w:tl2br w:val="nil"/>
                    <w:tr2bl w:val="nil"/>
                  </w:tcBorders>
                  <w:vAlign w:val="center"/>
                </w:tcPr>
                <w:p w14:paraId="08C8505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生活污水（m</w:t>
                  </w:r>
                  <w:r>
                    <w:rPr>
                      <w:rFonts w:hint="default" w:ascii="Times New Roman" w:hAnsi="Times New Roman" w:cs="Times New Roman"/>
                      <w:color w:val="auto"/>
                      <w:kern w:val="0"/>
                      <w:sz w:val="18"/>
                      <w:szCs w:val="18"/>
                      <w:vertAlign w:val="superscript"/>
                      <w:lang w:bidi="ar"/>
                    </w:rPr>
                    <w:t>3</w:t>
                  </w:r>
                  <w:r>
                    <w:rPr>
                      <w:rFonts w:hint="default" w:ascii="Times New Roman" w:hAnsi="Times New Roman" w:cs="Times New Roman"/>
                      <w:color w:val="auto"/>
                      <w:kern w:val="0"/>
                      <w:sz w:val="18"/>
                      <w:szCs w:val="18"/>
                      <w:lang w:bidi="ar"/>
                    </w:rPr>
                    <w:t>/a）</w:t>
                  </w:r>
                </w:p>
              </w:tc>
              <w:tc>
                <w:tcPr>
                  <w:tcW w:w="453" w:type="pct"/>
                  <w:tcBorders>
                    <w:tl2br w:val="nil"/>
                    <w:tr2bl w:val="nil"/>
                  </w:tcBorders>
                  <w:vAlign w:val="center"/>
                </w:tcPr>
                <w:p w14:paraId="07BEE16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1700</w:t>
                  </w:r>
                </w:p>
              </w:tc>
              <w:tc>
                <w:tcPr>
                  <w:tcW w:w="453" w:type="pct"/>
                  <w:tcBorders>
                    <w:tl2br w:val="nil"/>
                    <w:tr2bl w:val="nil"/>
                  </w:tcBorders>
                  <w:vAlign w:val="center"/>
                </w:tcPr>
                <w:p w14:paraId="40D96D4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1700</w:t>
                  </w:r>
                </w:p>
              </w:tc>
              <w:tc>
                <w:tcPr>
                  <w:tcW w:w="453" w:type="pct"/>
                  <w:tcBorders>
                    <w:tl2br w:val="nil"/>
                    <w:tr2bl w:val="nil"/>
                  </w:tcBorders>
                  <w:vAlign w:val="center"/>
                </w:tcPr>
                <w:p w14:paraId="70412BB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2400</w:t>
                  </w:r>
                </w:p>
              </w:tc>
              <w:tc>
                <w:tcPr>
                  <w:tcW w:w="453" w:type="pct"/>
                  <w:tcBorders>
                    <w:tl2br w:val="nil"/>
                    <w:tr2bl w:val="nil"/>
                  </w:tcBorders>
                  <w:vAlign w:val="center"/>
                </w:tcPr>
                <w:p w14:paraId="0F378BF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360</w:t>
                  </w:r>
                </w:p>
              </w:tc>
              <w:tc>
                <w:tcPr>
                  <w:tcW w:w="742" w:type="dxa"/>
                  <w:tcBorders>
                    <w:tl2br w:val="nil"/>
                    <w:tr2bl w:val="nil"/>
                  </w:tcBorders>
                  <w:vAlign w:val="center"/>
                </w:tcPr>
                <w:p w14:paraId="61012CE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1700</w:t>
                  </w:r>
                </w:p>
              </w:tc>
              <w:tc>
                <w:tcPr>
                  <w:tcW w:w="454" w:type="pct"/>
                  <w:tcBorders>
                    <w:tl2br w:val="nil"/>
                    <w:tr2bl w:val="nil"/>
                  </w:tcBorders>
                  <w:vAlign w:val="center"/>
                </w:tcPr>
                <w:p w14:paraId="0524F0F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4100</w:t>
                  </w:r>
                </w:p>
              </w:tc>
              <w:tc>
                <w:tcPr>
                  <w:tcW w:w="467" w:type="pct"/>
                  <w:tcBorders>
                    <w:tl2br w:val="nil"/>
                    <w:tr2bl w:val="nil"/>
                  </w:tcBorders>
                  <w:vAlign w:val="center"/>
                </w:tcPr>
                <w:p w14:paraId="753CF30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360</w:t>
                  </w:r>
                </w:p>
              </w:tc>
            </w:tr>
            <w:tr w14:paraId="6FBCA6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48" w:type="pct"/>
                  <w:tcBorders>
                    <w:tl2br w:val="nil"/>
                    <w:tr2bl w:val="nil"/>
                  </w:tcBorders>
                  <w:vAlign w:val="center"/>
                </w:tcPr>
                <w:p w14:paraId="7258913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3</w:t>
                  </w:r>
                </w:p>
              </w:tc>
              <w:tc>
                <w:tcPr>
                  <w:tcW w:w="1464" w:type="pct"/>
                  <w:gridSpan w:val="3"/>
                  <w:tcBorders>
                    <w:tl2br w:val="nil"/>
                    <w:tr2bl w:val="nil"/>
                  </w:tcBorders>
                  <w:vAlign w:val="center"/>
                </w:tcPr>
                <w:p w14:paraId="4AC7A7A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固废</w:t>
                  </w:r>
                </w:p>
              </w:tc>
              <w:tc>
                <w:tcPr>
                  <w:tcW w:w="453" w:type="pct"/>
                  <w:tcBorders>
                    <w:tl2br w:val="nil"/>
                    <w:tr2bl w:val="nil"/>
                  </w:tcBorders>
                  <w:vAlign w:val="center"/>
                </w:tcPr>
                <w:p w14:paraId="6878506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453" w:type="pct"/>
                  <w:tcBorders>
                    <w:tl2br w:val="nil"/>
                    <w:tr2bl w:val="nil"/>
                  </w:tcBorders>
                  <w:vAlign w:val="center"/>
                </w:tcPr>
                <w:p w14:paraId="6AB1F80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453" w:type="pct"/>
                  <w:tcBorders>
                    <w:tl2br w:val="nil"/>
                    <w:tr2bl w:val="nil"/>
                  </w:tcBorders>
                  <w:vAlign w:val="center"/>
                </w:tcPr>
                <w:p w14:paraId="4885189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453" w:type="pct"/>
                  <w:tcBorders>
                    <w:tl2br w:val="nil"/>
                    <w:tr2bl w:val="nil"/>
                  </w:tcBorders>
                  <w:vAlign w:val="center"/>
                </w:tcPr>
                <w:p w14:paraId="350DDA0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742" w:type="dxa"/>
                  <w:tcBorders>
                    <w:tl2br w:val="nil"/>
                    <w:tr2bl w:val="nil"/>
                  </w:tcBorders>
                  <w:vAlign w:val="center"/>
                </w:tcPr>
                <w:p w14:paraId="6F71678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454" w:type="pct"/>
                  <w:tcBorders>
                    <w:tl2br w:val="nil"/>
                    <w:tr2bl w:val="nil"/>
                  </w:tcBorders>
                  <w:vAlign w:val="center"/>
                </w:tcPr>
                <w:p w14:paraId="6C9E6A7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c>
                <w:tcPr>
                  <w:tcW w:w="467" w:type="pct"/>
                  <w:tcBorders>
                    <w:tl2br w:val="nil"/>
                    <w:tr2bl w:val="nil"/>
                  </w:tcBorders>
                  <w:vAlign w:val="center"/>
                </w:tcPr>
                <w:p w14:paraId="1467DE0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w:t>
                  </w:r>
                </w:p>
              </w:tc>
            </w:tr>
            <w:tr w14:paraId="4EA6BE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5000" w:type="pct"/>
                  <w:gridSpan w:val="11"/>
                  <w:tcBorders>
                    <w:tl2br w:val="nil"/>
                    <w:tr2bl w:val="nil"/>
                  </w:tcBorders>
                  <w:vAlign w:val="center"/>
                </w:tcPr>
                <w:p w14:paraId="3357E987">
                  <w:pPr>
                    <w:widowControl/>
                    <w:jc w:val="left"/>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备注：</w:t>
                  </w:r>
                </w:p>
                <w:p w14:paraId="1E2FE1C1">
                  <w:pPr>
                    <w:widowControl/>
                    <w:numPr>
                      <w:ilvl w:val="0"/>
                      <w:numId w:val="4"/>
                    </w:numPr>
                    <w:ind w:firstLine="360" w:firstLineChars="200"/>
                    <w:jc w:val="left"/>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在建项目属于现有已建工程的产量替代，在建工程建成后取代了现有已建工程，因此“以新带老”削减量为“现有已建工程”</w:t>
                  </w:r>
                </w:p>
                <w:p w14:paraId="59E5B2CA">
                  <w:pPr>
                    <w:widowControl/>
                    <w:numPr>
                      <w:ilvl w:val="0"/>
                      <w:numId w:val="4"/>
                    </w:numPr>
                    <w:ind w:firstLine="360" w:firstLineChars="200"/>
                    <w:jc w:val="left"/>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全厂排放量=现有已建工程排放量+在建工程排放量+拟建工程排放量+本项目排放量-“以新带老”削减量。</w:t>
                  </w:r>
                </w:p>
              </w:tc>
            </w:tr>
          </w:tbl>
          <w:p w14:paraId="724D54AA">
            <w:pPr>
              <w:pStyle w:val="111"/>
              <w:spacing w:line="360" w:lineRule="auto"/>
              <w:jc w:val="center"/>
              <w:rPr>
                <w:rFonts w:hint="default" w:ascii="Times New Roman" w:hAnsi="Times New Roman" w:cs="Times New Roman"/>
                <w:b w:val="0"/>
                <w:color w:val="auto"/>
                <w:sz w:val="21"/>
                <w:szCs w:val="21"/>
              </w:rPr>
            </w:pPr>
          </w:p>
          <w:p w14:paraId="052469D2">
            <w:pPr>
              <w:pStyle w:val="18"/>
              <w:rPr>
                <w:rFonts w:hint="default" w:ascii="Times New Roman" w:hAnsi="Times New Roman" w:cs="Times New Roman"/>
                <w:bCs/>
                <w:color w:val="auto"/>
                <w:sz w:val="24"/>
              </w:rPr>
            </w:pPr>
          </w:p>
          <w:p w14:paraId="60FC5A47">
            <w:pPr>
              <w:rPr>
                <w:rFonts w:hint="default" w:ascii="Times New Roman" w:hAnsi="Times New Roman" w:cs="Times New Roman"/>
                <w:color w:val="auto"/>
              </w:rPr>
            </w:pPr>
          </w:p>
          <w:p w14:paraId="4C205073">
            <w:pPr>
              <w:pStyle w:val="34"/>
              <w:spacing w:line="360" w:lineRule="auto"/>
              <w:ind w:left="0" w:leftChars="0" w:firstLine="480"/>
              <w:rPr>
                <w:rFonts w:hint="default" w:ascii="Times New Roman" w:hAnsi="Times New Roman" w:cs="Times New Roman"/>
                <w:color w:val="auto"/>
              </w:rPr>
            </w:pPr>
          </w:p>
        </w:tc>
      </w:tr>
    </w:tbl>
    <w:p w14:paraId="605991A4">
      <w:pPr>
        <w:pStyle w:val="31"/>
        <w:jc w:val="center"/>
        <w:rPr>
          <w:rFonts w:hint="default" w:ascii="Times New Roman" w:hAnsi="Times New Roman" w:eastAsia="黑体" w:cs="Times New Roman"/>
          <w:snapToGrid w:val="0"/>
          <w:color w:val="auto"/>
          <w:sz w:val="36"/>
          <w:szCs w:val="36"/>
        </w:rPr>
        <w:sectPr>
          <w:pgSz w:w="11906" w:h="16838"/>
          <w:pgMar w:top="1440" w:right="1803" w:bottom="1440" w:left="1803" w:header="850" w:footer="851" w:gutter="0"/>
          <w:pgBorders>
            <w:top w:val="none" w:sz="0" w:space="0"/>
            <w:left w:val="none" w:sz="0" w:space="0"/>
            <w:bottom w:val="none" w:sz="0" w:space="0"/>
            <w:right w:val="none" w:sz="0" w:space="0"/>
          </w:pgBorders>
          <w:cols w:space="720" w:num="1"/>
          <w:docGrid w:linePitch="312" w:charSpace="0"/>
        </w:sectPr>
      </w:pPr>
    </w:p>
    <w:p w14:paraId="771BF293">
      <w:pPr>
        <w:pStyle w:val="31"/>
        <w:spacing w:before="0" w:beforeAutospacing="0" w:after="0" w:afterAutospacing="0" w:line="360" w:lineRule="auto"/>
        <w:jc w:val="both"/>
        <w:outlineLvl w:val="0"/>
        <w:rPr>
          <w:rFonts w:hint="default" w:ascii="Times New Roman" w:hAnsi="Times New Roman" w:eastAsia="黑体" w:cs="Times New Roman"/>
          <w:color w:val="auto"/>
          <w:sz w:val="28"/>
          <w:szCs w:val="28"/>
        </w:rPr>
      </w:pPr>
      <w:bookmarkStart w:id="90" w:name="_Toc32177"/>
      <w:bookmarkStart w:id="91" w:name="_Toc68870551"/>
      <w:bookmarkStart w:id="92" w:name="_Toc70692546"/>
      <w:r>
        <w:rPr>
          <w:rFonts w:hint="default" w:ascii="Times New Roman" w:hAnsi="Times New Roman" w:eastAsia="黑体" w:cs="Times New Roman"/>
          <w:color w:val="auto"/>
          <w:sz w:val="28"/>
          <w:szCs w:val="28"/>
        </w:rPr>
        <w:t>三、区域环境质量现状、环境保护目标及评价标准</w:t>
      </w:r>
      <w:bookmarkEnd w:id="90"/>
      <w:bookmarkEnd w:id="91"/>
      <w:bookmarkEnd w:id="92"/>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8066"/>
      </w:tblGrid>
      <w:tr w14:paraId="59DDBF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720" w:type="dxa"/>
            <w:vAlign w:val="center"/>
          </w:tcPr>
          <w:p w14:paraId="0635DB94">
            <w:pPr>
              <w:adjustRightInd w:val="0"/>
              <w:snapToGrid w:val="0"/>
              <w:spacing w:line="360" w:lineRule="auto"/>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区域</w:t>
            </w:r>
          </w:p>
          <w:p w14:paraId="5B357F13">
            <w:pPr>
              <w:adjustRightInd w:val="0"/>
              <w:snapToGrid w:val="0"/>
              <w:spacing w:line="360" w:lineRule="auto"/>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环境</w:t>
            </w:r>
          </w:p>
          <w:p w14:paraId="2E58F297">
            <w:pPr>
              <w:adjustRightInd w:val="0"/>
              <w:snapToGrid w:val="0"/>
              <w:spacing w:line="360" w:lineRule="auto"/>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质量</w:t>
            </w:r>
          </w:p>
          <w:p w14:paraId="255F59E8">
            <w:pPr>
              <w:adjustRightInd w:val="0"/>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 w:val="24"/>
              </w:rPr>
              <w:t>现状</w:t>
            </w:r>
          </w:p>
        </w:tc>
        <w:tc>
          <w:tcPr>
            <w:tcW w:w="8270" w:type="dxa"/>
            <w:vAlign w:val="center"/>
          </w:tcPr>
          <w:p w14:paraId="5608E4F5">
            <w:pPr>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1、环境空气质量现状</w:t>
            </w:r>
          </w:p>
          <w:p w14:paraId="2E447661">
            <w:pPr>
              <w:widowControl/>
              <w:autoSpaceDE w:val="0"/>
              <w:autoSpaceDN w:val="0"/>
              <w:spacing w:line="360" w:lineRule="auto"/>
              <w:ind w:firstLine="480" w:firstLineChars="200"/>
              <w:jc w:val="left"/>
              <w:rPr>
                <w:rFonts w:hint="default" w:ascii="Times New Roman" w:hAnsi="Times New Roman" w:cs="Times New Roman"/>
                <w:color w:val="auto"/>
                <w:kern w:val="0"/>
                <w:sz w:val="24"/>
                <w:lang w:val="zh-CN"/>
              </w:rPr>
            </w:pPr>
            <w:r>
              <w:rPr>
                <w:rFonts w:hint="default" w:ascii="Times New Roman" w:hAnsi="Times New Roman" w:cs="Times New Roman"/>
                <w:color w:val="auto"/>
                <w:sz w:val="24"/>
              </w:rPr>
              <w:t>项目位于云南通海产业园区里山片区</w:t>
            </w:r>
            <w:r>
              <w:rPr>
                <w:rFonts w:hint="default" w:ascii="Times New Roman" w:hAnsi="Times New Roman" w:cs="Times New Roman"/>
                <w:color w:val="auto"/>
                <w:sz w:val="24"/>
                <w:szCs w:val="21"/>
              </w:rPr>
              <w:t>，所在区域环境空气质量功能区划为二类区</w:t>
            </w:r>
            <w:r>
              <w:rPr>
                <w:rFonts w:hint="default" w:ascii="Times New Roman" w:hAnsi="Times New Roman" w:cs="Times New Roman"/>
                <w:color w:val="auto"/>
                <w:kern w:val="0"/>
                <w:sz w:val="24"/>
                <w:lang w:val="zh-CN"/>
              </w:rPr>
              <w:t>，环境空气质量执行《环境空气质量标准》（GB3095-2012）二级标准</w:t>
            </w:r>
            <w:r>
              <w:rPr>
                <w:rFonts w:hint="default" w:ascii="Times New Roman" w:hAnsi="Times New Roman" w:cs="Times New Roman"/>
                <w:color w:val="auto"/>
                <w:kern w:val="0"/>
                <w:sz w:val="24"/>
              </w:rPr>
              <w:t>及2018年修改单</w:t>
            </w:r>
            <w:r>
              <w:rPr>
                <w:rFonts w:hint="default" w:ascii="Times New Roman" w:hAnsi="Times New Roman" w:cs="Times New Roman"/>
                <w:color w:val="auto"/>
                <w:kern w:val="0"/>
                <w:sz w:val="24"/>
                <w:lang w:val="zh-CN"/>
              </w:rPr>
              <w:t>要求。</w:t>
            </w:r>
          </w:p>
          <w:p w14:paraId="55FCE004">
            <w:pPr>
              <w:adjustRightInd w:val="0"/>
              <w:snapToGrid w:val="0"/>
              <w:spacing w:line="360" w:lineRule="auto"/>
              <w:ind w:firstLine="420" w:firstLineChars="20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表3-1  环境空气污染物浓度限值</w:t>
            </w:r>
          </w:p>
          <w:tbl>
            <w:tblPr>
              <w:tblStyle w:val="3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2"/>
              <w:gridCol w:w="1661"/>
              <w:gridCol w:w="2079"/>
              <w:gridCol w:w="1875"/>
            </w:tblGrid>
            <w:tr w14:paraId="66F004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21" w:type="pct"/>
                  <w:tcBorders>
                    <w:tl2br w:val="nil"/>
                    <w:tr2bl w:val="nil"/>
                  </w:tcBorders>
                  <w:vAlign w:val="center"/>
                </w:tcPr>
                <w:p w14:paraId="5375A0DB">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污染物名称</w:t>
                  </w:r>
                </w:p>
              </w:tc>
              <w:tc>
                <w:tcPr>
                  <w:tcW w:w="1058" w:type="pct"/>
                  <w:tcBorders>
                    <w:tl2br w:val="nil"/>
                    <w:tr2bl w:val="nil"/>
                  </w:tcBorders>
                  <w:vAlign w:val="center"/>
                </w:tcPr>
                <w:p w14:paraId="5A26F4EF">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取值时间</w:t>
                  </w:r>
                </w:p>
              </w:tc>
              <w:tc>
                <w:tcPr>
                  <w:tcW w:w="1324" w:type="pct"/>
                  <w:tcBorders>
                    <w:tl2br w:val="nil"/>
                    <w:tr2bl w:val="nil"/>
                  </w:tcBorders>
                  <w:vAlign w:val="center"/>
                </w:tcPr>
                <w:p w14:paraId="5C788CCA">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二级标准浓度限值（μg/m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w:t>
                  </w:r>
                </w:p>
              </w:tc>
              <w:tc>
                <w:tcPr>
                  <w:tcW w:w="1194" w:type="pct"/>
                  <w:tcBorders>
                    <w:tl2br w:val="nil"/>
                    <w:tr2bl w:val="nil"/>
                  </w:tcBorders>
                  <w:vAlign w:val="center"/>
                </w:tcPr>
                <w:p w14:paraId="3B329CE4">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依据</w:t>
                  </w:r>
                </w:p>
              </w:tc>
            </w:tr>
            <w:tr w14:paraId="37EB3B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Merge w:val="restart"/>
                  <w:tcBorders>
                    <w:tl2br w:val="nil"/>
                    <w:tr2bl w:val="nil"/>
                  </w:tcBorders>
                  <w:vAlign w:val="center"/>
                </w:tcPr>
                <w:p w14:paraId="3889C2D3">
                  <w:pPr>
                    <w:pStyle w:val="4"/>
                    <w:spacing w:line="240" w:lineRule="auto"/>
                    <w:ind w:firstLine="0"/>
                    <w:jc w:val="center"/>
                    <w:rPr>
                      <w:rFonts w:hint="default" w:ascii="Times New Roman" w:hAnsi="Times New Roman" w:cs="Times New Roman"/>
                      <w:color w:val="auto"/>
                      <w:sz w:val="18"/>
                      <w:szCs w:val="18"/>
                      <w:vertAlign w:val="subscript"/>
                    </w:rPr>
                  </w:pPr>
                  <w:r>
                    <w:rPr>
                      <w:rFonts w:hint="default" w:ascii="Times New Roman" w:hAnsi="Times New Roman" w:cs="Times New Roman"/>
                      <w:color w:val="auto"/>
                      <w:sz w:val="18"/>
                      <w:szCs w:val="18"/>
                    </w:rPr>
                    <w:t>SO</w:t>
                  </w:r>
                  <w:r>
                    <w:rPr>
                      <w:rFonts w:hint="default" w:ascii="Times New Roman" w:hAnsi="Times New Roman" w:cs="Times New Roman"/>
                      <w:color w:val="auto"/>
                      <w:sz w:val="18"/>
                      <w:szCs w:val="18"/>
                      <w:vertAlign w:val="subscript"/>
                    </w:rPr>
                    <w:t>2</w:t>
                  </w:r>
                </w:p>
              </w:tc>
              <w:tc>
                <w:tcPr>
                  <w:tcW w:w="1058" w:type="pct"/>
                  <w:tcBorders>
                    <w:tl2br w:val="nil"/>
                    <w:tr2bl w:val="nil"/>
                  </w:tcBorders>
                  <w:vAlign w:val="center"/>
                </w:tcPr>
                <w:p w14:paraId="4FAB4324">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w:t>
                  </w:r>
                </w:p>
              </w:tc>
              <w:tc>
                <w:tcPr>
                  <w:tcW w:w="1324" w:type="pct"/>
                  <w:tcBorders>
                    <w:tl2br w:val="nil"/>
                    <w:tr2bl w:val="nil"/>
                  </w:tcBorders>
                  <w:vAlign w:val="center"/>
                </w:tcPr>
                <w:p w14:paraId="2363166B">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1194" w:type="pct"/>
                  <w:vMerge w:val="restart"/>
                  <w:tcBorders>
                    <w:tl2br w:val="nil"/>
                    <w:tr2bl w:val="nil"/>
                  </w:tcBorders>
                  <w:vAlign w:val="center"/>
                </w:tcPr>
                <w:p w14:paraId="29C05193">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《环境空气质量标准》（GB3095-2012）及2018年修改单</w:t>
                  </w:r>
                </w:p>
              </w:tc>
            </w:tr>
            <w:tr w14:paraId="39A1A6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Merge w:val="continue"/>
                  <w:tcBorders>
                    <w:tl2br w:val="nil"/>
                    <w:tr2bl w:val="nil"/>
                  </w:tcBorders>
                  <w:vAlign w:val="center"/>
                </w:tcPr>
                <w:p w14:paraId="73CF0C9E">
                  <w:pPr>
                    <w:pStyle w:val="4"/>
                    <w:spacing w:line="240" w:lineRule="auto"/>
                    <w:ind w:firstLine="0"/>
                    <w:jc w:val="center"/>
                    <w:rPr>
                      <w:rFonts w:hint="default" w:ascii="Times New Roman" w:hAnsi="Times New Roman" w:cs="Times New Roman"/>
                      <w:color w:val="auto"/>
                      <w:sz w:val="18"/>
                      <w:szCs w:val="18"/>
                    </w:rPr>
                  </w:pPr>
                </w:p>
              </w:tc>
              <w:tc>
                <w:tcPr>
                  <w:tcW w:w="1058" w:type="pct"/>
                  <w:tcBorders>
                    <w:tl2br w:val="nil"/>
                    <w:tr2bl w:val="nil"/>
                  </w:tcBorders>
                  <w:vAlign w:val="center"/>
                </w:tcPr>
                <w:p w14:paraId="14C7F053">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日平均</w:t>
                  </w:r>
                </w:p>
              </w:tc>
              <w:tc>
                <w:tcPr>
                  <w:tcW w:w="1324" w:type="pct"/>
                  <w:tcBorders>
                    <w:tl2br w:val="nil"/>
                    <w:tr2bl w:val="nil"/>
                  </w:tcBorders>
                  <w:vAlign w:val="center"/>
                </w:tcPr>
                <w:p w14:paraId="6F427495">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150</w:t>
                  </w:r>
                </w:p>
              </w:tc>
              <w:tc>
                <w:tcPr>
                  <w:tcW w:w="1194" w:type="pct"/>
                  <w:vMerge w:val="continue"/>
                  <w:tcBorders>
                    <w:tl2br w:val="nil"/>
                    <w:tr2bl w:val="nil"/>
                  </w:tcBorders>
                  <w:vAlign w:val="center"/>
                </w:tcPr>
                <w:p w14:paraId="1A3C7798">
                  <w:pPr>
                    <w:pStyle w:val="4"/>
                    <w:spacing w:line="240" w:lineRule="auto"/>
                    <w:ind w:firstLine="0"/>
                    <w:jc w:val="center"/>
                    <w:rPr>
                      <w:rFonts w:hint="default" w:ascii="Times New Roman" w:hAnsi="Times New Roman" w:cs="Times New Roman"/>
                      <w:color w:val="auto"/>
                      <w:sz w:val="18"/>
                      <w:szCs w:val="18"/>
                    </w:rPr>
                  </w:pPr>
                </w:p>
              </w:tc>
            </w:tr>
            <w:tr w14:paraId="024F3A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Merge w:val="continue"/>
                  <w:tcBorders>
                    <w:tl2br w:val="nil"/>
                    <w:tr2bl w:val="nil"/>
                  </w:tcBorders>
                  <w:vAlign w:val="center"/>
                </w:tcPr>
                <w:p w14:paraId="351F5F12">
                  <w:pPr>
                    <w:pStyle w:val="4"/>
                    <w:spacing w:line="240" w:lineRule="auto"/>
                    <w:ind w:firstLine="0"/>
                    <w:jc w:val="center"/>
                    <w:rPr>
                      <w:rFonts w:hint="default" w:ascii="Times New Roman" w:hAnsi="Times New Roman" w:cs="Times New Roman"/>
                      <w:color w:val="auto"/>
                      <w:sz w:val="18"/>
                      <w:szCs w:val="18"/>
                    </w:rPr>
                  </w:pPr>
                </w:p>
              </w:tc>
              <w:tc>
                <w:tcPr>
                  <w:tcW w:w="1058" w:type="pct"/>
                  <w:tcBorders>
                    <w:tl2br w:val="nil"/>
                    <w:tr2bl w:val="nil"/>
                  </w:tcBorders>
                  <w:vAlign w:val="center"/>
                </w:tcPr>
                <w:p w14:paraId="6DCF81A7">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1小时平均</w:t>
                  </w:r>
                </w:p>
              </w:tc>
              <w:tc>
                <w:tcPr>
                  <w:tcW w:w="1324" w:type="pct"/>
                  <w:tcBorders>
                    <w:tl2br w:val="nil"/>
                    <w:tr2bl w:val="nil"/>
                  </w:tcBorders>
                  <w:vAlign w:val="center"/>
                </w:tcPr>
                <w:p w14:paraId="1D8D17A7">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500</w:t>
                  </w:r>
                </w:p>
              </w:tc>
              <w:tc>
                <w:tcPr>
                  <w:tcW w:w="1194" w:type="pct"/>
                  <w:vMerge w:val="continue"/>
                  <w:tcBorders>
                    <w:tl2br w:val="nil"/>
                    <w:tr2bl w:val="nil"/>
                  </w:tcBorders>
                  <w:vAlign w:val="center"/>
                </w:tcPr>
                <w:p w14:paraId="5CCF9F63">
                  <w:pPr>
                    <w:pStyle w:val="4"/>
                    <w:spacing w:line="240" w:lineRule="auto"/>
                    <w:ind w:firstLine="0"/>
                    <w:jc w:val="center"/>
                    <w:rPr>
                      <w:rFonts w:hint="default" w:ascii="Times New Roman" w:hAnsi="Times New Roman" w:cs="Times New Roman"/>
                      <w:color w:val="auto"/>
                      <w:sz w:val="18"/>
                      <w:szCs w:val="18"/>
                    </w:rPr>
                  </w:pPr>
                </w:p>
              </w:tc>
            </w:tr>
            <w:tr w14:paraId="645039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Merge w:val="restart"/>
                  <w:tcBorders>
                    <w:tl2br w:val="nil"/>
                    <w:tr2bl w:val="nil"/>
                  </w:tcBorders>
                  <w:vAlign w:val="center"/>
                </w:tcPr>
                <w:p w14:paraId="2AF94598">
                  <w:pPr>
                    <w:pStyle w:val="4"/>
                    <w:spacing w:line="240" w:lineRule="auto"/>
                    <w:ind w:firstLine="0"/>
                    <w:jc w:val="center"/>
                    <w:rPr>
                      <w:rFonts w:hint="default" w:ascii="Times New Roman" w:hAnsi="Times New Roman" w:cs="Times New Roman"/>
                      <w:color w:val="auto"/>
                      <w:sz w:val="18"/>
                      <w:szCs w:val="18"/>
                      <w:vertAlign w:val="subscript"/>
                    </w:rPr>
                  </w:pPr>
                  <w:r>
                    <w:rPr>
                      <w:rFonts w:hint="default" w:ascii="Times New Roman" w:hAnsi="Times New Roman" w:cs="Times New Roman"/>
                      <w:color w:val="auto"/>
                      <w:sz w:val="18"/>
                      <w:szCs w:val="18"/>
                    </w:rPr>
                    <w:t>NO</w:t>
                  </w:r>
                  <w:r>
                    <w:rPr>
                      <w:rFonts w:hint="default" w:ascii="Times New Roman" w:hAnsi="Times New Roman" w:cs="Times New Roman"/>
                      <w:color w:val="auto"/>
                      <w:sz w:val="18"/>
                      <w:szCs w:val="18"/>
                      <w:vertAlign w:val="subscript"/>
                    </w:rPr>
                    <w:t>x</w:t>
                  </w:r>
                </w:p>
              </w:tc>
              <w:tc>
                <w:tcPr>
                  <w:tcW w:w="1058" w:type="pct"/>
                  <w:tcBorders>
                    <w:tl2br w:val="nil"/>
                    <w:tr2bl w:val="nil"/>
                  </w:tcBorders>
                  <w:vAlign w:val="center"/>
                </w:tcPr>
                <w:p w14:paraId="74285AB4">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w:t>
                  </w:r>
                </w:p>
              </w:tc>
              <w:tc>
                <w:tcPr>
                  <w:tcW w:w="1324" w:type="pct"/>
                  <w:tcBorders>
                    <w:tl2br w:val="nil"/>
                    <w:tr2bl w:val="nil"/>
                  </w:tcBorders>
                  <w:vAlign w:val="center"/>
                </w:tcPr>
                <w:p w14:paraId="52BD1158">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w:t>
                  </w:r>
                </w:p>
              </w:tc>
              <w:tc>
                <w:tcPr>
                  <w:tcW w:w="1194" w:type="pct"/>
                  <w:vMerge w:val="continue"/>
                  <w:tcBorders>
                    <w:tl2br w:val="nil"/>
                    <w:tr2bl w:val="nil"/>
                  </w:tcBorders>
                  <w:vAlign w:val="center"/>
                </w:tcPr>
                <w:p w14:paraId="1C58DD30">
                  <w:pPr>
                    <w:pStyle w:val="4"/>
                    <w:spacing w:line="240" w:lineRule="auto"/>
                    <w:ind w:firstLine="0"/>
                    <w:jc w:val="center"/>
                    <w:rPr>
                      <w:rFonts w:hint="default" w:ascii="Times New Roman" w:hAnsi="Times New Roman" w:cs="Times New Roman"/>
                      <w:color w:val="auto"/>
                      <w:sz w:val="18"/>
                      <w:szCs w:val="18"/>
                    </w:rPr>
                  </w:pPr>
                </w:p>
              </w:tc>
            </w:tr>
            <w:tr w14:paraId="7DA2F8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Merge w:val="continue"/>
                  <w:tcBorders>
                    <w:tl2br w:val="nil"/>
                    <w:tr2bl w:val="nil"/>
                  </w:tcBorders>
                  <w:vAlign w:val="center"/>
                </w:tcPr>
                <w:p w14:paraId="48A3C1EA">
                  <w:pPr>
                    <w:pStyle w:val="4"/>
                    <w:spacing w:line="240" w:lineRule="auto"/>
                    <w:ind w:firstLine="0"/>
                    <w:jc w:val="center"/>
                    <w:rPr>
                      <w:rFonts w:hint="default" w:ascii="Times New Roman" w:hAnsi="Times New Roman" w:cs="Times New Roman"/>
                      <w:color w:val="auto"/>
                      <w:sz w:val="18"/>
                      <w:szCs w:val="18"/>
                    </w:rPr>
                  </w:pPr>
                </w:p>
              </w:tc>
              <w:tc>
                <w:tcPr>
                  <w:tcW w:w="1058" w:type="pct"/>
                  <w:tcBorders>
                    <w:tl2br w:val="nil"/>
                    <w:tr2bl w:val="nil"/>
                  </w:tcBorders>
                  <w:vAlign w:val="center"/>
                </w:tcPr>
                <w:p w14:paraId="32B31F68">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日平均</w:t>
                  </w:r>
                </w:p>
              </w:tc>
              <w:tc>
                <w:tcPr>
                  <w:tcW w:w="1324" w:type="pct"/>
                  <w:tcBorders>
                    <w:tl2br w:val="nil"/>
                    <w:tr2bl w:val="nil"/>
                  </w:tcBorders>
                  <w:vAlign w:val="center"/>
                </w:tcPr>
                <w:p w14:paraId="6064F65D">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w:t>
                  </w:r>
                </w:p>
              </w:tc>
              <w:tc>
                <w:tcPr>
                  <w:tcW w:w="1194" w:type="pct"/>
                  <w:vMerge w:val="continue"/>
                  <w:tcBorders>
                    <w:tl2br w:val="nil"/>
                    <w:tr2bl w:val="nil"/>
                  </w:tcBorders>
                  <w:vAlign w:val="center"/>
                </w:tcPr>
                <w:p w14:paraId="63A18034">
                  <w:pPr>
                    <w:pStyle w:val="4"/>
                    <w:spacing w:line="240" w:lineRule="auto"/>
                    <w:ind w:firstLine="0"/>
                    <w:jc w:val="center"/>
                    <w:rPr>
                      <w:rFonts w:hint="default" w:ascii="Times New Roman" w:hAnsi="Times New Roman" w:cs="Times New Roman"/>
                      <w:color w:val="auto"/>
                      <w:sz w:val="18"/>
                      <w:szCs w:val="18"/>
                    </w:rPr>
                  </w:pPr>
                </w:p>
              </w:tc>
            </w:tr>
            <w:tr w14:paraId="278243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Merge w:val="continue"/>
                  <w:tcBorders>
                    <w:tl2br w:val="nil"/>
                    <w:tr2bl w:val="nil"/>
                  </w:tcBorders>
                  <w:vAlign w:val="center"/>
                </w:tcPr>
                <w:p w14:paraId="7DC43DAC">
                  <w:pPr>
                    <w:pStyle w:val="4"/>
                    <w:spacing w:line="240" w:lineRule="auto"/>
                    <w:ind w:firstLine="0"/>
                    <w:jc w:val="center"/>
                    <w:rPr>
                      <w:rFonts w:hint="default" w:ascii="Times New Roman" w:hAnsi="Times New Roman" w:cs="Times New Roman"/>
                      <w:color w:val="auto"/>
                      <w:sz w:val="18"/>
                      <w:szCs w:val="18"/>
                    </w:rPr>
                  </w:pPr>
                </w:p>
              </w:tc>
              <w:tc>
                <w:tcPr>
                  <w:tcW w:w="1058" w:type="pct"/>
                  <w:tcBorders>
                    <w:tl2br w:val="nil"/>
                    <w:tr2bl w:val="nil"/>
                  </w:tcBorders>
                  <w:vAlign w:val="center"/>
                </w:tcPr>
                <w:p w14:paraId="5E23FCBC">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1小时平均</w:t>
                  </w:r>
                </w:p>
              </w:tc>
              <w:tc>
                <w:tcPr>
                  <w:tcW w:w="1324" w:type="pct"/>
                  <w:tcBorders>
                    <w:tl2br w:val="nil"/>
                    <w:tr2bl w:val="nil"/>
                  </w:tcBorders>
                  <w:vAlign w:val="center"/>
                </w:tcPr>
                <w:p w14:paraId="018859C8">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250</w:t>
                  </w:r>
                </w:p>
              </w:tc>
              <w:tc>
                <w:tcPr>
                  <w:tcW w:w="1194" w:type="pct"/>
                  <w:vMerge w:val="continue"/>
                  <w:tcBorders>
                    <w:tl2br w:val="nil"/>
                    <w:tr2bl w:val="nil"/>
                  </w:tcBorders>
                  <w:vAlign w:val="center"/>
                </w:tcPr>
                <w:p w14:paraId="650F0B0E">
                  <w:pPr>
                    <w:pStyle w:val="4"/>
                    <w:spacing w:line="240" w:lineRule="auto"/>
                    <w:ind w:firstLine="0"/>
                    <w:jc w:val="center"/>
                    <w:rPr>
                      <w:rFonts w:hint="default" w:ascii="Times New Roman" w:hAnsi="Times New Roman" w:cs="Times New Roman"/>
                      <w:color w:val="auto"/>
                      <w:sz w:val="18"/>
                      <w:szCs w:val="18"/>
                    </w:rPr>
                  </w:pPr>
                </w:p>
              </w:tc>
            </w:tr>
            <w:tr w14:paraId="78E00D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Merge w:val="restart"/>
                  <w:tcBorders>
                    <w:tl2br w:val="nil"/>
                    <w:tr2bl w:val="nil"/>
                  </w:tcBorders>
                  <w:vAlign w:val="center"/>
                </w:tcPr>
                <w:p w14:paraId="3DA566A7">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NO</w:t>
                  </w:r>
                  <w:r>
                    <w:rPr>
                      <w:rFonts w:hint="default" w:ascii="Times New Roman" w:hAnsi="Times New Roman" w:cs="Times New Roman"/>
                      <w:color w:val="auto"/>
                      <w:sz w:val="18"/>
                      <w:szCs w:val="18"/>
                      <w:vertAlign w:val="subscript"/>
                    </w:rPr>
                    <w:t>2</w:t>
                  </w:r>
                </w:p>
              </w:tc>
              <w:tc>
                <w:tcPr>
                  <w:tcW w:w="1058" w:type="pct"/>
                  <w:tcBorders>
                    <w:tl2br w:val="nil"/>
                    <w:tr2bl w:val="nil"/>
                  </w:tcBorders>
                  <w:vAlign w:val="center"/>
                </w:tcPr>
                <w:p w14:paraId="658B70FC">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w:t>
                  </w:r>
                </w:p>
              </w:tc>
              <w:tc>
                <w:tcPr>
                  <w:tcW w:w="1324" w:type="pct"/>
                  <w:tcBorders>
                    <w:tl2br w:val="nil"/>
                    <w:tr2bl w:val="nil"/>
                  </w:tcBorders>
                  <w:vAlign w:val="center"/>
                </w:tcPr>
                <w:p w14:paraId="53E008B3">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w:t>
                  </w:r>
                </w:p>
              </w:tc>
              <w:tc>
                <w:tcPr>
                  <w:tcW w:w="1194" w:type="pct"/>
                  <w:vMerge w:val="continue"/>
                  <w:tcBorders>
                    <w:tl2br w:val="nil"/>
                    <w:tr2bl w:val="nil"/>
                  </w:tcBorders>
                  <w:vAlign w:val="center"/>
                </w:tcPr>
                <w:p w14:paraId="7B52883A">
                  <w:pPr>
                    <w:pStyle w:val="4"/>
                    <w:spacing w:line="240" w:lineRule="auto"/>
                    <w:ind w:firstLine="0"/>
                    <w:jc w:val="center"/>
                    <w:rPr>
                      <w:rFonts w:hint="default" w:ascii="Times New Roman" w:hAnsi="Times New Roman" w:cs="Times New Roman"/>
                      <w:color w:val="auto"/>
                      <w:sz w:val="18"/>
                      <w:szCs w:val="18"/>
                    </w:rPr>
                  </w:pPr>
                </w:p>
              </w:tc>
            </w:tr>
            <w:tr w14:paraId="02C34A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Merge w:val="continue"/>
                  <w:tcBorders>
                    <w:tl2br w:val="nil"/>
                    <w:tr2bl w:val="nil"/>
                  </w:tcBorders>
                  <w:vAlign w:val="center"/>
                </w:tcPr>
                <w:p w14:paraId="262CAD35">
                  <w:pPr>
                    <w:pStyle w:val="4"/>
                    <w:spacing w:line="240" w:lineRule="auto"/>
                    <w:ind w:firstLine="0"/>
                    <w:jc w:val="center"/>
                    <w:rPr>
                      <w:rFonts w:hint="default" w:ascii="Times New Roman" w:hAnsi="Times New Roman" w:cs="Times New Roman"/>
                      <w:color w:val="auto"/>
                      <w:sz w:val="18"/>
                      <w:szCs w:val="18"/>
                    </w:rPr>
                  </w:pPr>
                </w:p>
              </w:tc>
              <w:tc>
                <w:tcPr>
                  <w:tcW w:w="1058" w:type="pct"/>
                  <w:tcBorders>
                    <w:tl2br w:val="nil"/>
                    <w:tr2bl w:val="nil"/>
                  </w:tcBorders>
                  <w:vAlign w:val="center"/>
                </w:tcPr>
                <w:p w14:paraId="5EC05A9F">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日平均</w:t>
                  </w:r>
                </w:p>
              </w:tc>
              <w:tc>
                <w:tcPr>
                  <w:tcW w:w="1324" w:type="pct"/>
                  <w:tcBorders>
                    <w:tl2br w:val="nil"/>
                    <w:tr2bl w:val="nil"/>
                  </w:tcBorders>
                  <w:vAlign w:val="center"/>
                </w:tcPr>
                <w:p w14:paraId="2A2732D0">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w:t>
                  </w:r>
                </w:p>
              </w:tc>
              <w:tc>
                <w:tcPr>
                  <w:tcW w:w="1194" w:type="pct"/>
                  <w:vMerge w:val="continue"/>
                  <w:tcBorders>
                    <w:tl2br w:val="nil"/>
                    <w:tr2bl w:val="nil"/>
                  </w:tcBorders>
                  <w:vAlign w:val="center"/>
                </w:tcPr>
                <w:p w14:paraId="74FDBCC1">
                  <w:pPr>
                    <w:pStyle w:val="4"/>
                    <w:spacing w:line="240" w:lineRule="auto"/>
                    <w:ind w:firstLine="0"/>
                    <w:jc w:val="center"/>
                    <w:rPr>
                      <w:rFonts w:hint="default" w:ascii="Times New Roman" w:hAnsi="Times New Roman" w:cs="Times New Roman"/>
                      <w:color w:val="auto"/>
                      <w:sz w:val="18"/>
                      <w:szCs w:val="18"/>
                    </w:rPr>
                  </w:pPr>
                </w:p>
              </w:tc>
            </w:tr>
            <w:tr w14:paraId="7732B6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Merge w:val="continue"/>
                  <w:tcBorders>
                    <w:tl2br w:val="nil"/>
                    <w:tr2bl w:val="nil"/>
                  </w:tcBorders>
                  <w:vAlign w:val="center"/>
                </w:tcPr>
                <w:p w14:paraId="0696EA2B">
                  <w:pPr>
                    <w:pStyle w:val="4"/>
                    <w:spacing w:line="240" w:lineRule="auto"/>
                    <w:ind w:firstLine="0"/>
                    <w:jc w:val="center"/>
                    <w:rPr>
                      <w:rFonts w:hint="default" w:ascii="Times New Roman" w:hAnsi="Times New Roman" w:cs="Times New Roman"/>
                      <w:color w:val="auto"/>
                      <w:sz w:val="18"/>
                      <w:szCs w:val="18"/>
                    </w:rPr>
                  </w:pPr>
                </w:p>
              </w:tc>
              <w:tc>
                <w:tcPr>
                  <w:tcW w:w="1058" w:type="pct"/>
                  <w:tcBorders>
                    <w:tl2br w:val="nil"/>
                    <w:tr2bl w:val="nil"/>
                  </w:tcBorders>
                  <w:vAlign w:val="center"/>
                </w:tcPr>
                <w:p w14:paraId="0EC3F651">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1小时平均</w:t>
                  </w:r>
                </w:p>
              </w:tc>
              <w:tc>
                <w:tcPr>
                  <w:tcW w:w="1324" w:type="pct"/>
                  <w:tcBorders>
                    <w:tl2br w:val="nil"/>
                    <w:tr2bl w:val="nil"/>
                  </w:tcBorders>
                  <w:vAlign w:val="center"/>
                </w:tcPr>
                <w:p w14:paraId="119EC49D">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200</w:t>
                  </w:r>
                </w:p>
              </w:tc>
              <w:tc>
                <w:tcPr>
                  <w:tcW w:w="1194" w:type="pct"/>
                  <w:vMerge w:val="continue"/>
                  <w:tcBorders>
                    <w:tl2br w:val="nil"/>
                    <w:tr2bl w:val="nil"/>
                  </w:tcBorders>
                  <w:vAlign w:val="center"/>
                </w:tcPr>
                <w:p w14:paraId="0ACA0858">
                  <w:pPr>
                    <w:pStyle w:val="4"/>
                    <w:spacing w:line="240" w:lineRule="auto"/>
                    <w:ind w:firstLine="0"/>
                    <w:jc w:val="center"/>
                    <w:rPr>
                      <w:rFonts w:hint="default" w:ascii="Times New Roman" w:hAnsi="Times New Roman" w:cs="Times New Roman"/>
                      <w:color w:val="auto"/>
                      <w:sz w:val="18"/>
                      <w:szCs w:val="18"/>
                    </w:rPr>
                  </w:pPr>
                </w:p>
              </w:tc>
            </w:tr>
            <w:tr w14:paraId="43F642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Merge w:val="restart"/>
                  <w:tcBorders>
                    <w:tl2br w:val="nil"/>
                    <w:tr2bl w:val="nil"/>
                  </w:tcBorders>
                  <w:vAlign w:val="center"/>
                </w:tcPr>
                <w:p w14:paraId="4D77B5F5">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TSP</w:t>
                  </w:r>
                </w:p>
              </w:tc>
              <w:tc>
                <w:tcPr>
                  <w:tcW w:w="1058" w:type="pct"/>
                  <w:tcBorders>
                    <w:tl2br w:val="nil"/>
                    <w:tr2bl w:val="nil"/>
                  </w:tcBorders>
                  <w:vAlign w:val="center"/>
                </w:tcPr>
                <w:p w14:paraId="090B570D">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w:t>
                  </w:r>
                </w:p>
              </w:tc>
              <w:tc>
                <w:tcPr>
                  <w:tcW w:w="1324" w:type="pct"/>
                  <w:tcBorders>
                    <w:tl2br w:val="nil"/>
                    <w:tr2bl w:val="nil"/>
                  </w:tcBorders>
                  <w:vAlign w:val="center"/>
                </w:tcPr>
                <w:p w14:paraId="25942B07">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200</w:t>
                  </w:r>
                </w:p>
              </w:tc>
              <w:tc>
                <w:tcPr>
                  <w:tcW w:w="1194" w:type="pct"/>
                  <w:vMerge w:val="continue"/>
                  <w:tcBorders>
                    <w:tl2br w:val="nil"/>
                    <w:tr2bl w:val="nil"/>
                  </w:tcBorders>
                  <w:vAlign w:val="center"/>
                </w:tcPr>
                <w:p w14:paraId="0D77D533">
                  <w:pPr>
                    <w:pStyle w:val="4"/>
                    <w:spacing w:line="240" w:lineRule="auto"/>
                    <w:ind w:firstLine="0"/>
                    <w:jc w:val="center"/>
                    <w:rPr>
                      <w:rFonts w:hint="default" w:ascii="Times New Roman" w:hAnsi="Times New Roman" w:cs="Times New Roman"/>
                      <w:color w:val="auto"/>
                      <w:sz w:val="18"/>
                      <w:szCs w:val="18"/>
                    </w:rPr>
                  </w:pPr>
                </w:p>
              </w:tc>
            </w:tr>
            <w:tr w14:paraId="4C7C85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Merge w:val="continue"/>
                  <w:tcBorders>
                    <w:tl2br w:val="nil"/>
                    <w:tr2bl w:val="nil"/>
                  </w:tcBorders>
                  <w:vAlign w:val="center"/>
                </w:tcPr>
                <w:p w14:paraId="62FDA437">
                  <w:pPr>
                    <w:pStyle w:val="4"/>
                    <w:spacing w:line="240" w:lineRule="auto"/>
                    <w:ind w:firstLine="0"/>
                    <w:jc w:val="center"/>
                    <w:rPr>
                      <w:rFonts w:hint="default" w:ascii="Times New Roman" w:hAnsi="Times New Roman" w:cs="Times New Roman"/>
                      <w:color w:val="auto"/>
                      <w:sz w:val="18"/>
                      <w:szCs w:val="18"/>
                    </w:rPr>
                  </w:pPr>
                </w:p>
              </w:tc>
              <w:tc>
                <w:tcPr>
                  <w:tcW w:w="1058" w:type="pct"/>
                  <w:tcBorders>
                    <w:tl2br w:val="nil"/>
                    <w:tr2bl w:val="nil"/>
                  </w:tcBorders>
                  <w:vAlign w:val="center"/>
                </w:tcPr>
                <w:p w14:paraId="60088077">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日平均</w:t>
                  </w:r>
                </w:p>
              </w:tc>
              <w:tc>
                <w:tcPr>
                  <w:tcW w:w="1324" w:type="pct"/>
                  <w:tcBorders>
                    <w:tl2br w:val="nil"/>
                    <w:tr2bl w:val="nil"/>
                  </w:tcBorders>
                  <w:vAlign w:val="center"/>
                </w:tcPr>
                <w:p w14:paraId="12FEFB21">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300</w:t>
                  </w:r>
                </w:p>
              </w:tc>
              <w:tc>
                <w:tcPr>
                  <w:tcW w:w="1194" w:type="pct"/>
                  <w:vMerge w:val="continue"/>
                  <w:tcBorders>
                    <w:tl2br w:val="nil"/>
                    <w:tr2bl w:val="nil"/>
                  </w:tcBorders>
                  <w:vAlign w:val="center"/>
                </w:tcPr>
                <w:p w14:paraId="7D486D42">
                  <w:pPr>
                    <w:pStyle w:val="4"/>
                    <w:spacing w:line="240" w:lineRule="auto"/>
                    <w:ind w:firstLine="0"/>
                    <w:jc w:val="center"/>
                    <w:rPr>
                      <w:rFonts w:hint="default" w:ascii="Times New Roman" w:hAnsi="Times New Roman" w:cs="Times New Roman"/>
                      <w:color w:val="auto"/>
                      <w:sz w:val="18"/>
                      <w:szCs w:val="18"/>
                    </w:rPr>
                  </w:pPr>
                </w:p>
              </w:tc>
            </w:tr>
            <w:tr w14:paraId="0BC7BE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Merge w:val="restart"/>
                  <w:tcBorders>
                    <w:tl2br w:val="nil"/>
                    <w:tr2bl w:val="nil"/>
                  </w:tcBorders>
                  <w:vAlign w:val="center"/>
                </w:tcPr>
                <w:p w14:paraId="126F9D1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O</w:t>
                  </w:r>
                  <w:r>
                    <w:rPr>
                      <w:rFonts w:hint="default" w:ascii="Times New Roman" w:hAnsi="Times New Roman" w:cs="Times New Roman"/>
                      <w:color w:val="auto"/>
                      <w:sz w:val="18"/>
                      <w:szCs w:val="18"/>
                      <w:vertAlign w:val="subscript"/>
                    </w:rPr>
                    <w:t>3</w:t>
                  </w:r>
                </w:p>
              </w:tc>
              <w:tc>
                <w:tcPr>
                  <w:tcW w:w="1058" w:type="pct"/>
                  <w:tcBorders>
                    <w:tl2br w:val="nil"/>
                    <w:tr2bl w:val="nil"/>
                  </w:tcBorders>
                  <w:vAlign w:val="center"/>
                </w:tcPr>
                <w:p w14:paraId="07D29CE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日最大8小时平均</w:t>
                  </w:r>
                </w:p>
              </w:tc>
              <w:tc>
                <w:tcPr>
                  <w:tcW w:w="1324" w:type="pct"/>
                  <w:tcBorders>
                    <w:tl2br w:val="nil"/>
                    <w:tr2bl w:val="nil"/>
                  </w:tcBorders>
                  <w:vAlign w:val="center"/>
                </w:tcPr>
                <w:p w14:paraId="65C3E3A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1194" w:type="pct"/>
                  <w:vMerge w:val="continue"/>
                  <w:tcBorders>
                    <w:tl2br w:val="nil"/>
                    <w:tr2bl w:val="nil"/>
                  </w:tcBorders>
                  <w:vAlign w:val="center"/>
                </w:tcPr>
                <w:p w14:paraId="2926CA9B">
                  <w:pPr>
                    <w:pStyle w:val="4"/>
                    <w:spacing w:line="240" w:lineRule="auto"/>
                    <w:ind w:firstLine="0"/>
                    <w:jc w:val="center"/>
                    <w:rPr>
                      <w:rFonts w:hint="default" w:ascii="Times New Roman" w:hAnsi="Times New Roman" w:cs="Times New Roman"/>
                      <w:color w:val="auto"/>
                      <w:sz w:val="18"/>
                      <w:szCs w:val="18"/>
                    </w:rPr>
                  </w:pPr>
                </w:p>
              </w:tc>
            </w:tr>
            <w:tr w14:paraId="5B5B13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Merge w:val="continue"/>
                  <w:tcBorders>
                    <w:tl2br w:val="nil"/>
                    <w:tr2bl w:val="nil"/>
                  </w:tcBorders>
                  <w:vAlign w:val="center"/>
                </w:tcPr>
                <w:p w14:paraId="565BE0C5">
                  <w:pPr>
                    <w:pStyle w:val="4"/>
                    <w:spacing w:line="240" w:lineRule="auto"/>
                    <w:ind w:firstLine="0"/>
                    <w:jc w:val="center"/>
                    <w:rPr>
                      <w:rFonts w:hint="default" w:ascii="Times New Roman" w:hAnsi="Times New Roman" w:cs="Times New Roman"/>
                      <w:color w:val="auto"/>
                      <w:sz w:val="18"/>
                      <w:szCs w:val="18"/>
                    </w:rPr>
                  </w:pPr>
                </w:p>
              </w:tc>
              <w:tc>
                <w:tcPr>
                  <w:tcW w:w="1058" w:type="pct"/>
                  <w:tcBorders>
                    <w:tl2br w:val="nil"/>
                    <w:tr2bl w:val="nil"/>
                  </w:tcBorders>
                  <w:vAlign w:val="center"/>
                </w:tcPr>
                <w:p w14:paraId="570C2EA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1小时平均</w:t>
                  </w:r>
                </w:p>
              </w:tc>
              <w:tc>
                <w:tcPr>
                  <w:tcW w:w="1324" w:type="pct"/>
                  <w:tcBorders>
                    <w:tl2br w:val="nil"/>
                    <w:tr2bl w:val="nil"/>
                  </w:tcBorders>
                  <w:vAlign w:val="center"/>
                </w:tcPr>
                <w:p w14:paraId="04A210D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200</w:t>
                  </w:r>
                </w:p>
              </w:tc>
              <w:tc>
                <w:tcPr>
                  <w:tcW w:w="1194" w:type="pct"/>
                  <w:vMerge w:val="continue"/>
                  <w:tcBorders>
                    <w:tl2br w:val="nil"/>
                    <w:tr2bl w:val="nil"/>
                  </w:tcBorders>
                  <w:vAlign w:val="center"/>
                </w:tcPr>
                <w:p w14:paraId="2616830E">
                  <w:pPr>
                    <w:pStyle w:val="4"/>
                    <w:spacing w:line="240" w:lineRule="auto"/>
                    <w:ind w:firstLine="0"/>
                    <w:jc w:val="center"/>
                    <w:rPr>
                      <w:rFonts w:hint="default" w:ascii="Times New Roman" w:hAnsi="Times New Roman" w:cs="Times New Roman"/>
                      <w:color w:val="auto"/>
                      <w:sz w:val="18"/>
                      <w:szCs w:val="18"/>
                    </w:rPr>
                  </w:pPr>
                </w:p>
              </w:tc>
            </w:tr>
            <w:tr w14:paraId="72C20F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Merge w:val="restart"/>
                  <w:tcBorders>
                    <w:tl2br w:val="nil"/>
                    <w:tr2bl w:val="nil"/>
                  </w:tcBorders>
                  <w:vAlign w:val="center"/>
                </w:tcPr>
                <w:p w14:paraId="3355EC7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一氧化碳（CO）（mg/m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w:t>
                  </w:r>
                </w:p>
              </w:tc>
              <w:tc>
                <w:tcPr>
                  <w:tcW w:w="1058" w:type="pct"/>
                  <w:tcBorders>
                    <w:tl2br w:val="nil"/>
                    <w:tr2bl w:val="nil"/>
                  </w:tcBorders>
                  <w:vAlign w:val="center"/>
                </w:tcPr>
                <w:p w14:paraId="411467E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24小时平均</w:t>
                  </w:r>
                </w:p>
              </w:tc>
              <w:tc>
                <w:tcPr>
                  <w:tcW w:w="1324" w:type="pct"/>
                  <w:tcBorders>
                    <w:tl2br w:val="nil"/>
                    <w:tr2bl w:val="nil"/>
                  </w:tcBorders>
                  <w:vAlign w:val="center"/>
                </w:tcPr>
                <w:p w14:paraId="3CCE0C5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194" w:type="pct"/>
                  <w:vMerge w:val="continue"/>
                  <w:tcBorders>
                    <w:tl2br w:val="nil"/>
                    <w:tr2bl w:val="nil"/>
                  </w:tcBorders>
                  <w:vAlign w:val="center"/>
                </w:tcPr>
                <w:p w14:paraId="64FB47A1">
                  <w:pPr>
                    <w:pStyle w:val="4"/>
                    <w:spacing w:line="240" w:lineRule="auto"/>
                    <w:ind w:firstLine="0"/>
                    <w:jc w:val="center"/>
                    <w:rPr>
                      <w:rFonts w:hint="default" w:ascii="Times New Roman" w:hAnsi="Times New Roman" w:cs="Times New Roman"/>
                      <w:color w:val="auto"/>
                      <w:sz w:val="18"/>
                      <w:szCs w:val="18"/>
                    </w:rPr>
                  </w:pPr>
                </w:p>
              </w:tc>
            </w:tr>
            <w:tr w14:paraId="7A57A1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Merge w:val="continue"/>
                  <w:tcBorders>
                    <w:tl2br w:val="nil"/>
                    <w:tr2bl w:val="nil"/>
                  </w:tcBorders>
                  <w:vAlign w:val="center"/>
                </w:tcPr>
                <w:p w14:paraId="68D1A986">
                  <w:pPr>
                    <w:pStyle w:val="4"/>
                    <w:spacing w:line="240" w:lineRule="auto"/>
                    <w:ind w:firstLine="0"/>
                    <w:jc w:val="center"/>
                    <w:rPr>
                      <w:rFonts w:hint="default" w:ascii="Times New Roman" w:hAnsi="Times New Roman" w:cs="Times New Roman"/>
                      <w:color w:val="auto"/>
                      <w:sz w:val="18"/>
                      <w:szCs w:val="18"/>
                    </w:rPr>
                  </w:pPr>
                </w:p>
              </w:tc>
              <w:tc>
                <w:tcPr>
                  <w:tcW w:w="1058" w:type="pct"/>
                  <w:tcBorders>
                    <w:tl2br w:val="nil"/>
                    <w:tr2bl w:val="nil"/>
                  </w:tcBorders>
                  <w:vAlign w:val="center"/>
                </w:tcPr>
                <w:p w14:paraId="2918A3D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1小时平均</w:t>
                  </w:r>
                </w:p>
              </w:tc>
              <w:tc>
                <w:tcPr>
                  <w:tcW w:w="1324" w:type="pct"/>
                  <w:tcBorders>
                    <w:tl2br w:val="nil"/>
                    <w:tr2bl w:val="nil"/>
                  </w:tcBorders>
                  <w:vAlign w:val="center"/>
                </w:tcPr>
                <w:p w14:paraId="47B6ECA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1194" w:type="pct"/>
                  <w:vMerge w:val="continue"/>
                  <w:tcBorders>
                    <w:tl2br w:val="nil"/>
                    <w:tr2bl w:val="nil"/>
                  </w:tcBorders>
                  <w:vAlign w:val="center"/>
                </w:tcPr>
                <w:p w14:paraId="6352E5DC">
                  <w:pPr>
                    <w:pStyle w:val="4"/>
                    <w:spacing w:line="240" w:lineRule="auto"/>
                    <w:ind w:firstLine="0"/>
                    <w:jc w:val="center"/>
                    <w:rPr>
                      <w:rFonts w:hint="default" w:ascii="Times New Roman" w:hAnsi="Times New Roman" w:cs="Times New Roman"/>
                      <w:color w:val="auto"/>
                      <w:sz w:val="18"/>
                      <w:szCs w:val="18"/>
                    </w:rPr>
                  </w:pPr>
                </w:p>
              </w:tc>
            </w:tr>
            <w:tr w14:paraId="48011F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Merge w:val="restart"/>
                  <w:tcBorders>
                    <w:tl2br w:val="nil"/>
                    <w:tr2bl w:val="nil"/>
                  </w:tcBorders>
                  <w:vAlign w:val="center"/>
                </w:tcPr>
                <w:p w14:paraId="7146AF7C">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PM</w:t>
                  </w:r>
                  <w:r>
                    <w:rPr>
                      <w:rFonts w:hint="default" w:ascii="Times New Roman" w:hAnsi="Times New Roman" w:cs="Times New Roman"/>
                      <w:color w:val="auto"/>
                      <w:sz w:val="18"/>
                      <w:szCs w:val="18"/>
                      <w:vertAlign w:val="subscript"/>
                    </w:rPr>
                    <w:t>10</w:t>
                  </w:r>
                  <w:r>
                    <w:rPr>
                      <w:rFonts w:hint="default" w:ascii="Times New Roman" w:hAnsi="Times New Roman" w:cs="Times New Roman"/>
                      <w:color w:val="auto"/>
                      <w:sz w:val="18"/>
                      <w:szCs w:val="18"/>
                    </w:rPr>
                    <w:t>（粒径≤10μm）</w:t>
                  </w:r>
                </w:p>
              </w:tc>
              <w:tc>
                <w:tcPr>
                  <w:tcW w:w="1058" w:type="pct"/>
                  <w:tcBorders>
                    <w:tl2br w:val="nil"/>
                    <w:tr2bl w:val="nil"/>
                  </w:tcBorders>
                  <w:vAlign w:val="center"/>
                </w:tcPr>
                <w:p w14:paraId="518DDCD1">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w:t>
                  </w:r>
                </w:p>
              </w:tc>
              <w:tc>
                <w:tcPr>
                  <w:tcW w:w="1324" w:type="pct"/>
                  <w:tcBorders>
                    <w:tl2br w:val="nil"/>
                    <w:tr2bl w:val="nil"/>
                  </w:tcBorders>
                  <w:vAlign w:val="center"/>
                </w:tcPr>
                <w:p w14:paraId="0F33F636">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w:t>
                  </w:r>
                </w:p>
              </w:tc>
              <w:tc>
                <w:tcPr>
                  <w:tcW w:w="1194" w:type="pct"/>
                  <w:vMerge w:val="continue"/>
                  <w:tcBorders>
                    <w:tl2br w:val="nil"/>
                    <w:tr2bl w:val="nil"/>
                  </w:tcBorders>
                  <w:vAlign w:val="center"/>
                </w:tcPr>
                <w:p w14:paraId="1C95A34F">
                  <w:pPr>
                    <w:pStyle w:val="4"/>
                    <w:spacing w:line="240" w:lineRule="auto"/>
                    <w:ind w:firstLine="0"/>
                    <w:jc w:val="center"/>
                    <w:rPr>
                      <w:rFonts w:hint="default" w:ascii="Times New Roman" w:hAnsi="Times New Roman" w:cs="Times New Roman"/>
                      <w:color w:val="auto"/>
                      <w:sz w:val="18"/>
                      <w:szCs w:val="18"/>
                    </w:rPr>
                  </w:pPr>
                </w:p>
              </w:tc>
            </w:tr>
            <w:tr w14:paraId="63B07A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Merge w:val="continue"/>
                  <w:tcBorders>
                    <w:tl2br w:val="nil"/>
                    <w:tr2bl w:val="nil"/>
                  </w:tcBorders>
                  <w:vAlign w:val="center"/>
                </w:tcPr>
                <w:p w14:paraId="78A7789D">
                  <w:pPr>
                    <w:pStyle w:val="4"/>
                    <w:spacing w:line="240" w:lineRule="auto"/>
                    <w:ind w:firstLine="0"/>
                    <w:jc w:val="center"/>
                    <w:rPr>
                      <w:rFonts w:hint="default" w:ascii="Times New Roman" w:hAnsi="Times New Roman" w:cs="Times New Roman"/>
                      <w:color w:val="auto"/>
                      <w:sz w:val="18"/>
                      <w:szCs w:val="18"/>
                    </w:rPr>
                  </w:pPr>
                </w:p>
              </w:tc>
              <w:tc>
                <w:tcPr>
                  <w:tcW w:w="1058" w:type="pct"/>
                  <w:tcBorders>
                    <w:tl2br w:val="nil"/>
                    <w:tr2bl w:val="nil"/>
                  </w:tcBorders>
                  <w:vAlign w:val="center"/>
                </w:tcPr>
                <w:p w14:paraId="371E0375">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日平均</w:t>
                  </w:r>
                </w:p>
              </w:tc>
              <w:tc>
                <w:tcPr>
                  <w:tcW w:w="1324" w:type="pct"/>
                  <w:tcBorders>
                    <w:tl2br w:val="nil"/>
                    <w:tr2bl w:val="nil"/>
                  </w:tcBorders>
                  <w:vAlign w:val="center"/>
                </w:tcPr>
                <w:p w14:paraId="73FD59A5">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150</w:t>
                  </w:r>
                </w:p>
              </w:tc>
              <w:tc>
                <w:tcPr>
                  <w:tcW w:w="1194" w:type="pct"/>
                  <w:vMerge w:val="continue"/>
                  <w:tcBorders>
                    <w:tl2br w:val="nil"/>
                    <w:tr2bl w:val="nil"/>
                  </w:tcBorders>
                  <w:vAlign w:val="center"/>
                </w:tcPr>
                <w:p w14:paraId="4A4518DA">
                  <w:pPr>
                    <w:pStyle w:val="4"/>
                    <w:spacing w:line="240" w:lineRule="auto"/>
                    <w:ind w:firstLine="0"/>
                    <w:jc w:val="center"/>
                    <w:rPr>
                      <w:rFonts w:hint="default" w:ascii="Times New Roman" w:hAnsi="Times New Roman" w:cs="Times New Roman"/>
                      <w:color w:val="auto"/>
                      <w:sz w:val="18"/>
                      <w:szCs w:val="18"/>
                    </w:rPr>
                  </w:pPr>
                </w:p>
              </w:tc>
            </w:tr>
            <w:tr w14:paraId="03F79C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Merge w:val="restart"/>
                  <w:tcBorders>
                    <w:tl2br w:val="nil"/>
                    <w:tr2bl w:val="nil"/>
                  </w:tcBorders>
                  <w:vAlign w:val="center"/>
                </w:tcPr>
                <w:p w14:paraId="60848E17">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PM</w:t>
                  </w:r>
                  <w:r>
                    <w:rPr>
                      <w:rFonts w:hint="default" w:ascii="Times New Roman" w:hAnsi="Times New Roman" w:cs="Times New Roman"/>
                      <w:color w:val="auto"/>
                      <w:sz w:val="18"/>
                      <w:szCs w:val="18"/>
                      <w:vertAlign w:val="subscript"/>
                    </w:rPr>
                    <w:t>2.5</w:t>
                  </w:r>
                  <w:r>
                    <w:rPr>
                      <w:rFonts w:hint="default" w:ascii="Times New Roman" w:hAnsi="Times New Roman" w:cs="Times New Roman"/>
                      <w:color w:val="auto"/>
                      <w:sz w:val="18"/>
                      <w:szCs w:val="18"/>
                    </w:rPr>
                    <w:t>（粒径≤2.5μm）</w:t>
                  </w:r>
                </w:p>
              </w:tc>
              <w:tc>
                <w:tcPr>
                  <w:tcW w:w="1058" w:type="pct"/>
                  <w:tcBorders>
                    <w:tl2br w:val="nil"/>
                    <w:tr2bl w:val="nil"/>
                  </w:tcBorders>
                  <w:vAlign w:val="center"/>
                </w:tcPr>
                <w:p w14:paraId="6EF143C9">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w:t>
                  </w:r>
                </w:p>
              </w:tc>
              <w:tc>
                <w:tcPr>
                  <w:tcW w:w="1324" w:type="pct"/>
                  <w:tcBorders>
                    <w:tl2br w:val="nil"/>
                    <w:tr2bl w:val="nil"/>
                  </w:tcBorders>
                  <w:vAlign w:val="center"/>
                </w:tcPr>
                <w:p w14:paraId="0398E35B">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35</w:t>
                  </w:r>
                </w:p>
              </w:tc>
              <w:tc>
                <w:tcPr>
                  <w:tcW w:w="1194" w:type="pct"/>
                  <w:vMerge w:val="continue"/>
                  <w:tcBorders>
                    <w:tl2br w:val="nil"/>
                    <w:tr2bl w:val="nil"/>
                  </w:tcBorders>
                  <w:vAlign w:val="center"/>
                </w:tcPr>
                <w:p w14:paraId="669849FB">
                  <w:pPr>
                    <w:pStyle w:val="4"/>
                    <w:spacing w:line="240" w:lineRule="auto"/>
                    <w:ind w:firstLine="0"/>
                    <w:jc w:val="center"/>
                    <w:rPr>
                      <w:rFonts w:hint="default" w:ascii="Times New Roman" w:hAnsi="Times New Roman" w:cs="Times New Roman"/>
                      <w:color w:val="auto"/>
                      <w:sz w:val="18"/>
                      <w:szCs w:val="18"/>
                    </w:rPr>
                  </w:pPr>
                </w:p>
              </w:tc>
            </w:tr>
            <w:tr w14:paraId="0E9295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1" w:type="pct"/>
                  <w:vMerge w:val="continue"/>
                  <w:tcBorders>
                    <w:tl2br w:val="nil"/>
                    <w:tr2bl w:val="nil"/>
                  </w:tcBorders>
                  <w:vAlign w:val="center"/>
                </w:tcPr>
                <w:p w14:paraId="35BEA142">
                  <w:pPr>
                    <w:pStyle w:val="4"/>
                    <w:spacing w:line="240" w:lineRule="auto"/>
                    <w:ind w:firstLine="0"/>
                    <w:jc w:val="center"/>
                    <w:rPr>
                      <w:rFonts w:hint="default" w:ascii="Times New Roman" w:hAnsi="Times New Roman" w:cs="Times New Roman"/>
                      <w:color w:val="auto"/>
                      <w:sz w:val="18"/>
                      <w:szCs w:val="18"/>
                    </w:rPr>
                  </w:pPr>
                </w:p>
              </w:tc>
              <w:tc>
                <w:tcPr>
                  <w:tcW w:w="1058" w:type="pct"/>
                  <w:tcBorders>
                    <w:tl2br w:val="nil"/>
                    <w:tr2bl w:val="nil"/>
                  </w:tcBorders>
                  <w:vAlign w:val="center"/>
                </w:tcPr>
                <w:p w14:paraId="44919C2F">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日平均</w:t>
                  </w:r>
                </w:p>
              </w:tc>
              <w:tc>
                <w:tcPr>
                  <w:tcW w:w="1324" w:type="pct"/>
                  <w:tcBorders>
                    <w:tl2br w:val="nil"/>
                    <w:tr2bl w:val="nil"/>
                  </w:tcBorders>
                  <w:vAlign w:val="center"/>
                </w:tcPr>
                <w:p w14:paraId="03D91367">
                  <w:pPr>
                    <w:pStyle w:val="4"/>
                    <w:spacing w:line="240"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w:t>
                  </w:r>
                </w:p>
              </w:tc>
              <w:tc>
                <w:tcPr>
                  <w:tcW w:w="1194" w:type="pct"/>
                  <w:vMerge w:val="continue"/>
                  <w:tcBorders>
                    <w:tl2br w:val="nil"/>
                    <w:tr2bl w:val="nil"/>
                  </w:tcBorders>
                  <w:vAlign w:val="center"/>
                </w:tcPr>
                <w:p w14:paraId="09356FFA">
                  <w:pPr>
                    <w:pStyle w:val="4"/>
                    <w:spacing w:line="240" w:lineRule="auto"/>
                    <w:ind w:firstLine="0"/>
                    <w:jc w:val="center"/>
                    <w:rPr>
                      <w:rFonts w:hint="default" w:ascii="Times New Roman" w:hAnsi="Times New Roman" w:cs="Times New Roman"/>
                      <w:color w:val="auto"/>
                      <w:sz w:val="18"/>
                      <w:szCs w:val="18"/>
                    </w:rPr>
                  </w:pPr>
                </w:p>
              </w:tc>
            </w:tr>
          </w:tbl>
          <w:p w14:paraId="137E25E2">
            <w:pPr>
              <w:widowControl/>
              <w:autoSpaceDE w:val="0"/>
              <w:autoSpaceDN w:val="0"/>
              <w:spacing w:line="360" w:lineRule="auto"/>
              <w:ind w:firstLine="480" w:firstLineChars="200"/>
              <w:jc w:val="left"/>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根据《环境影响评价技术导则</w:t>
            </w:r>
            <w:r>
              <w:rPr>
                <w:rFonts w:hint="default" w:ascii="Times New Roman" w:hAnsi="Times New Roman" w:cs="Times New Roman"/>
                <w:color w:val="auto"/>
                <w:kern w:val="0"/>
                <w:sz w:val="24"/>
              </w:rPr>
              <w:t xml:space="preserve">  </w:t>
            </w:r>
            <w:r>
              <w:rPr>
                <w:rFonts w:hint="default" w:ascii="Times New Roman" w:hAnsi="Times New Roman" w:cs="Times New Roman"/>
                <w:color w:val="auto"/>
                <w:kern w:val="0"/>
                <w:sz w:val="24"/>
                <w:lang w:val="zh-CN"/>
              </w:rPr>
              <w:t>大气环境》（HJ2.2-2018），应调查所在区域环境质量达标情况，根据HJ2.2-2018</w:t>
            </w:r>
            <w:r>
              <w:rPr>
                <w:rFonts w:hint="default" w:ascii="Times New Roman" w:hAnsi="Times New Roman" w:cs="Times New Roman"/>
                <w:color w:val="auto"/>
                <w:kern w:val="0"/>
                <w:sz w:val="24"/>
              </w:rPr>
              <w:t>中</w:t>
            </w:r>
            <w:r>
              <w:rPr>
                <w:rFonts w:hint="default" w:ascii="Times New Roman" w:hAnsi="Times New Roman" w:cs="Times New Roman"/>
                <w:color w:val="auto"/>
                <w:kern w:val="0"/>
                <w:sz w:val="24"/>
                <w:lang w:val="zh-CN"/>
              </w:rPr>
              <w:t>“第6.2”项目所在区域达标判定，优先选用国家或地方生态环境主管部门公开发布的评价基准年环境质量公告或环境质量公告中的数据或结论。</w:t>
            </w:r>
          </w:p>
          <w:p w14:paraId="697FFCE1">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（1）环境空气达标区判定</w:t>
            </w:r>
          </w:p>
          <w:p w14:paraId="23958CD6">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根据收集通海县空气自动监测站全年数据统计，通海县空气自动监测站位于项目区西北侧3.35km处。</w:t>
            </w:r>
          </w:p>
          <w:p w14:paraId="6E154344">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区域环境质量如下：</w:t>
            </w:r>
          </w:p>
          <w:p w14:paraId="40C26763">
            <w:pPr>
              <w:adjustRightInd w:val="0"/>
              <w:snapToGrid w:val="0"/>
              <w:spacing w:line="360" w:lineRule="auto"/>
              <w:ind w:firstLine="420" w:firstLineChars="20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表3-2   通海县空气质量现状评价表</w:t>
            </w:r>
          </w:p>
          <w:tbl>
            <w:tblPr>
              <w:tblStyle w:val="35"/>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1"/>
              <w:gridCol w:w="2349"/>
              <w:gridCol w:w="1360"/>
              <w:gridCol w:w="1319"/>
              <w:gridCol w:w="901"/>
              <w:gridCol w:w="1007"/>
            </w:tblGrid>
            <w:tr w14:paraId="085782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80" w:type="pct"/>
                  <w:tcBorders>
                    <w:tl2br w:val="nil"/>
                    <w:tr2bl w:val="nil"/>
                  </w:tcBorders>
                  <w:vAlign w:val="center"/>
                </w:tcPr>
                <w:p w14:paraId="7D051927">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1496" w:type="pct"/>
                  <w:tcBorders>
                    <w:tl2br w:val="nil"/>
                    <w:tr2bl w:val="nil"/>
                  </w:tcBorders>
                  <w:vAlign w:val="center"/>
                </w:tcPr>
                <w:p w14:paraId="47A2E55A">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年评价指标</w:t>
                  </w:r>
                </w:p>
              </w:tc>
              <w:tc>
                <w:tcPr>
                  <w:tcW w:w="866" w:type="pct"/>
                  <w:tcBorders>
                    <w:tl2br w:val="nil"/>
                    <w:tr2bl w:val="nil"/>
                  </w:tcBorders>
                  <w:vAlign w:val="center"/>
                </w:tcPr>
                <w:p w14:paraId="4F459505">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现状浓度μg/m</w:t>
                  </w:r>
                  <w:r>
                    <w:rPr>
                      <w:rFonts w:hint="default" w:ascii="Times New Roman" w:hAnsi="Times New Roman" w:cs="Times New Roman"/>
                      <w:color w:val="auto"/>
                      <w:sz w:val="18"/>
                      <w:szCs w:val="18"/>
                      <w:vertAlign w:val="superscript"/>
                    </w:rPr>
                    <w:t>3</w:t>
                  </w:r>
                </w:p>
              </w:tc>
              <w:tc>
                <w:tcPr>
                  <w:tcW w:w="840" w:type="pct"/>
                  <w:tcBorders>
                    <w:tl2br w:val="nil"/>
                    <w:tr2bl w:val="nil"/>
                  </w:tcBorders>
                  <w:vAlign w:val="center"/>
                </w:tcPr>
                <w:p w14:paraId="3B72CD2A">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标准值μg/m</w:t>
                  </w:r>
                  <w:r>
                    <w:rPr>
                      <w:rFonts w:hint="default" w:ascii="Times New Roman" w:hAnsi="Times New Roman" w:cs="Times New Roman"/>
                      <w:color w:val="auto"/>
                      <w:sz w:val="18"/>
                      <w:szCs w:val="18"/>
                      <w:vertAlign w:val="superscript"/>
                    </w:rPr>
                    <w:t>3</w:t>
                  </w:r>
                </w:p>
              </w:tc>
              <w:tc>
                <w:tcPr>
                  <w:tcW w:w="574" w:type="pct"/>
                  <w:tcBorders>
                    <w:tl2br w:val="nil"/>
                    <w:tr2bl w:val="nil"/>
                  </w:tcBorders>
                  <w:vAlign w:val="center"/>
                </w:tcPr>
                <w:p w14:paraId="3E3590C3">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占标率%</w:t>
                  </w:r>
                </w:p>
              </w:tc>
              <w:tc>
                <w:tcPr>
                  <w:tcW w:w="641" w:type="pct"/>
                  <w:tcBorders>
                    <w:tl2br w:val="nil"/>
                    <w:tr2bl w:val="nil"/>
                  </w:tcBorders>
                  <w:vAlign w:val="center"/>
                </w:tcPr>
                <w:p w14:paraId="27FF4DC7">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达标情况</w:t>
                  </w:r>
                </w:p>
              </w:tc>
            </w:tr>
            <w:tr w14:paraId="642A32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0" w:type="pct"/>
                  <w:vMerge w:val="restart"/>
                  <w:tcBorders>
                    <w:tl2br w:val="nil"/>
                    <w:tr2bl w:val="nil"/>
                  </w:tcBorders>
                  <w:vAlign w:val="center"/>
                </w:tcPr>
                <w:p w14:paraId="20481600">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SO</w:t>
                  </w:r>
                  <w:r>
                    <w:rPr>
                      <w:rFonts w:hint="default" w:ascii="Times New Roman" w:hAnsi="Times New Roman" w:cs="Times New Roman"/>
                      <w:color w:val="auto"/>
                      <w:sz w:val="18"/>
                      <w:szCs w:val="18"/>
                      <w:vertAlign w:val="subscript"/>
                    </w:rPr>
                    <w:t>2</w:t>
                  </w:r>
                </w:p>
              </w:tc>
              <w:tc>
                <w:tcPr>
                  <w:tcW w:w="1496" w:type="pct"/>
                  <w:tcBorders>
                    <w:tl2br w:val="nil"/>
                    <w:tr2bl w:val="nil"/>
                  </w:tcBorders>
                  <w:vAlign w:val="center"/>
                </w:tcPr>
                <w:p w14:paraId="0880B06E">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年平均质量浓度</w:t>
                  </w:r>
                </w:p>
              </w:tc>
              <w:tc>
                <w:tcPr>
                  <w:tcW w:w="866" w:type="pct"/>
                  <w:tcBorders>
                    <w:tl2br w:val="nil"/>
                    <w:tr2bl w:val="nil"/>
                  </w:tcBorders>
                  <w:vAlign w:val="center"/>
                </w:tcPr>
                <w:p w14:paraId="4BFD28CD">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6.84</w:t>
                  </w:r>
                </w:p>
              </w:tc>
              <w:tc>
                <w:tcPr>
                  <w:tcW w:w="840" w:type="pct"/>
                  <w:tcBorders>
                    <w:tl2br w:val="nil"/>
                    <w:tr2bl w:val="nil"/>
                  </w:tcBorders>
                  <w:vAlign w:val="center"/>
                </w:tcPr>
                <w:p w14:paraId="4A132D31">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574" w:type="pct"/>
                  <w:tcBorders>
                    <w:tl2br w:val="nil"/>
                    <w:tr2bl w:val="nil"/>
                  </w:tcBorders>
                  <w:vAlign w:val="center"/>
                </w:tcPr>
                <w:p w14:paraId="5CB9A02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11.40</w:t>
                  </w:r>
                </w:p>
              </w:tc>
              <w:tc>
                <w:tcPr>
                  <w:tcW w:w="641" w:type="pct"/>
                  <w:tcBorders>
                    <w:tl2br w:val="nil"/>
                    <w:tr2bl w:val="nil"/>
                  </w:tcBorders>
                  <w:vAlign w:val="center"/>
                </w:tcPr>
                <w:p w14:paraId="58418222">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4B842F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0" w:type="pct"/>
                  <w:vMerge w:val="continue"/>
                  <w:tcBorders>
                    <w:tl2br w:val="nil"/>
                    <w:tr2bl w:val="nil"/>
                  </w:tcBorders>
                  <w:vAlign w:val="center"/>
                </w:tcPr>
                <w:p w14:paraId="41D6FAFF">
                  <w:pPr>
                    <w:widowControl/>
                    <w:jc w:val="center"/>
                    <w:rPr>
                      <w:rFonts w:hint="default" w:ascii="Times New Roman" w:hAnsi="Times New Roman" w:cs="Times New Roman"/>
                      <w:color w:val="auto"/>
                      <w:sz w:val="18"/>
                      <w:szCs w:val="18"/>
                    </w:rPr>
                  </w:pPr>
                </w:p>
              </w:tc>
              <w:tc>
                <w:tcPr>
                  <w:tcW w:w="1496" w:type="pct"/>
                  <w:tcBorders>
                    <w:tl2br w:val="nil"/>
                    <w:tr2bl w:val="nil"/>
                  </w:tcBorders>
                  <w:vAlign w:val="center"/>
                </w:tcPr>
                <w:p w14:paraId="6F67ED7D">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24h平均第98百分位数</w:t>
                  </w:r>
                </w:p>
              </w:tc>
              <w:tc>
                <w:tcPr>
                  <w:tcW w:w="866" w:type="pct"/>
                  <w:tcBorders>
                    <w:tl2br w:val="nil"/>
                    <w:tr2bl w:val="nil"/>
                  </w:tcBorders>
                  <w:vAlign w:val="center"/>
                </w:tcPr>
                <w:p w14:paraId="010EC0FC">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840" w:type="pct"/>
                  <w:tcBorders>
                    <w:tl2br w:val="nil"/>
                    <w:tr2bl w:val="nil"/>
                  </w:tcBorders>
                  <w:vAlign w:val="center"/>
                </w:tcPr>
                <w:p w14:paraId="2E0E3EAB">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150</w:t>
                  </w:r>
                </w:p>
              </w:tc>
              <w:tc>
                <w:tcPr>
                  <w:tcW w:w="574" w:type="pct"/>
                  <w:tcBorders>
                    <w:tl2br w:val="nil"/>
                    <w:tr2bl w:val="nil"/>
                  </w:tcBorders>
                  <w:vAlign w:val="center"/>
                </w:tcPr>
                <w:p w14:paraId="7386E5A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8.00</w:t>
                  </w:r>
                </w:p>
              </w:tc>
              <w:tc>
                <w:tcPr>
                  <w:tcW w:w="641" w:type="pct"/>
                  <w:tcBorders>
                    <w:tl2br w:val="nil"/>
                    <w:tr2bl w:val="nil"/>
                  </w:tcBorders>
                  <w:vAlign w:val="center"/>
                </w:tcPr>
                <w:p w14:paraId="19256AF0">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1F0352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0" w:type="pct"/>
                  <w:vMerge w:val="restart"/>
                  <w:tcBorders>
                    <w:tl2br w:val="nil"/>
                    <w:tr2bl w:val="nil"/>
                  </w:tcBorders>
                  <w:vAlign w:val="center"/>
                </w:tcPr>
                <w:p w14:paraId="29254242">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NO</w:t>
                  </w:r>
                  <w:r>
                    <w:rPr>
                      <w:rFonts w:hint="default" w:ascii="Times New Roman" w:hAnsi="Times New Roman" w:cs="Times New Roman"/>
                      <w:color w:val="auto"/>
                      <w:sz w:val="18"/>
                      <w:szCs w:val="18"/>
                      <w:vertAlign w:val="subscript"/>
                    </w:rPr>
                    <w:t>2</w:t>
                  </w:r>
                </w:p>
              </w:tc>
              <w:tc>
                <w:tcPr>
                  <w:tcW w:w="1496" w:type="pct"/>
                  <w:tcBorders>
                    <w:tl2br w:val="nil"/>
                    <w:tr2bl w:val="nil"/>
                  </w:tcBorders>
                  <w:vAlign w:val="center"/>
                </w:tcPr>
                <w:p w14:paraId="156BABFB">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年平均质量浓度</w:t>
                  </w:r>
                </w:p>
              </w:tc>
              <w:tc>
                <w:tcPr>
                  <w:tcW w:w="866" w:type="pct"/>
                  <w:tcBorders>
                    <w:tl2br w:val="nil"/>
                    <w:tr2bl w:val="nil"/>
                  </w:tcBorders>
                  <w:vAlign w:val="center"/>
                </w:tcPr>
                <w:p w14:paraId="5EB17308">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11.57</w:t>
                  </w:r>
                </w:p>
              </w:tc>
              <w:tc>
                <w:tcPr>
                  <w:tcW w:w="840" w:type="pct"/>
                  <w:tcBorders>
                    <w:tl2br w:val="nil"/>
                    <w:tr2bl w:val="nil"/>
                  </w:tcBorders>
                  <w:vAlign w:val="center"/>
                </w:tcPr>
                <w:p w14:paraId="5896D23F">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w:t>
                  </w:r>
                </w:p>
              </w:tc>
              <w:tc>
                <w:tcPr>
                  <w:tcW w:w="574" w:type="pct"/>
                  <w:tcBorders>
                    <w:tl2br w:val="nil"/>
                    <w:tr2bl w:val="nil"/>
                  </w:tcBorders>
                  <w:vAlign w:val="center"/>
                </w:tcPr>
                <w:p w14:paraId="2D0C9AA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28.93</w:t>
                  </w:r>
                </w:p>
              </w:tc>
              <w:tc>
                <w:tcPr>
                  <w:tcW w:w="641" w:type="pct"/>
                  <w:tcBorders>
                    <w:tl2br w:val="nil"/>
                    <w:tr2bl w:val="nil"/>
                  </w:tcBorders>
                  <w:vAlign w:val="center"/>
                </w:tcPr>
                <w:p w14:paraId="57958B06">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0FE37D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0" w:type="pct"/>
                  <w:vMerge w:val="continue"/>
                  <w:tcBorders>
                    <w:tl2br w:val="nil"/>
                    <w:tr2bl w:val="nil"/>
                  </w:tcBorders>
                  <w:vAlign w:val="center"/>
                </w:tcPr>
                <w:p w14:paraId="5D783340">
                  <w:pPr>
                    <w:widowControl/>
                    <w:jc w:val="center"/>
                    <w:rPr>
                      <w:rFonts w:hint="default" w:ascii="Times New Roman" w:hAnsi="Times New Roman" w:cs="Times New Roman"/>
                      <w:color w:val="auto"/>
                      <w:sz w:val="18"/>
                      <w:szCs w:val="18"/>
                    </w:rPr>
                  </w:pPr>
                </w:p>
              </w:tc>
              <w:tc>
                <w:tcPr>
                  <w:tcW w:w="1496" w:type="pct"/>
                  <w:tcBorders>
                    <w:tl2br w:val="nil"/>
                    <w:tr2bl w:val="nil"/>
                  </w:tcBorders>
                  <w:vAlign w:val="center"/>
                </w:tcPr>
                <w:p w14:paraId="675306B3">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24h平均第98百分位数</w:t>
                  </w:r>
                </w:p>
              </w:tc>
              <w:tc>
                <w:tcPr>
                  <w:tcW w:w="866" w:type="pct"/>
                  <w:tcBorders>
                    <w:tl2br w:val="nil"/>
                    <w:tr2bl w:val="nil"/>
                  </w:tcBorders>
                  <w:vAlign w:val="center"/>
                </w:tcPr>
                <w:p w14:paraId="7734E2CE">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840" w:type="pct"/>
                  <w:tcBorders>
                    <w:tl2br w:val="nil"/>
                    <w:tr2bl w:val="nil"/>
                  </w:tcBorders>
                  <w:vAlign w:val="center"/>
                </w:tcPr>
                <w:p w14:paraId="42EDFA9D">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w:t>
                  </w:r>
                </w:p>
              </w:tc>
              <w:tc>
                <w:tcPr>
                  <w:tcW w:w="574" w:type="pct"/>
                  <w:tcBorders>
                    <w:tl2br w:val="nil"/>
                    <w:tr2bl w:val="nil"/>
                  </w:tcBorders>
                  <w:vAlign w:val="center"/>
                </w:tcPr>
                <w:p w14:paraId="3EB4239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31.25</w:t>
                  </w:r>
                </w:p>
              </w:tc>
              <w:tc>
                <w:tcPr>
                  <w:tcW w:w="641" w:type="pct"/>
                  <w:tcBorders>
                    <w:tl2br w:val="nil"/>
                    <w:tr2bl w:val="nil"/>
                  </w:tcBorders>
                  <w:vAlign w:val="center"/>
                </w:tcPr>
                <w:p w14:paraId="1FC6276E">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723BB3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0" w:type="pct"/>
                  <w:vMerge w:val="restart"/>
                  <w:tcBorders>
                    <w:tl2br w:val="nil"/>
                    <w:tr2bl w:val="nil"/>
                  </w:tcBorders>
                  <w:vAlign w:val="center"/>
                </w:tcPr>
                <w:p w14:paraId="2541509D">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PM</w:t>
                  </w:r>
                  <w:r>
                    <w:rPr>
                      <w:rFonts w:hint="default" w:ascii="Times New Roman" w:hAnsi="Times New Roman" w:cs="Times New Roman"/>
                      <w:color w:val="auto"/>
                      <w:sz w:val="18"/>
                      <w:szCs w:val="18"/>
                      <w:vertAlign w:val="subscript"/>
                    </w:rPr>
                    <w:t>10</w:t>
                  </w:r>
                </w:p>
              </w:tc>
              <w:tc>
                <w:tcPr>
                  <w:tcW w:w="1496" w:type="pct"/>
                  <w:tcBorders>
                    <w:tl2br w:val="nil"/>
                    <w:tr2bl w:val="nil"/>
                  </w:tcBorders>
                  <w:vAlign w:val="center"/>
                </w:tcPr>
                <w:p w14:paraId="55BE584C">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年平均质量浓度</w:t>
                  </w:r>
                </w:p>
              </w:tc>
              <w:tc>
                <w:tcPr>
                  <w:tcW w:w="866" w:type="pct"/>
                  <w:tcBorders>
                    <w:tl2br w:val="nil"/>
                    <w:tr2bl w:val="nil"/>
                  </w:tcBorders>
                  <w:vAlign w:val="center"/>
                </w:tcPr>
                <w:p w14:paraId="024E3D78">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29.44</w:t>
                  </w:r>
                </w:p>
              </w:tc>
              <w:tc>
                <w:tcPr>
                  <w:tcW w:w="840" w:type="pct"/>
                  <w:tcBorders>
                    <w:tl2br w:val="nil"/>
                    <w:tr2bl w:val="nil"/>
                  </w:tcBorders>
                  <w:vAlign w:val="center"/>
                </w:tcPr>
                <w:p w14:paraId="0E98E09D">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w:t>
                  </w:r>
                </w:p>
              </w:tc>
              <w:tc>
                <w:tcPr>
                  <w:tcW w:w="574" w:type="pct"/>
                  <w:tcBorders>
                    <w:tl2br w:val="nil"/>
                    <w:tr2bl w:val="nil"/>
                  </w:tcBorders>
                  <w:vAlign w:val="center"/>
                </w:tcPr>
                <w:p w14:paraId="19EDAD7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42.06</w:t>
                  </w:r>
                </w:p>
              </w:tc>
              <w:tc>
                <w:tcPr>
                  <w:tcW w:w="641" w:type="pct"/>
                  <w:tcBorders>
                    <w:tl2br w:val="nil"/>
                    <w:tr2bl w:val="nil"/>
                  </w:tcBorders>
                  <w:vAlign w:val="center"/>
                </w:tcPr>
                <w:p w14:paraId="4E24BB8B">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4A030E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0" w:type="pct"/>
                  <w:vMerge w:val="continue"/>
                  <w:tcBorders>
                    <w:tl2br w:val="nil"/>
                    <w:tr2bl w:val="nil"/>
                  </w:tcBorders>
                  <w:vAlign w:val="center"/>
                </w:tcPr>
                <w:p w14:paraId="775CD7E4">
                  <w:pPr>
                    <w:widowControl/>
                    <w:jc w:val="center"/>
                    <w:rPr>
                      <w:rFonts w:hint="default" w:ascii="Times New Roman" w:hAnsi="Times New Roman" w:cs="Times New Roman"/>
                      <w:color w:val="auto"/>
                      <w:sz w:val="18"/>
                      <w:szCs w:val="18"/>
                    </w:rPr>
                  </w:pPr>
                </w:p>
              </w:tc>
              <w:tc>
                <w:tcPr>
                  <w:tcW w:w="1496" w:type="pct"/>
                  <w:tcBorders>
                    <w:tl2br w:val="nil"/>
                    <w:tr2bl w:val="nil"/>
                  </w:tcBorders>
                  <w:vAlign w:val="center"/>
                </w:tcPr>
                <w:p w14:paraId="3FD32F41">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24h平均第95百分位数</w:t>
                  </w:r>
                </w:p>
              </w:tc>
              <w:tc>
                <w:tcPr>
                  <w:tcW w:w="866" w:type="pct"/>
                  <w:tcBorders>
                    <w:tl2br w:val="nil"/>
                    <w:tr2bl w:val="nil"/>
                  </w:tcBorders>
                  <w:vAlign w:val="center"/>
                </w:tcPr>
                <w:p w14:paraId="23C899F8">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64</w:t>
                  </w:r>
                </w:p>
              </w:tc>
              <w:tc>
                <w:tcPr>
                  <w:tcW w:w="840" w:type="pct"/>
                  <w:tcBorders>
                    <w:tl2br w:val="nil"/>
                    <w:tr2bl w:val="nil"/>
                  </w:tcBorders>
                  <w:vAlign w:val="center"/>
                </w:tcPr>
                <w:p w14:paraId="61C79243">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150</w:t>
                  </w:r>
                </w:p>
              </w:tc>
              <w:tc>
                <w:tcPr>
                  <w:tcW w:w="574" w:type="pct"/>
                  <w:tcBorders>
                    <w:tl2br w:val="nil"/>
                    <w:tr2bl w:val="nil"/>
                  </w:tcBorders>
                  <w:vAlign w:val="center"/>
                </w:tcPr>
                <w:p w14:paraId="4043060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42.67</w:t>
                  </w:r>
                </w:p>
              </w:tc>
              <w:tc>
                <w:tcPr>
                  <w:tcW w:w="641" w:type="pct"/>
                  <w:tcBorders>
                    <w:tl2br w:val="nil"/>
                    <w:tr2bl w:val="nil"/>
                  </w:tcBorders>
                  <w:vAlign w:val="center"/>
                </w:tcPr>
                <w:p w14:paraId="664A4341">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011990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0" w:type="pct"/>
                  <w:tcBorders>
                    <w:tl2br w:val="nil"/>
                    <w:tr2bl w:val="nil"/>
                  </w:tcBorders>
                  <w:vAlign w:val="center"/>
                </w:tcPr>
                <w:p w14:paraId="724572FA">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CO</w:t>
                  </w:r>
                </w:p>
              </w:tc>
              <w:tc>
                <w:tcPr>
                  <w:tcW w:w="1496" w:type="pct"/>
                  <w:tcBorders>
                    <w:tl2br w:val="nil"/>
                    <w:tr2bl w:val="nil"/>
                  </w:tcBorders>
                  <w:vAlign w:val="center"/>
                </w:tcPr>
                <w:p w14:paraId="6D58CB97">
                  <w:pPr>
                    <w:widowControl/>
                    <w:jc w:val="center"/>
                    <w:rPr>
                      <w:rFonts w:hint="default" w:ascii="Times New Roman" w:hAnsi="Times New Roman" w:cs="Times New Roman"/>
                      <w:color w:val="auto"/>
                      <w:sz w:val="18"/>
                      <w:szCs w:val="18"/>
                    </w:rPr>
                  </w:pPr>
                  <w:bookmarkStart w:id="93" w:name="OLE_LINK24"/>
                  <w:r>
                    <w:rPr>
                      <w:rFonts w:hint="default" w:ascii="Times New Roman" w:hAnsi="Times New Roman" w:cs="Times New Roman"/>
                      <w:color w:val="auto"/>
                      <w:sz w:val="18"/>
                      <w:szCs w:val="18"/>
                    </w:rPr>
                    <w:t>24h平均</w:t>
                  </w:r>
                  <w:bookmarkEnd w:id="93"/>
                  <w:r>
                    <w:rPr>
                      <w:rFonts w:hint="default" w:ascii="Times New Roman" w:hAnsi="Times New Roman" w:cs="Times New Roman"/>
                      <w:color w:val="auto"/>
                      <w:sz w:val="18"/>
                      <w:szCs w:val="18"/>
                    </w:rPr>
                    <w:t>第95百分位数</w:t>
                  </w:r>
                </w:p>
              </w:tc>
              <w:tc>
                <w:tcPr>
                  <w:tcW w:w="866" w:type="pct"/>
                  <w:tcBorders>
                    <w:tl2br w:val="nil"/>
                    <w:tr2bl w:val="nil"/>
                  </w:tcBorders>
                  <w:vAlign w:val="center"/>
                </w:tcPr>
                <w:p w14:paraId="028759EB">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1200</w:t>
                  </w:r>
                </w:p>
              </w:tc>
              <w:tc>
                <w:tcPr>
                  <w:tcW w:w="840" w:type="pct"/>
                  <w:tcBorders>
                    <w:tl2br w:val="nil"/>
                    <w:tr2bl w:val="nil"/>
                  </w:tcBorders>
                  <w:vAlign w:val="center"/>
                </w:tcPr>
                <w:p w14:paraId="1D913BCE">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4000</w:t>
                  </w:r>
                </w:p>
              </w:tc>
              <w:tc>
                <w:tcPr>
                  <w:tcW w:w="574" w:type="pct"/>
                  <w:tcBorders>
                    <w:tl2br w:val="nil"/>
                    <w:tr2bl w:val="nil"/>
                  </w:tcBorders>
                  <w:vAlign w:val="center"/>
                </w:tcPr>
                <w:p w14:paraId="67B0007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30.00</w:t>
                  </w:r>
                </w:p>
              </w:tc>
              <w:tc>
                <w:tcPr>
                  <w:tcW w:w="641" w:type="pct"/>
                  <w:tcBorders>
                    <w:tl2br w:val="nil"/>
                    <w:tr2bl w:val="nil"/>
                  </w:tcBorders>
                  <w:vAlign w:val="center"/>
                </w:tcPr>
                <w:p w14:paraId="660FA428">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4D5CFA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0" w:type="pct"/>
                  <w:tcBorders>
                    <w:tl2br w:val="nil"/>
                    <w:tr2bl w:val="nil"/>
                  </w:tcBorders>
                  <w:vAlign w:val="center"/>
                </w:tcPr>
                <w:p w14:paraId="4CBD4C5E">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O</w:t>
                  </w:r>
                  <w:r>
                    <w:rPr>
                      <w:rFonts w:hint="default" w:ascii="Times New Roman" w:hAnsi="Times New Roman" w:cs="Times New Roman"/>
                      <w:color w:val="auto"/>
                      <w:sz w:val="18"/>
                      <w:szCs w:val="18"/>
                      <w:vertAlign w:val="subscript"/>
                    </w:rPr>
                    <w:t>3</w:t>
                  </w:r>
                </w:p>
              </w:tc>
              <w:tc>
                <w:tcPr>
                  <w:tcW w:w="1496" w:type="pct"/>
                  <w:tcBorders>
                    <w:tl2br w:val="nil"/>
                    <w:tr2bl w:val="nil"/>
                  </w:tcBorders>
                  <w:vAlign w:val="center"/>
                </w:tcPr>
                <w:p w14:paraId="15277E34">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8小时平均第90百分位数</w:t>
                  </w:r>
                </w:p>
              </w:tc>
              <w:tc>
                <w:tcPr>
                  <w:tcW w:w="866" w:type="pct"/>
                  <w:tcBorders>
                    <w:tl2br w:val="nil"/>
                    <w:tr2bl w:val="nil"/>
                  </w:tcBorders>
                  <w:vAlign w:val="center"/>
                </w:tcPr>
                <w:p w14:paraId="27215DD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116</w:t>
                  </w:r>
                </w:p>
              </w:tc>
              <w:tc>
                <w:tcPr>
                  <w:tcW w:w="840" w:type="pct"/>
                  <w:tcBorders>
                    <w:tl2br w:val="nil"/>
                    <w:tr2bl w:val="nil"/>
                  </w:tcBorders>
                  <w:vAlign w:val="center"/>
                </w:tcPr>
                <w:p w14:paraId="4619EFD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160</w:t>
                  </w:r>
                </w:p>
              </w:tc>
              <w:tc>
                <w:tcPr>
                  <w:tcW w:w="574" w:type="pct"/>
                  <w:tcBorders>
                    <w:tl2br w:val="nil"/>
                    <w:tr2bl w:val="nil"/>
                  </w:tcBorders>
                  <w:vAlign w:val="center"/>
                </w:tcPr>
                <w:p w14:paraId="6C13438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72.50</w:t>
                  </w:r>
                </w:p>
              </w:tc>
              <w:tc>
                <w:tcPr>
                  <w:tcW w:w="641" w:type="pct"/>
                  <w:tcBorders>
                    <w:tl2br w:val="nil"/>
                    <w:tr2bl w:val="nil"/>
                  </w:tcBorders>
                  <w:vAlign w:val="center"/>
                </w:tcPr>
                <w:p w14:paraId="3A11866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达标</w:t>
                  </w:r>
                </w:p>
              </w:tc>
            </w:tr>
            <w:tr w14:paraId="533BFD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0" w:type="pct"/>
                  <w:vMerge w:val="restart"/>
                  <w:tcBorders>
                    <w:tl2br w:val="nil"/>
                    <w:tr2bl w:val="nil"/>
                  </w:tcBorders>
                  <w:vAlign w:val="center"/>
                </w:tcPr>
                <w:p w14:paraId="03122439">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PM</w:t>
                  </w:r>
                  <w:r>
                    <w:rPr>
                      <w:rFonts w:hint="default" w:ascii="Times New Roman" w:hAnsi="Times New Roman" w:cs="Times New Roman"/>
                      <w:color w:val="auto"/>
                      <w:sz w:val="18"/>
                      <w:szCs w:val="18"/>
                      <w:vertAlign w:val="subscript"/>
                    </w:rPr>
                    <w:t>2.5</w:t>
                  </w:r>
                </w:p>
              </w:tc>
              <w:tc>
                <w:tcPr>
                  <w:tcW w:w="1496" w:type="pct"/>
                  <w:tcBorders>
                    <w:tl2br w:val="nil"/>
                    <w:tr2bl w:val="nil"/>
                  </w:tcBorders>
                  <w:vAlign w:val="center"/>
                </w:tcPr>
                <w:p w14:paraId="6A0449F0">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年平均质量浓度</w:t>
                  </w:r>
                </w:p>
              </w:tc>
              <w:tc>
                <w:tcPr>
                  <w:tcW w:w="866" w:type="pct"/>
                  <w:tcBorders>
                    <w:tl2br w:val="nil"/>
                    <w:tr2bl w:val="nil"/>
                  </w:tcBorders>
                  <w:vAlign w:val="center"/>
                </w:tcPr>
                <w:p w14:paraId="419574F9">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20.14</w:t>
                  </w:r>
                </w:p>
              </w:tc>
              <w:tc>
                <w:tcPr>
                  <w:tcW w:w="840" w:type="pct"/>
                  <w:tcBorders>
                    <w:tl2br w:val="nil"/>
                    <w:tr2bl w:val="nil"/>
                  </w:tcBorders>
                  <w:vAlign w:val="center"/>
                </w:tcPr>
                <w:p w14:paraId="1DB55DCF">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35</w:t>
                  </w:r>
                </w:p>
              </w:tc>
              <w:tc>
                <w:tcPr>
                  <w:tcW w:w="574" w:type="pct"/>
                  <w:tcBorders>
                    <w:tl2br w:val="nil"/>
                    <w:tr2bl w:val="nil"/>
                  </w:tcBorders>
                  <w:vAlign w:val="center"/>
                </w:tcPr>
                <w:p w14:paraId="51DC9083">
                  <w:pPr>
                    <w:widowControl/>
                    <w:jc w:val="center"/>
                    <w:textAlignment w:val="center"/>
                    <w:rPr>
                      <w:rFonts w:hint="default" w:ascii="Times New Roman" w:hAnsi="Times New Roman" w:cs="Times New Roman"/>
                      <w:color w:val="auto"/>
                      <w:sz w:val="18"/>
                      <w:szCs w:val="18"/>
                    </w:rPr>
                  </w:pPr>
                  <w:bookmarkStart w:id="94" w:name="OLE_LINK20"/>
                  <w:r>
                    <w:rPr>
                      <w:rFonts w:hint="default" w:ascii="Times New Roman" w:hAnsi="Times New Roman" w:cs="Times New Roman"/>
                      <w:color w:val="auto"/>
                      <w:kern w:val="0"/>
                      <w:sz w:val="18"/>
                      <w:szCs w:val="18"/>
                      <w:lang w:bidi="ar"/>
                    </w:rPr>
                    <w:t>57.54</w:t>
                  </w:r>
                  <w:bookmarkEnd w:id="94"/>
                </w:p>
              </w:tc>
              <w:tc>
                <w:tcPr>
                  <w:tcW w:w="641" w:type="pct"/>
                  <w:tcBorders>
                    <w:tl2br w:val="nil"/>
                    <w:tr2bl w:val="nil"/>
                  </w:tcBorders>
                  <w:vAlign w:val="center"/>
                </w:tcPr>
                <w:p w14:paraId="15A0C1EA">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28F784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0" w:type="pct"/>
                  <w:vMerge w:val="continue"/>
                  <w:tcBorders>
                    <w:tl2br w:val="nil"/>
                    <w:tr2bl w:val="nil"/>
                  </w:tcBorders>
                  <w:vAlign w:val="center"/>
                </w:tcPr>
                <w:p w14:paraId="3F67F421">
                  <w:pPr>
                    <w:widowControl/>
                    <w:jc w:val="center"/>
                    <w:rPr>
                      <w:rFonts w:hint="default" w:ascii="Times New Roman" w:hAnsi="Times New Roman" w:cs="Times New Roman"/>
                      <w:color w:val="auto"/>
                      <w:sz w:val="18"/>
                      <w:szCs w:val="18"/>
                    </w:rPr>
                  </w:pPr>
                </w:p>
              </w:tc>
              <w:tc>
                <w:tcPr>
                  <w:tcW w:w="1496" w:type="pct"/>
                  <w:tcBorders>
                    <w:tl2br w:val="nil"/>
                    <w:tr2bl w:val="nil"/>
                  </w:tcBorders>
                  <w:vAlign w:val="center"/>
                </w:tcPr>
                <w:p w14:paraId="120D5B00">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24h平均第95百分位数</w:t>
                  </w:r>
                </w:p>
              </w:tc>
              <w:tc>
                <w:tcPr>
                  <w:tcW w:w="866" w:type="pct"/>
                  <w:tcBorders>
                    <w:tl2br w:val="nil"/>
                    <w:tr2bl w:val="nil"/>
                  </w:tcBorders>
                  <w:vAlign w:val="center"/>
                </w:tcPr>
                <w:p w14:paraId="2568CDA4">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w:t>
                  </w:r>
                </w:p>
              </w:tc>
              <w:tc>
                <w:tcPr>
                  <w:tcW w:w="840" w:type="pct"/>
                  <w:tcBorders>
                    <w:tl2br w:val="nil"/>
                    <w:tr2bl w:val="nil"/>
                  </w:tcBorders>
                  <w:vAlign w:val="center"/>
                </w:tcPr>
                <w:p w14:paraId="40A5E0B9">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w:t>
                  </w:r>
                </w:p>
              </w:tc>
              <w:tc>
                <w:tcPr>
                  <w:tcW w:w="574" w:type="pct"/>
                  <w:tcBorders>
                    <w:tl2br w:val="nil"/>
                    <w:tr2bl w:val="nil"/>
                  </w:tcBorders>
                  <w:vAlign w:val="center"/>
                </w:tcPr>
                <w:p w14:paraId="36AAF25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64.00</w:t>
                  </w:r>
                </w:p>
              </w:tc>
              <w:tc>
                <w:tcPr>
                  <w:tcW w:w="641" w:type="pct"/>
                  <w:tcBorders>
                    <w:tl2br w:val="nil"/>
                    <w:tr2bl w:val="nil"/>
                  </w:tcBorders>
                  <w:vAlign w:val="center"/>
                </w:tcPr>
                <w:p w14:paraId="57210632">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bl>
          <w:p w14:paraId="3A9A8903">
            <w:pPr>
              <w:tabs>
                <w:tab w:val="left" w:pos="434"/>
              </w:tabs>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根据统计，通海县2023年环境空气中PM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年均浓度、CO24小时平均浓度第95百分位数、O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8h浓度第90百分位数均小于《环境空气质量标准》（GB3095-2012）中的二级标准要求，因此判定项目所在区域为环境空气质量达标区</w:t>
            </w:r>
            <w:r>
              <w:rPr>
                <w:rFonts w:hint="default" w:ascii="Times New Roman" w:hAnsi="Times New Roman" w:cs="Times New Roman"/>
                <w:color w:val="auto"/>
              </w:rPr>
              <w:t>。</w:t>
            </w:r>
          </w:p>
          <w:p w14:paraId="5586FD2C">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（2）项目所在区域特征污染物环境质量现状分析</w:t>
            </w:r>
          </w:p>
          <w:p w14:paraId="36AB6CF5">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kern w:val="0"/>
                <w:sz w:val="24"/>
              </w:rPr>
              <w:t>本项目运营期大气特征污染物为TSP。本次环评阶段，</w:t>
            </w:r>
            <w:r>
              <w:rPr>
                <w:rFonts w:hint="default" w:ascii="Times New Roman" w:hAnsi="Times New Roman" w:cs="Times New Roman"/>
                <w:color w:val="auto"/>
                <w:sz w:val="24"/>
              </w:rPr>
              <w:t>为进一步了解特征污染物环境空气质量现状，</w:t>
            </w:r>
            <w:r>
              <w:rPr>
                <w:rFonts w:hint="default" w:ascii="Times New Roman" w:hAnsi="Times New Roman" w:cs="Times New Roman"/>
                <w:color w:val="auto"/>
                <w:kern w:val="0"/>
                <w:sz w:val="24"/>
              </w:rPr>
              <w:t>TSP</w:t>
            </w:r>
            <w:r>
              <w:rPr>
                <w:rFonts w:hint="default" w:ascii="Times New Roman" w:hAnsi="Times New Roman" w:cs="Times New Roman"/>
                <w:bCs/>
                <w:color w:val="auto"/>
                <w:sz w:val="24"/>
              </w:rPr>
              <w:t>引用</w:t>
            </w:r>
            <w:r>
              <w:rPr>
                <w:rFonts w:hint="default" w:ascii="Times New Roman" w:hAnsi="Times New Roman" w:cs="Times New Roman"/>
                <w:color w:val="auto"/>
                <w:kern w:val="0"/>
                <w:sz w:val="24"/>
                <w:lang w:bidi="ar"/>
              </w:rPr>
              <w:t>《云南玉溪钢铁集团振飞钢铁有限公司产能置换升级年产75万吨普钢项目环境影响报告书》</w:t>
            </w:r>
            <w:r>
              <w:rPr>
                <w:rFonts w:hint="default" w:ascii="Times New Roman" w:hAnsi="Times New Roman" w:cs="Times New Roman"/>
                <w:bCs/>
                <w:color w:val="auto"/>
                <w:sz w:val="24"/>
              </w:rPr>
              <w:t>中</w:t>
            </w:r>
            <w:bookmarkStart w:id="95" w:name="_Hlk220331220"/>
            <w:r>
              <w:rPr>
                <w:rFonts w:hint="default" w:ascii="Times New Roman" w:hAnsi="Times New Roman" w:cs="Times New Roman"/>
                <w:bCs/>
                <w:color w:val="auto"/>
                <w:sz w:val="24"/>
                <w:lang w:val="en-US" w:eastAsia="zh-CN"/>
              </w:rPr>
              <w:t>委托云南浩辰环保科技有限公司于</w:t>
            </w:r>
            <w:r>
              <w:rPr>
                <w:rFonts w:hint="default" w:ascii="Times New Roman" w:hAnsi="Times New Roman" w:cs="Times New Roman"/>
                <w:color w:val="auto"/>
                <w:sz w:val="24"/>
                <w:lang w:bidi="ar"/>
              </w:rPr>
              <w:t>2024年5月9日至5月15日对象坪村</w:t>
            </w:r>
            <w:bookmarkEnd w:id="95"/>
            <w:r>
              <w:rPr>
                <w:rFonts w:hint="default" w:ascii="Times New Roman" w:hAnsi="Times New Roman" w:cs="Times New Roman"/>
                <w:color w:val="auto"/>
                <w:kern w:val="0"/>
                <w:sz w:val="24"/>
              </w:rPr>
              <w:t>TSP</w:t>
            </w:r>
            <w:r>
              <w:rPr>
                <w:rFonts w:hint="default" w:ascii="Times New Roman" w:hAnsi="Times New Roman" w:cs="Times New Roman"/>
                <w:color w:val="auto"/>
                <w:sz w:val="24"/>
                <w:lang w:bidi="ar"/>
              </w:rPr>
              <w:t>进行的现状监测数据。</w:t>
            </w:r>
          </w:p>
          <w:p w14:paraId="697FC306">
            <w:pPr>
              <w:pStyle w:val="110"/>
              <w:jc w:val="both"/>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该监测点位于本项目</w:t>
            </w:r>
            <w:bookmarkStart w:id="96" w:name="_Hlk220331295"/>
            <w:r>
              <w:rPr>
                <w:rFonts w:hint="default" w:ascii="Times New Roman" w:hAnsi="Times New Roman" w:cs="Times New Roman"/>
                <w:color w:val="auto"/>
                <w:sz w:val="24"/>
                <w:lang w:val="en-US" w:bidi="ar"/>
              </w:rPr>
              <w:t>西南</w:t>
            </w:r>
            <w:r>
              <w:rPr>
                <w:rFonts w:hint="default" w:ascii="Times New Roman" w:hAnsi="Times New Roman" w:cs="Times New Roman"/>
                <w:color w:val="auto"/>
                <w:sz w:val="24"/>
                <w:lang w:bidi="ar"/>
              </w:rPr>
              <w:t>侧约</w:t>
            </w:r>
            <w:r>
              <w:rPr>
                <w:rFonts w:hint="default" w:ascii="Times New Roman" w:hAnsi="Times New Roman" w:cs="Times New Roman"/>
                <w:color w:val="auto"/>
                <w:sz w:val="24"/>
                <w:lang w:val="en-US" w:bidi="ar"/>
              </w:rPr>
              <w:t>1.06</w:t>
            </w:r>
            <w:r>
              <w:rPr>
                <w:rFonts w:hint="default" w:ascii="Times New Roman" w:hAnsi="Times New Roman" w:cs="Times New Roman"/>
                <w:color w:val="auto"/>
                <w:sz w:val="24"/>
                <w:lang w:bidi="ar"/>
              </w:rPr>
              <w:t>km处</w:t>
            </w:r>
            <w:bookmarkEnd w:id="96"/>
            <w:r>
              <w:rPr>
                <w:rFonts w:hint="default" w:ascii="Times New Roman" w:hAnsi="Times New Roman" w:cs="Times New Roman"/>
                <w:color w:val="auto"/>
                <w:sz w:val="24"/>
                <w:lang w:bidi="ar"/>
              </w:rPr>
              <w:t>（</w:t>
            </w:r>
            <w:r>
              <w:rPr>
                <w:rFonts w:hint="default" w:ascii="Times New Roman" w:hAnsi="Times New Roman" w:cs="Times New Roman"/>
                <w:color w:val="auto"/>
                <w:sz w:val="24"/>
                <w:lang w:val="en-US" w:bidi="ar"/>
              </w:rPr>
              <w:t>详见附图8</w:t>
            </w:r>
            <w:r>
              <w:rPr>
                <w:rFonts w:hint="default" w:ascii="Times New Roman" w:hAnsi="Times New Roman" w:cs="Times New Roman"/>
                <w:color w:val="auto"/>
                <w:sz w:val="24"/>
                <w:lang w:bidi="ar"/>
              </w:rPr>
              <w:t>），符合《建设项目环境影响报告表编制技术指南（污染影响类）（试行）》中“排放国家、地方环境空气质量标准中有标准限值要求的特征污染物时，引用建设项目周边5千米范围内近3年的现有监测数据，无相关数据的选择当季主导风向下风向1个点位补充不少于3天的监测数据”的要求，监测结果如下表所示：</w:t>
            </w:r>
          </w:p>
          <w:p w14:paraId="6569BD15">
            <w:pPr>
              <w:adjustRightInd w:val="0"/>
              <w:snapToGrid w:val="0"/>
              <w:spacing w:line="360" w:lineRule="auto"/>
              <w:ind w:firstLine="420" w:firstLineChars="20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表3-3  特征污染物引用监测结果表</w:t>
            </w:r>
          </w:p>
          <w:tbl>
            <w:tblPr>
              <w:tblStyle w:val="35"/>
              <w:tblW w:w="803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116"/>
              <w:gridCol w:w="1042"/>
              <w:gridCol w:w="1024"/>
              <w:gridCol w:w="1306"/>
              <w:gridCol w:w="1124"/>
              <w:gridCol w:w="825"/>
              <w:gridCol w:w="939"/>
            </w:tblGrid>
            <w:tr w14:paraId="6A78CB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tcBorders>
                    <w:tl2br w:val="nil"/>
                    <w:tr2bl w:val="nil"/>
                  </w:tcBorders>
                  <w:vAlign w:val="center"/>
                </w:tcPr>
                <w:p w14:paraId="2487AACB">
                  <w:pPr>
                    <w:widowControl/>
                    <w:adjustRightInd w:val="0"/>
                    <w:snapToGrid w:val="0"/>
                    <w:jc w:val="center"/>
                    <w:textAlignment w:val="center"/>
                    <w:rPr>
                      <w:rFonts w:hint="default" w:ascii="Times New Roman" w:hAnsi="Times New Roman" w:cs="Times New Roman"/>
                      <w:bCs/>
                      <w:color w:val="auto"/>
                      <w:kern w:val="0"/>
                      <w:sz w:val="18"/>
                      <w:szCs w:val="18"/>
                      <w:lang w:bidi="ar"/>
                    </w:rPr>
                  </w:pPr>
                  <w:r>
                    <w:rPr>
                      <w:rFonts w:hint="default" w:ascii="Times New Roman" w:hAnsi="Times New Roman" w:cs="Times New Roman"/>
                      <w:bCs/>
                      <w:color w:val="auto"/>
                      <w:kern w:val="0"/>
                      <w:sz w:val="18"/>
                      <w:szCs w:val="18"/>
                      <w:lang w:bidi="ar"/>
                    </w:rPr>
                    <w:t>监测点位</w:t>
                  </w:r>
                </w:p>
              </w:tc>
              <w:tc>
                <w:tcPr>
                  <w:tcW w:w="1116" w:type="dxa"/>
                  <w:tcBorders>
                    <w:tl2br w:val="nil"/>
                    <w:tr2bl w:val="nil"/>
                  </w:tcBorders>
                  <w:vAlign w:val="center"/>
                </w:tcPr>
                <w:p w14:paraId="03AFF143">
                  <w:pPr>
                    <w:widowControl/>
                    <w:adjustRightInd w:val="0"/>
                    <w:snapToGrid w:val="0"/>
                    <w:jc w:val="center"/>
                    <w:textAlignment w:val="center"/>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lang w:bidi="ar"/>
                    </w:rPr>
                    <w:t>污染物</w:t>
                  </w:r>
                </w:p>
              </w:tc>
              <w:tc>
                <w:tcPr>
                  <w:tcW w:w="1042" w:type="dxa"/>
                  <w:tcBorders>
                    <w:tl2br w:val="nil"/>
                    <w:tr2bl w:val="nil"/>
                  </w:tcBorders>
                  <w:vAlign w:val="center"/>
                </w:tcPr>
                <w:p w14:paraId="0FC73DB5">
                  <w:pPr>
                    <w:widowControl/>
                    <w:adjustRightInd w:val="0"/>
                    <w:snapToGrid w:val="0"/>
                    <w:jc w:val="center"/>
                    <w:textAlignment w:val="center"/>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lang w:bidi="ar"/>
                    </w:rPr>
                    <w:t>平均时间</w:t>
                  </w:r>
                </w:p>
              </w:tc>
              <w:tc>
                <w:tcPr>
                  <w:tcW w:w="1024" w:type="dxa"/>
                  <w:tcBorders>
                    <w:tl2br w:val="nil"/>
                    <w:tr2bl w:val="nil"/>
                  </w:tcBorders>
                  <w:vAlign w:val="center"/>
                </w:tcPr>
                <w:p w14:paraId="6996FC3A">
                  <w:pPr>
                    <w:widowControl/>
                    <w:adjustRightInd w:val="0"/>
                    <w:snapToGrid w:val="0"/>
                    <w:jc w:val="center"/>
                    <w:textAlignment w:val="center"/>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lang w:bidi="ar"/>
                    </w:rPr>
                    <w:t>评价标准</w:t>
                  </w:r>
                </w:p>
              </w:tc>
              <w:tc>
                <w:tcPr>
                  <w:tcW w:w="1306" w:type="dxa"/>
                  <w:tcBorders>
                    <w:tl2br w:val="nil"/>
                    <w:tr2bl w:val="nil"/>
                  </w:tcBorders>
                  <w:vAlign w:val="center"/>
                </w:tcPr>
                <w:p w14:paraId="6057351B">
                  <w:pPr>
                    <w:widowControl/>
                    <w:adjustRightInd w:val="0"/>
                    <w:snapToGrid w:val="0"/>
                    <w:jc w:val="center"/>
                    <w:textAlignment w:val="center"/>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lang w:bidi="ar"/>
                    </w:rPr>
                    <w:t>监测浓度范围</w:t>
                  </w:r>
                </w:p>
              </w:tc>
              <w:tc>
                <w:tcPr>
                  <w:tcW w:w="1124" w:type="dxa"/>
                  <w:tcBorders>
                    <w:tl2br w:val="nil"/>
                    <w:tr2bl w:val="nil"/>
                  </w:tcBorders>
                  <w:vAlign w:val="center"/>
                </w:tcPr>
                <w:p w14:paraId="0C9D2634">
                  <w:pPr>
                    <w:widowControl/>
                    <w:adjustRightInd w:val="0"/>
                    <w:snapToGrid w:val="0"/>
                    <w:jc w:val="center"/>
                    <w:textAlignment w:val="center"/>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lang w:bidi="ar"/>
                    </w:rPr>
                    <w:t>最大浓度占标率/%</w:t>
                  </w:r>
                </w:p>
              </w:tc>
              <w:tc>
                <w:tcPr>
                  <w:tcW w:w="825" w:type="dxa"/>
                  <w:tcBorders>
                    <w:tl2br w:val="nil"/>
                    <w:tr2bl w:val="nil"/>
                  </w:tcBorders>
                  <w:vAlign w:val="center"/>
                </w:tcPr>
                <w:p w14:paraId="03CF40C2">
                  <w:pPr>
                    <w:widowControl/>
                    <w:adjustRightInd w:val="0"/>
                    <w:snapToGrid w:val="0"/>
                    <w:jc w:val="center"/>
                    <w:textAlignment w:val="center"/>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lang w:bidi="ar"/>
                    </w:rPr>
                    <w:t>超标率/%</w:t>
                  </w:r>
                </w:p>
              </w:tc>
              <w:tc>
                <w:tcPr>
                  <w:tcW w:w="939" w:type="dxa"/>
                  <w:tcBorders>
                    <w:tl2br w:val="nil"/>
                    <w:tr2bl w:val="nil"/>
                  </w:tcBorders>
                  <w:vAlign w:val="center"/>
                </w:tcPr>
                <w:p w14:paraId="40F3F7DE">
                  <w:pPr>
                    <w:widowControl/>
                    <w:adjustRightInd w:val="0"/>
                    <w:snapToGrid w:val="0"/>
                    <w:jc w:val="center"/>
                    <w:textAlignment w:val="center"/>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lang w:bidi="ar"/>
                    </w:rPr>
                    <w:t>达标情况</w:t>
                  </w:r>
                </w:p>
              </w:tc>
            </w:tr>
            <w:tr w14:paraId="4D8AFA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tcBorders>
                    <w:tl2br w:val="nil"/>
                    <w:tr2bl w:val="nil"/>
                  </w:tcBorders>
                  <w:vAlign w:val="center"/>
                </w:tcPr>
                <w:p w14:paraId="37289A02">
                  <w:pPr>
                    <w:widowControl/>
                    <w:adjustRightInd w:val="0"/>
                    <w:snapToGrid w:val="0"/>
                    <w:jc w:val="center"/>
                    <w:textAlignment w:val="center"/>
                    <w:rPr>
                      <w:rFonts w:hint="default" w:ascii="Times New Roman" w:hAnsi="Times New Roman" w:cs="Times New Roman"/>
                      <w:bCs/>
                      <w:color w:val="auto"/>
                      <w:kern w:val="0"/>
                      <w:sz w:val="18"/>
                      <w:szCs w:val="18"/>
                      <w:lang w:bidi="ar"/>
                    </w:rPr>
                  </w:pPr>
                  <w:r>
                    <w:rPr>
                      <w:rFonts w:hint="default" w:ascii="Times New Roman" w:hAnsi="Times New Roman" w:cs="Times New Roman"/>
                      <w:bCs/>
                      <w:color w:val="auto"/>
                      <w:kern w:val="0"/>
                      <w:sz w:val="18"/>
                      <w:szCs w:val="18"/>
                      <w:lang w:bidi="ar"/>
                    </w:rPr>
                    <w:t>象坪村</w:t>
                  </w:r>
                </w:p>
              </w:tc>
              <w:tc>
                <w:tcPr>
                  <w:tcW w:w="1116" w:type="dxa"/>
                  <w:tcBorders>
                    <w:tl2br w:val="nil"/>
                    <w:tr2bl w:val="nil"/>
                  </w:tcBorders>
                  <w:vAlign w:val="center"/>
                </w:tcPr>
                <w:p w14:paraId="2BA9133F">
                  <w:pPr>
                    <w:widowControl/>
                    <w:adjustRightInd w:val="0"/>
                    <w:snapToGrid w:val="0"/>
                    <w:jc w:val="center"/>
                    <w:textAlignment w:val="center"/>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lang w:bidi="ar"/>
                    </w:rPr>
                    <w:t>TSP(μg/m</w:t>
                  </w:r>
                  <w:r>
                    <w:rPr>
                      <w:rFonts w:hint="default" w:ascii="Times New Roman" w:hAnsi="Times New Roman" w:cs="Times New Roman"/>
                      <w:bCs/>
                      <w:color w:val="auto"/>
                      <w:kern w:val="0"/>
                      <w:sz w:val="18"/>
                      <w:szCs w:val="18"/>
                      <w:vertAlign w:val="superscript"/>
                      <w:lang w:bidi="ar"/>
                    </w:rPr>
                    <w:t>3)</w:t>
                  </w:r>
                </w:p>
              </w:tc>
              <w:tc>
                <w:tcPr>
                  <w:tcW w:w="1042" w:type="dxa"/>
                  <w:tcBorders>
                    <w:tl2br w:val="nil"/>
                    <w:tr2bl w:val="nil"/>
                  </w:tcBorders>
                  <w:vAlign w:val="center"/>
                </w:tcPr>
                <w:p w14:paraId="10542D88">
                  <w:pPr>
                    <w:widowControl/>
                    <w:adjustRightInd w:val="0"/>
                    <w:snapToGrid w:val="0"/>
                    <w:jc w:val="center"/>
                    <w:textAlignment w:val="center"/>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lang w:bidi="ar"/>
                    </w:rPr>
                    <w:t>日均浓度</w:t>
                  </w:r>
                </w:p>
              </w:tc>
              <w:tc>
                <w:tcPr>
                  <w:tcW w:w="1024" w:type="dxa"/>
                  <w:tcBorders>
                    <w:tl2br w:val="nil"/>
                    <w:tr2bl w:val="nil"/>
                  </w:tcBorders>
                  <w:vAlign w:val="center"/>
                </w:tcPr>
                <w:p w14:paraId="0863857D">
                  <w:pPr>
                    <w:widowControl/>
                    <w:adjustRightInd w:val="0"/>
                    <w:snapToGrid w:val="0"/>
                    <w:jc w:val="center"/>
                    <w:textAlignment w:val="center"/>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lang w:bidi="ar"/>
                    </w:rPr>
                    <w:t>300</w:t>
                  </w:r>
                </w:p>
              </w:tc>
              <w:tc>
                <w:tcPr>
                  <w:tcW w:w="1306" w:type="dxa"/>
                  <w:tcBorders>
                    <w:tl2br w:val="nil"/>
                    <w:tr2bl w:val="nil"/>
                  </w:tcBorders>
                  <w:vAlign w:val="center"/>
                </w:tcPr>
                <w:p w14:paraId="6D04C009">
                  <w:pPr>
                    <w:widowControl/>
                    <w:adjustRightInd w:val="0"/>
                    <w:snapToGrid w:val="0"/>
                    <w:jc w:val="center"/>
                    <w:textAlignment w:val="center"/>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lang w:bidi="ar"/>
                    </w:rPr>
                    <w:t>62~68</w:t>
                  </w:r>
                </w:p>
              </w:tc>
              <w:tc>
                <w:tcPr>
                  <w:tcW w:w="1124" w:type="dxa"/>
                  <w:tcBorders>
                    <w:tl2br w:val="nil"/>
                    <w:tr2bl w:val="nil"/>
                  </w:tcBorders>
                  <w:vAlign w:val="center"/>
                </w:tcPr>
                <w:p w14:paraId="6A47F8E0">
                  <w:pPr>
                    <w:widowControl/>
                    <w:adjustRightInd w:val="0"/>
                    <w:snapToGrid w:val="0"/>
                    <w:jc w:val="center"/>
                    <w:textAlignment w:val="center"/>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lang w:bidi="ar"/>
                    </w:rPr>
                    <w:t>20.67~22.67</w:t>
                  </w:r>
                </w:p>
              </w:tc>
              <w:tc>
                <w:tcPr>
                  <w:tcW w:w="825" w:type="dxa"/>
                  <w:tcBorders>
                    <w:tl2br w:val="nil"/>
                    <w:tr2bl w:val="nil"/>
                  </w:tcBorders>
                  <w:vAlign w:val="center"/>
                </w:tcPr>
                <w:p w14:paraId="6623A0E2">
                  <w:pPr>
                    <w:widowControl/>
                    <w:adjustRightInd w:val="0"/>
                    <w:snapToGrid w:val="0"/>
                    <w:jc w:val="center"/>
                    <w:textAlignment w:val="center"/>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lang w:bidi="ar"/>
                    </w:rPr>
                    <w:t>0</w:t>
                  </w:r>
                </w:p>
              </w:tc>
              <w:tc>
                <w:tcPr>
                  <w:tcW w:w="939" w:type="dxa"/>
                  <w:tcBorders>
                    <w:tl2br w:val="nil"/>
                    <w:tr2bl w:val="nil"/>
                  </w:tcBorders>
                  <w:vAlign w:val="center"/>
                </w:tcPr>
                <w:p w14:paraId="7FDFF370">
                  <w:pPr>
                    <w:widowControl/>
                    <w:adjustRightInd w:val="0"/>
                    <w:snapToGrid w:val="0"/>
                    <w:jc w:val="center"/>
                    <w:textAlignment w:val="center"/>
                    <w:rPr>
                      <w:rFonts w:hint="default" w:ascii="Times New Roman" w:hAnsi="Times New Roman" w:cs="Times New Roman"/>
                      <w:bCs/>
                      <w:color w:val="auto"/>
                      <w:sz w:val="18"/>
                      <w:szCs w:val="18"/>
                    </w:rPr>
                  </w:pPr>
                  <w:r>
                    <w:rPr>
                      <w:rFonts w:hint="default" w:ascii="Times New Roman" w:hAnsi="Times New Roman" w:cs="Times New Roman"/>
                      <w:bCs/>
                      <w:color w:val="auto"/>
                      <w:kern w:val="0"/>
                      <w:sz w:val="18"/>
                      <w:szCs w:val="18"/>
                      <w:lang w:bidi="ar"/>
                    </w:rPr>
                    <w:t>达标</w:t>
                  </w:r>
                </w:p>
              </w:tc>
            </w:tr>
            <w:tr w14:paraId="384D95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38" w:type="dxa"/>
                  <w:gridSpan w:val="8"/>
                  <w:tcBorders>
                    <w:tl2br w:val="nil"/>
                    <w:tr2bl w:val="nil"/>
                  </w:tcBorders>
                  <w:vAlign w:val="center"/>
                </w:tcPr>
                <w:p w14:paraId="67C2D40B">
                  <w:pPr>
                    <w:widowControl/>
                    <w:adjustRightInd w:val="0"/>
                    <w:snapToGrid w:val="0"/>
                    <w:textAlignment w:val="center"/>
                    <w:rPr>
                      <w:rFonts w:hint="default" w:ascii="Times New Roman" w:hAnsi="Times New Roman" w:cs="Times New Roman"/>
                      <w:bCs/>
                      <w:color w:val="auto"/>
                      <w:kern w:val="0"/>
                      <w:sz w:val="18"/>
                      <w:szCs w:val="18"/>
                      <w:lang w:bidi="ar"/>
                    </w:rPr>
                  </w:pPr>
                  <w:r>
                    <w:rPr>
                      <w:rFonts w:hint="default" w:ascii="Times New Roman" w:hAnsi="Times New Roman" w:cs="Times New Roman"/>
                      <w:bCs/>
                      <w:color w:val="auto"/>
                      <w:kern w:val="0"/>
                      <w:sz w:val="18"/>
                      <w:szCs w:val="18"/>
                      <w:lang w:bidi="ar"/>
                    </w:rPr>
                    <w:t>备注：L表示低于检出限。</w:t>
                  </w:r>
                </w:p>
              </w:tc>
            </w:tr>
          </w:tbl>
          <w:p w14:paraId="1370BBC4">
            <w:pPr>
              <w:pStyle w:val="110"/>
              <w:jc w:val="both"/>
              <w:rPr>
                <w:rFonts w:hint="default" w:ascii="Times New Roman" w:hAnsi="Times New Roman" w:cs="Times New Roman"/>
                <w:color w:val="auto"/>
                <w:sz w:val="24"/>
                <w:lang w:val="en-US" w:bidi="ar"/>
              </w:rPr>
            </w:pPr>
            <w:r>
              <w:rPr>
                <w:rFonts w:hint="default" w:ascii="Times New Roman" w:hAnsi="Times New Roman" w:cs="Times New Roman"/>
                <w:color w:val="auto"/>
                <w:sz w:val="24"/>
                <w:lang w:bidi="ar"/>
              </w:rPr>
              <w:t>根据补充现状监测结果，</w:t>
            </w:r>
            <w:bookmarkStart w:id="97" w:name="_Hlk220331311"/>
            <w:r>
              <w:rPr>
                <w:rFonts w:hint="default" w:ascii="Times New Roman" w:hAnsi="Times New Roman" w:cs="Times New Roman"/>
                <w:color w:val="auto"/>
                <w:sz w:val="24"/>
                <w:lang w:bidi="ar"/>
              </w:rPr>
              <w:t>象坪村空气环境中的TSP日均浓度值均能够满足《环境空气质量标准》（GB3095-2012）中二级标准。</w:t>
            </w:r>
            <w:bookmarkEnd w:id="97"/>
          </w:p>
          <w:p w14:paraId="66E015FB">
            <w:pPr>
              <w:numPr>
                <w:ilvl w:val="0"/>
                <w:numId w:val="5"/>
              </w:numPr>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地表水环境质量现状</w:t>
            </w:r>
          </w:p>
          <w:p w14:paraId="63855A7A">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该项目位于玉溪市通海县里山工业园区，距离项目最近的地表水体为里山大沟（</w:t>
            </w:r>
            <w:r>
              <w:rPr>
                <w:rFonts w:hint="default" w:ascii="Times New Roman" w:hAnsi="Times New Roman" w:cs="Times New Roman"/>
                <w:color w:val="auto"/>
                <w:sz w:val="24"/>
                <w:szCs w:val="21"/>
              </w:rPr>
              <w:t>位于项目区</w:t>
            </w:r>
            <w:bookmarkStart w:id="98" w:name="_Hlk220330798"/>
            <w:r>
              <w:rPr>
                <w:rFonts w:hint="default" w:ascii="Times New Roman" w:hAnsi="Times New Roman" w:cs="Times New Roman"/>
                <w:color w:val="auto"/>
                <w:sz w:val="24"/>
                <w:szCs w:val="21"/>
              </w:rPr>
              <w:t>西南面410m处</w:t>
            </w:r>
            <w:bookmarkEnd w:id="98"/>
            <w:r>
              <w:rPr>
                <w:rFonts w:hint="default" w:ascii="Times New Roman" w:hAnsi="Times New Roman" w:cs="Times New Roman"/>
                <w:color w:val="auto"/>
                <w:sz w:val="24"/>
              </w:rPr>
              <w:t>）；</w:t>
            </w:r>
            <w:r>
              <w:rPr>
                <w:rFonts w:hint="default" w:ascii="Times New Roman" w:hAnsi="Times New Roman" w:cs="Times New Roman"/>
                <w:color w:val="auto"/>
                <w:sz w:val="24"/>
                <w:lang w:val="zh-CN"/>
              </w:rPr>
              <w:t>项目区地表径流先进入里山大沟，</w:t>
            </w:r>
            <w:bookmarkStart w:id="99" w:name="_Hlk220330823"/>
            <w:r>
              <w:rPr>
                <w:rFonts w:hint="default" w:ascii="Times New Roman" w:hAnsi="Times New Roman" w:cs="Times New Roman"/>
                <w:color w:val="auto"/>
                <w:sz w:val="24"/>
                <w:lang w:val="zh-CN"/>
              </w:rPr>
              <w:t>里山大沟在高大乡柿花树村汇入库南河，库南河在高大乡</w:t>
            </w:r>
            <w:r>
              <w:rPr>
                <w:rFonts w:hint="default" w:ascii="Times New Roman" w:hAnsi="Times New Roman" w:cs="Times New Roman"/>
                <w:color w:val="auto"/>
                <w:sz w:val="24"/>
              </w:rPr>
              <w:t>由东北向南</w:t>
            </w:r>
            <w:r>
              <w:rPr>
                <w:rFonts w:hint="default" w:ascii="Times New Roman" w:hAnsi="Times New Roman" w:cs="Times New Roman"/>
                <w:color w:val="auto"/>
                <w:sz w:val="24"/>
                <w:lang w:val="zh-CN"/>
              </w:rPr>
              <w:t>汇入曲江，曲江最终汇入南盘江</w:t>
            </w:r>
            <w:bookmarkEnd w:id="99"/>
            <w:r>
              <w:rPr>
                <w:rFonts w:hint="default" w:ascii="Times New Roman" w:hAnsi="Times New Roman" w:cs="Times New Roman"/>
                <w:color w:val="auto"/>
                <w:sz w:val="24"/>
                <w:lang w:val="zh-CN"/>
              </w:rPr>
              <w:t>，</w:t>
            </w:r>
            <w:bookmarkStart w:id="100" w:name="OLE_LINK18"/>
            <w:bookmarkStart w:id="101" w:name="OLE_LINK19"/>
            <w:bookmarkStart w:id="102" w:name="OLE_LINK17"/>
            <w:r>
              <w:rPr>
                <w:rFonts w:hint="default" w:ascii="Times New Roman" w:hAnsi="Times New Roman" w:cs="Times New Roman"/>
                <w:color w:val="auto"/>
                <w:sz w:val="24"/>
              </w:rPr>
              <w:t>根据《云南省水功能区划（2014年修订）》，曲江峨山—华宁保留区，“峨山小街—入南盘江口”，水质为《地表水环境质量标准》（GB3838-2002）中</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3 \* ROMAN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III</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类水体。里山大沟参照执行《地表水环境质量标准》（GB3838-2002）的</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3 \* ROMAN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III</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类标准</w:t>
            </w:r>
            <w:bookmarkEnd w:id="100"/>
            <w:bookmarkEnd w:id="101"/>
            <w:bookmarkEnd w:id="102"/>
            <w:r>
              <w:rPr>
                <w:rFonts w:hint="default" w:ascii="Times New Roman" w:hAnsi="Times New Roman" w:cs="Times New Roman"/>
                <w:color w:val="auto"/>
                <w:sz w:val="24"/>
                <w:szCs w:val="21"/>
              </w:rPr>
              <w:t>。</w:t>
            </w:r>
          </w:p>
          <w:p w14:paraId="604F6CD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厂址西侧有一条里山大沟，约5km后汇入库南河，流入曲江，属珠江水系南盘江流域曲江支流。</w:t>
            </w:r>
          </w:p>
          <w:p w14:paraId="7FCB21B9">
            <w:pPr>
              <w:spacing w:line="360" w:lineRule="auto"/>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表3-4  地表水环境质量标准基本项目标准限值   单位：mg/L</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1170"/>
              <w:gridCol w:w="1049"/>
              <w:gridCol w:w="914"/>
              <w:gridCol w:w="855"/>
              <w:gridCol w:w="927"/>
              <w:gridCol w:w="867"/>
              <w:gridCol w:w="908"/>
            </w:tblGrid>
            <w:tr w14:paraId="3D046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31" w:type="pct"/>
                  <w:vAlign w:val="center"/>
                </w:tcPr>
                <w:p w14:paraId="72BA38D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污染物名称</w:t>
                  </w:r>
                </w:p>
              </w:tc>
              <w:tc>
                <w:tcPr>
                  <w:tcW w:w="746" w:type="pct"/>
                  <w:vAlign w:val="center"/>
                </w:tcPr>
                <w:p w14:paraId="0C8FF31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pH（无量纲）</w:t>
                  </w:r>
                </w:p>
              </w:tc>
              <w:tc>
                <w:tcPr>
                  <w:tcW w:w="669" w:type="pct"/>
                  <w:vAlign w:val="center"/>
                </w:tcPr>
                <w:p w14:paraId="14E8F12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COD</w:t>
                  </w:r>
                </w:p>
              </w:tc>
              <w:tc>
                <w:tcPr>
                  <w:tcW w:w="583" w:type="pct"/>
                  <w:vAlign w:val="center"/>
                </w:tcPr>
                <w:p w14:paraId="44C58CB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BOD</w:t>
                  </w:r>
                  <w:r>
                    <w:rPr>
                      <w:rFonts w:hint="default" w:ascii="Times New Roman" w:hAnsi="Times New Roman" w:cs="Times New Roman"/>
                      <w:color w:val="auto"/>
                      <w:sz w:val="18"/>
                      <w:szCs w:val="18"/>
                      <w:vertAlign w:val="subscript"/>
                    </w:rPr>
                    <w:t>5</w:t>
                  </w:r>
                </w:p>
              </w:tc>
              <w:tc>
                <w:tcPr>
                  <w:tcW w:w="545" w:type="pct"/>
                  <w:vAlign w:val="center"/>
                </w:tcPr>
                <w:p w14:paraId="18BBCDA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氨氮</w:t>
                  </w:r>
                </w:p>
              </w:tc>
              <w:tc>
                <w:tcPr>
                  <w:tcW w:w="591" w:type="pct"/>
                  <w:vAlign w:val="center"/>
                </w:tcPr>
                <w:p w14:paraId="29B9C3B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总磷</w:t>
                  </w:r>
                </w:p>
              </w:tc>
              <w:tc>
                <w:tcPr>
                  <w:tcW w:w="553" w:type="pct"/>
                  <w:vAlign w:val="center"/>
                </w:tcPr>
                <w:p w14:paraId="66EF6AE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总氮</w:t>
                  </w:r>
                </w:p>
              </w:tc>
              <w:tc>
                <w:tcPr>
                  <w:tcW w:w="579" w:type="pct"/>
                  <w:tcBorders>
                    <w:right w:val="nil"/>
                  </w:tcBorders>
                  <w:vAlign w:val="center"/>
                </w:tcPr>
                <w:p w14:paraId="6047554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石油类</w:t>
                  </w:r>
                </w:p>
              </w:tc>
            </w:tr>
            <w:tr w14:paraId="22798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1" w:type="pct"/>
                  <w:tcBorders>
                    <w:left w:val="nil"/>
                  </w:tcBorders>
                  <w:vAlign w:val="center"/>
                </w:tcPr>
                <w:p w14:paraId="56AB1CD7">
                  <w:pPr>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III</w:t>
                  </w:r>
                  <w:r>
                    <w:rPr>
                      <w:rFonts w:hint="default" w:ascii="Times New Roman" w:hAnsi="Times New Roman" w:cs="Times New Roman"/>
                      <w:color w:val="auto"/>
                      <w:sz w:val="18"/>
                      <w:szCs w:val="18"/>
                    </w:rPr>
                    <w:t>类标准</w:t>
                  </w:r>
                </w:p>
              </w:tc>
              <w:tc>
                <w:tcPr>
                  <w:tcW w:w="746" w:type="pct"/>
                  <w:vAlign w:val="center"/>
                </w:tcPr>
                <w:p w14:paraId="32B3A55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6～9</w:t>
                  </w:r>
                </w:p>
              </w:tc>
              <w:tc>
                <w:tcPr>
                  <w:tcW w:w="669" w:type="pct"/>
                  <w:vAlign w:val="center"/>
                </w:tcPr>
                <w:p w14:paraId="621E09A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583" w:type="pct"/>
                  <w:vAlign w:val="center"/>
                </w:tcPr>
                <w:p w14:paraId="206253E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545" w:type="pct"/>
                  <w:vAlign w:val="center"/>
                </w:tcPr>
                <w:p w14:paraId="5CBB283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591" w:type="pct"/>
                  <w:vAlign w:val="center"/>
                </w:tcPr>
                <w:p w14:paraId="30D0C63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≤0.2</w:t>
                  </w:r>
                </w:p>
              </w:tc>
              <w:tc>
                <w:tcPr>
                  <w:tcW w:w="553" w:type="pct"/>
                  <w:vAlign w:val="center"/>
                </w:tcPr>
                <w:p w14:paraId="0BEE90E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579" w:type="pct"/>
                  <w:tcBorders>
                    <w:right w:val="nil"/>
                  </w:tcBorders>
                  <w:vAlign w:val="center"/>
                </w:tcPr>
                <w:p w14:paraId="6CB8E3A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w:t>
                  </w:r>
                </w:p>
              </w:tc>
            </w:tr>
            <w:tr w14:paraId="1AF4B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1" w:type="pct"/>
                  <w:tcBorders>
                    <w:left w:val="nil"/>
                  </w:tcBorders>
                  <w:vAlign w:val="center"/>
                </w:tcPr>
                <w:p w14:paraId="2B6FA67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污染物名称</w:t>
                  </w:r>
                </w:p>
              </w:tc>
              <w:tc>
                <w:tcPr>
                  <w:tcW w:w="746" w:type="pct"/>
                  <w:vAlign w:val="center"/>
                </w:tcPr>
                <w:p w14:paraId="276E09B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阴离子表面活性剂</w:t>
                  </w:r>
                </w:p>
              </w:tc>
              <w:tc>
                <w:tcPr>
                  <w:tcW w:w="669" w:type="pct"/>
                  <w:vAlign w:val="center"/>
                </w:tcPr>
                <w:p w14:paraId="5BB90BE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粪大肠菌群</w:t>
                  </w:r>
                </w:p>
              </w:tc>
              <w:tc>
                <w:tcPr>
                  <w:tcW w:w="583" w:type="pct"/>
                  <w:vAlign w:val="center"/>
                </w:tcPr>
                <w:p w14:paraId="3FFFC9F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挥发酚</w:t>
                  </w:r>
                </w:p>
              </w:tc>
              <w:tc>
                <w:tcPr>
                  <w:tcW w:w="545" w:type="pct"/>
                  <w:vAlign w:val="center"/>
                </w:tcPr>
                <w:p w14:paraId="503D131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氟化物</w:t>
                  </w:r>
                </w:p>
              </w:tc>
              <w:tc>
                <w:tcPr>
                  <w:tcW w:w="591" w:type="pct"/>
                  <w:vAlign w:val="center"/>
                </w:tcPr>
                <w:p w14:paraId="4377E56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硫化物</w:t>
                  </w:r>
                </w:p>
              </w:tc>
              <w:tc>
                <w:tcPr>
                  <w:tcW w:w="553" w:type="pct"/>
                  <w:vAlign w:val="center"/>
                </w:tcPr>
                <w:p w14:paraId="4084080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砷</w:t>
                  </w:r>
                </w:p>
              </w:tc>
              <w:tc>
                <w:tcPr>
                  <w:tcW w:w="579" w:type="pct"/>
                  <w:tcBorders>
                    <w:right w:val="nil"/>
                  </w:tcBorders>
                  <w:vAlign w:val="center"/>
                </w:tcPr>
                <w:p w14:paraId="610B373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铅</w:t>
                  </w:r>
                </w:p>
              </w:tc>
            </w:tr>
            <w:tr w14:paraId="26CC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1" w:type="pct"/>
                  <w:tcBorders>
                    <w:left w:val="nil"/>
                  </w:tcBorders>
                  <w:vAlign w:val="center"/>
                </w:tcPr>
                <w:p w14:paraId="3F53297A">
                  <w:pPr>
                    <w:jc w:val="center"/>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III</w:t>
                  </w:r>
                  <w:r>
                    <w:rPr>
                      <w:rFonts w:hint="default" w:ascii="Times New Roman" w:hAnsi="Times New Roman" w:cs="Times New Roman"/>
                      <w:color w:val="auto"/>
                      <w:sz w:val="18"/>
                      <w:szCs w:val="18"/>
                    </w:rPr>
                    <w:t>类标准</w:t>
                  </w:r>
                </w:p>
              </w:tc>
              <w:tc>
                <w:tcPr>
                  <w:tcW w:w="746" w:type="pct"/>
                  <w:vAlign w:val="center"/>
                </w:tcPr>
                <w:p w14:paraId="4DC00A1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≤0.2</w:t>
                  </w:r>
                </w:p>
              </w:tc>
              <w:tc>
                <w:tcPr>
                  <w:tcW w:w="669" w:type="pct"/>
                  <w:vAlign w:val="center"/>
                </w:tcPr>
                <w:p w14:paraId="70F428E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≤10000</w:t>
                  </w:r>
                </w:p>
              </w:tc>
              <w:tc>
                <w:tcPr>
                  <w:tcW w:w="583" w:type="pct"/>
                  <w:vAlign w:val="center"/>
                </w:tcPr>
                <w:p w14:paraId="0FD000A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≤0.005</w:t>
                  </w:r>
                </w:p>
              </w:tc>
              <w:tc>
                <w:tcPr>
                  <w:tcW w:w="545" w:type="pct"/>
                  <w:vAlign w:val="center"/>
                </w:tcPr>
                <w:p w14:paraId="3AF71A0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591" w:type="pct"/>
                  <w:vAlign w:val="center"/>
                </w:tcPr>
                <w:p w14:paraId="5DEA8F3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≤0.2</w:t>
                  </w:r>
                </w:p>
              </w:tc>
              <w:tc>
                <w:tcPr>
                  <w:tcW w:w="553" w:type="pct"/>
                  <w:vAlign w:val="center"/>
                </w:tcPr>
                <w:p w14:paraId="7B2BB8D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w:t>
                  </w:r>
                </w:p>
              </w:tc>
              <w:tc>
                <w:tcPr>
                  <w:tcW w:w="579" w:type="pct"/>
                  <w:tcBorders>
                    <w:right w:val="nil"/>
                  </w:tcBorders>
                  <w:vAlign w:val="center"/>
                </w:tcPr>
                <w:p w14:paraId="78BDCC0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w:t>
                  </w:r>
                </w:p>
              </w:tc>
            </w:tr>
          </w:tbl>
          <w:p w14:paraId="62101AF2">
            <w:pPr>
              <w:pStyle w:val="118"/>
              <w:spacing w:line="360" w:lineRule="auto"/>
              <w:ind w:firstLine="480" w:firstLineChars="200"/>
              <w:rPr>
                <w:rFonts w:hint="default" w:ascii="Times New Roman" w:hAnsi="Times New Roman" w:cs="Times New Roman"/>
                <w:color w:val="auto"/>
                <w:sz w:val="24"/>
                <w:szCs w:val="24"/>
              </w:rPr>
            </w:pPr>
            <w:r>
              <w:rPr>
                <w:rStyle w:val="42"/>
                <w:rFonts w:hint="default" w:ascii="Times New Roman" w:hAnsi="Times New Roman" w:cs="Times New Roman"/>
                <w:color w:val="auto"/>
                <w:sz w:val="24"/>
                <w:szCs w:val="24"/>
              </w:rPr>
              <w:t>根据《环境影响评价技术导则  地表水环境》（HJ2.3-2018）中要求，地表水环境质量现状调查应优先采用生态环境主管部门统一发布的水环境状况信息。</w:t>
            </w:r>
            <w:r>
              <w:rPr>
                <w:rFonts w:hint="default" w:ascii="Times New Roman" w:hAnsi="Times New Roman" w:cs="Times New Roman"/>
                <w:color w:val="auto"/>
                <w:sz w:val="24"/>
                <w:szCs w:val="24"/>
              </w:rPr>
              <w:t>距离本项目最近的曲江例行监测断面为曲江大河上的马脖子电站断面（市控断面），位于项目区西南侧约9.32km处，本次现状评价引用</w:t>
            </w:r>
            <w:bookmarkStart w:id="103" w:name="_Hlk220331107"/>
            <w:r>
              <w:rPr>
                <w:rFonts w:hint="default" w:ascii="Times New Roman" w:hAnsi="Times New Roman" w:cs="Times New Roman"/>
                <w:color w:val="auto"/>
                <w:kern w:val="2"/>
                <w:sz w:val="24"/>
                <w:szCs w:val="24"/>
              </w:rPr>
              <w:t>通海县环境监测站2023年对曲江市控断面（马脖子电站）的监测数据</w:t>
            </w:r>
            <w:bookmarkEnd w:id="103"/>
            <w:r>
              <w:rPr>
                <w:rFonts w:hint="default" w:ascii="Times New Roman" w:hAnsi="Times New Roman" w:cs="Times New Roman"/>
                <w:color w:val="auto"/>
                <w:kern w:val="2"/>
                <w:sz w:val="24"/>
                <w:szCs w:val="24"/>
              </w:rPr>
              <w:t>，马脖子</w:t>
            </w:r>
            <w:r>
              <w:rPr>
                <w:rFonts w:hint="default" w:ascii="Times New Roman" w:hAnsi="Times New Roman" w:cs="Times New Roman"/>
                <w:color w:val="auto"/>
                <w:sz w:val="24"/>
                <w:szCs w:val="24"/>
              </w:rPr>
              <w:t>断面监测结果如下表所示：</w:t>
            </w:r>
          </w:p>
          <w:p w14:paraId="1EE6ACC1">
            <w:pPr>
              <w:spacing w:line="360" w:lineRule="auto"/>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表3-5  马脖子断面例行监测结果</w:t>
            </w:r>
          </w:p>
          <w:tbl>
            <w:tblPr>
              <w:tblStyle w:val="3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770"/>
              <w:gridCol w:w="1200"/>
              <w:gridCol w:w="2247"/>
              <w:gridCol w:w="1545"/>
              <w:gridCol w:w="1085"/>
            </w:tblGrid>
            <w:tr w14:paraId="10C75D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91" w:type="pct"/>
                  <w:gridSpan w:val="2"/>
                  <w:tcBorders>
                    <w:tl2br w:val="nil"/>
                    <w:tr2bl w:val="nil"/>
                  </w:tcBorders>
                  <w:vAlign w:val="center"/>
                </w:tcPr>
                <w:p w14:paraId="127E1EBD">
                  <w:pPr>
                    <w:widowControl/>
                    <w:adjustRightInd w:val="0"/>
                    <w:snapToGrid w:val="0"/>
                    <w:jc w:val="righ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断面名称</w:t>
                  </w:r>
                </w:p>
                <w:p w14:paraId="0B6DFC19">
                  <w:pPr>
                    <w:adjustRightInd w:val="0"/>
                    <w:snapToGrid w:val="0"/>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监测项目</w:t>
                  </w:r>
                </w:p>
              </w:tc>
              <w:tc>
                <w:tcPr>
                  <w:tcW w:w="1431" w:type="pct"/>
                  <w:tcBorders>
                    <w:tl2br w:val="nil"/>
                    <w:tr2bl w:val="nil"/>
                  </w:tcBorders>
                  <w:vAlign w:val="center"/>
                </w:tcPr>
                <w:p w14:paraId="156D10D8">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2023年监测数据平均值</w:t>
                  </w:r>
                </w:p>
              </w:tc>
              <w:tc>
                <w:tcPr>
                  <w:tcW w:w="984" w:type="pct"/>
                  <w:tcBorders>
                    <w:tl2br w:val="nil"/>
                    <w:tr2bl w:val="nil"/>
                  </w:tcBorders>
                  <w:vAlign w:val="center"/>
                </w:tcPr>
                <w:p w14:paraId="142BE612">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Ⅲ类水标准</w:t>
                  </w:r>
                </w:p>
              </w:tc>
              <w:tc>
                <w:tcPr>
                  <w:tcW w:w="691" w:type="pct"/>
                  <w:tcBorders>
                    <w:tl2br w:val="nil"/>
                    <w:tr2bl w:val="nil"/>
                  </w:tcBorders>
                  <w:vAlign w:val="center"/>
                </w:tcPr>
                <w:p w14:paraId="7325EB78">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评价结果</w:t>
                  </w:r>
                </w:p>
              </w:tc>
            </w:tr>
            <w:tr w14:paraId="3B5F6C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7" w:type="pct"/>
                  <w:tcBorders>
                    <w:tl2br w:val="nil"/>
                    <w:tr2bl w:val="nil"/>
                  </w:tcBorders>
                  <w:vAlign w:val="center"/>
                </w:tcPr>
                <w:p w14:paraId="4B68F07A">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pH</w:t>
                  </w:r>
                </w:p>
              </w:tc>
              <w:tc>
                <w:tcPr>
                  <w:tcW w:w="764" w:type="pct"/>
                  <w:tcBorders>
                    <w:tl2br w:val="nil"/>
                    <w:tr2bl w:val="nil"/>
                  </w:tcBorders>
                  <w:vAlign w:val="center"/>
                </w:tcPr>
                <w:p w14:paraId="13DE6891">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无量纲</w:t>
                  </w:r>
                </w:p>
              </w:tc>
              <w:tc>
                <w:tcPr>
                  <w:tcW w:w="1431" w:type="pct"/>
                  <w:tcBorders>
                    <w:tl2br w:val="nil"/>
                    <w:tr2bl w:val="nil"/>
                  </w:tcBorders>
                  <w:vAlign w:val="center"/>
                </w:tcPr>
                <w:p w14:paraId="565E39E6">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7.95</w:t>
                  </w:r>
                </w:p>
              </w:tc>
              <w:tc>
                <w:tcPr>
                  <w:tcW w:w="984" w:type="pct"/>
                  <w:tcBorders>
                    <w:tl2br w:val="nil"/>
                    <w:tr2bl w:val="nil"/>
                  </w:tcBorders>
                  <w:vAlign w:val="center"/>
                </w:tcPr>
                <w:p w14:paraId="77E0015F">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6-9</w:t>
                  </w:r>
                </w:p>
              </w:tc>
              <w:tc>
                <w:tcPr>
                  <w:tcW w:w="691" w:type="pct"/>
                  <w:tcBorders>
                    <w:tl2br w:val="nil"/>
                    <w:tr2bl w:val="nil"/>
                  </w:tcBorders>
                  <w:vAlign w:val="center"/>
                </w:tcPr>
                <w:p w14:paraId="67A18B07">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达标</w:t>
                  </w:r>
                </w:p>
              </w:tc>
            </w:tr>
            <w:tr w14:paraId="66359D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7" w:type="pct"/>
                  <w:tcBorders>
                    <w:tl2br w:val="nil"/>
                    <w:tr2bl w:val="nil"/>
                  </w:tcBorders>
                  <w:vAlign w:val="center"/>
                </w:tcPr>
                <w:p w14:paraId="56D525DB">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溶解氧</w:t>
                  </w:r>
                </w:p>
              </w:tc>
              <w:tc>
                <w:tcPr>
                  <w:tcW w:w="764" w:type="pct"/>
                  <w:tcBorders>
                    <w:tl2br w:val="nil"/>
                    <w:tr2bl w:val="nil"/>
                  </w:tcBorders>
                  <w:vAlign w:val="center"/>
                </w:tcPr>
                <w:p w14:paraId="4A1A3653">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mg/L</w:t>
                  </w:r>
                </w:p>
              </w:tc>
              <w:tc>
                <w:tcPr>
                  <w:tcW w:w="1431" w:type="pct"/>
                  <w:tcBorders>
                    <w:tl2br w:val="nil"/>
                    <w:tr2bl w:val="nil"/>
                  </w:tcBorders>
                  <w:vAlign w:val="center"/>
                </w:tcPr>
                <w:p w14:paraId="6AA2D9F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6.84</w:t>
                  </w:r>
                </w:p>
              </w:tc>
              <w:tc>
                <w:tcPr>
                  <w:tcW w:w="984" w:type="pct"/>
                  <w:tcBorders>
                    <w:tl2br w:val="nil"/>
                    <w:tr2bl w:val="nil"/>
                  </w:tcBorders>
                  <w:vAlign w:val="center"/>
                </w:tcPr>
                <w:p w14:paraId="04914522">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≥5</w:t>
                  </w:r>
                </w:p>
              </w:tc>
              <w:tc>
                <w:tcPr>
                  <w:tcW w:w="691" w:type="pct"/>
                  <w:tcBorders>
                    <w:tl2br w:val="nil"/>
                    <w:tr2bl w:val="nil"/>
                  </w:tcBorders>
                  <w:vAlign w:val="center"/>
                </w:tcPr>
                <w:p w14:paraId="5415DFC0">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达标</w:t>
                  </w:r>
                </w:p>
              </w:tc>
            </w:tr>
            <w:tr w14:paraId="4FB687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7" w:type="pct"/>
                  <w:tcBorders>
                    <w:tl2br w:val="nil"/>
                    <w:tr2bl w:val="nil"/>
                  </w:tcBorders>
                  <w:vAlign w:val="center"/>
                </w:tcPr>
                <w:p w14:paraId="31ED9510">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高锰酸盐指数</w:t>
                  </w:r>
                </w:p>
              </w:tc>
              <w:tc>
                <w:tcPr>
                  <w:tcW w:w="764" w:type="pct"/>
                  <w:tcBorders>
                    <w:tl2br w:val="nil"/>
                    <w:tr2bl w:val="nil"/>
                  </w:tcBorders>
                  <w:vAlign w:val="center"/>
                </w:tcPr>
                <w:p w14:paraId="027C63A7">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mg/L</w:t>
                  </w:r>
                </w:p>
              </w:tc>
              <w:tc>
                <w:tcPr>
                  <w:tcW w:w="1431" w:type="pct"/>
                  <w:tcBorders>
                    <w:tl2br w:val="nil"/>
                    <w:tr2bl w:val="nil"/>
                  </w:tcBorders>
                  <w:vAlign w:val="center"/>
                </w:tcPr>
                <w:p w14:paraId="7907B32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3.95</w:t>
                  </w:r>
                </w:p>
              </w:tc>
              <w:tc>
                <w:tcPr>
                  <w:tcW w:w="984" w:type="pct"/>
                  <w:tcBorders>
                    <w:tl2br w:val="nil"/>
                    <w:tr2bl w:val="nil"/>
                  </w:tcBorders>
                  <w:vAlign w:val="center"/>
                </w:tcPr>
                <w:p w14:paraId="377146A0">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≤6</w:t>
                  </w:r>
                </w:p>
              </w:tc>
              <w:tc>
                <w:tcPr>
                  <w:tcW w:w="691" w:type="pct"/>
                  <w:tcBorders>
                    <w:tl2br w:val="nil"/>
                    <w:tr2bl w:val="nil"/>
                  </w:tcBorders>
                  <w:vAlign w:val="center"/>
                </w:tcPr>
                <w:p w14:paraId="0FAF35FB">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达标</w:t>
                  </w:r>
                </w:p>
              </w:tc>
            </w:tr>
            <w:tr w14:paraId="47A625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7" w:type="pct"/>
                  <w:tcBorders>
                    <w:tl2br w:val="nil"/>
                    <w:tr2bl w:val="nil"/>
                  </w:tcBorders>
                  <w:vAlign w:val="center"/>
                </w:tcPr>
                <w:p w14:paraId="2869844E">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五日生化需氧量</w:t>
                  </w:r>
                </w:p>
              </w:tc>
              <w:tc>
                <w:tcPr>
                  <w:tcW w:w="764" w:type="pct"/>
                  <w:tcBorders>
                    <w:tl2br w:val="nil"/>
                    <w:tr2bl w:val="nil"/>
                  </w:tcBorders>
                  <w:vAlign w:val="center"/>
                </w:tcPr>
                <w:p w14:paraId="73055CFB">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mg/L</w:t>
                  </w:r>
                </w:p>
              </w:tc>
              <w:tc>
                <w:tcPr>
                  <w:tcW w:w="1431" w:type="pct"/>
                  <w:tcBorders>
                    <w:tl2br w:val="nil"/>
                    <w:tr2bl w:val="nil"/>
                  </w:tcBorders>
                  <w:vAlign w:val="center"/>
                </w:tcPr>
                <w:p w14:paraId="2FCCEF50">
                  <w:pPr>
                    <w:widowControl/>
                    <w:jc w:val="center"/>
                    <w:textAlignment w:val="center"/>
                    <w:rPr>
                      <w:rFonts w:hint="default" w:ascii="Times New Roman" w:hAnsi="Times New Roman" w:cs="Times New Roman"/>
                      <w:b/>
                      <w:bCs/>
                      <w:color w:val="auto"/>
                      <w:kern w:val="0"/>
                      <w:sz w:val="18"/>
                      <w:szCs w:val="18"/>
                      <w:lang w:bidi="ar"/>
                    </w:rPr>
                  </w:pPr>
                  <w:r>
                    <w:rPr>
                      <w:rFonts w:hint="default" w:ascii="Times New Roman" w:hAnsi="Times New Roman" w:cs="Times New Roman"/>
                      <w:color w:val="auto"/>
                      <w:kern w:val="0"/>
                      <w:sz w:val="18"/>
                      <w:szCs w:val="18"/>
                      <w:lang w:bidi="ar"/>
                    </w:rPr>
                    <w:t>2.70</w:t>
                  </w:r>
                </w:p>
              </w:tc>
              <w:tc>
                <w:tcPr>
                  <w:tcW w:w="984" w:type="pct"/>
                  <w:tcBorders>
                    <w:tl2br w:val="nil"/>
                    <w:tr2bl w:val="nil"/>
                  </w:tcBorders>
                  <w:vAlign w:val="center"/>
                </w:tcPr>
                <w:p w14:paraId="640599B7">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≤4</w:t>
                  </w:r>
                </w:p>
              </w:tc>
              <w:tc>
                <w:tcPr>
                  <w:tcW w:w="691" w:type="pct"/>
                  <w:tcBorders>
                    <w:tl2br w:val="nil"/>
                    <w:tr2bl w:val="nil"/>
                  </w:tcBorders>
                  <w:vAlign w:val="center"/>
                </w:tcPr>
                <w:p w14:paraId="45E6F086">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达标</w:t>
                  </w:r>
                </w:p>
              </w:tc>
            </w:tr>
            <w:tr w14:paraId="18E2A2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7" w:type="pct"/>
                  <w:tcBorders>
                    <w:tl2br w:val="nil"/>
                    <w:tr2bl w:val="nil"/>
                  </w:tcBorders>
                  <w:vAlign w:val="center"/>
                </w:tcPr>
                <w:p w14:paraId="4C075950">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氨氮</w:t>
                  </w:r>
                </w:p>
              </w:tc>
              <w:tc>
                <w:tcPr>
                  <w:tcW w:w="764" w:type="pct"/>
                  <w:tcBorders>
                    <w:tl2br w:val="nil"/>
                    <w:tr2bl w:val="nil"/>
                  </w:tcBorders>
                  <w:vAlign w:val="center"/>
                </w:tcPr>
                <w:p w14:paraId="50FA3D95">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mg/L</w:t>
                  </w:r>
                </w:p>
              </w:tc>
              <w:tc>
                <w:tcPr>
                  <w:tcW w:w="1431" w:type="pct"/>
                  <w:tcBorders>
                    <w:tl2br w:val="nil"/>
                    <w:tr2bl w:val="nil"/>
                  </w:tcBorders>
                  <w:vAlign w:val="center"/>
                </w:tcPr>
                <w:p w14:paraId="2B19701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0.40</w:t>
                  </w:r>
                </w:p>
              </w:tc>
              <w:tc>
                <w:tcPr>
                  <w:tcW w:w="984" w:type="pct"/>
                  <w:tcBorders>
                    <w:tl2br w:val="nil"/>
                    <w:tr2bl w:val="nil"/>
                  </w:tcBorders>
                  <w:vAlign w:val="center"/>
                </w:tcPr>
                <w:p w14:paraId="09ED2E72">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≤1.0</w:t>
                  </w:r>
                </w:p>
              </w:tc>
              <w:tc>
                <w:tcPr>
                  <w:tcW w:w="691" w:type="pct"/>
                  <w:tcBorders>
                    <w:tl2br w:val="nil"/>
                    <w:tr2bl w:val="nil"/>
                  </w:tcBorders>
                  <w:vAlign w:val="center"/>
                </w:tcPr>
                <w:p w14:paraId="6B1B7EF6">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达标</w:t>
                  </w:r>
                </w:p>
              </w:tc>
            </w:tr>
            <w:tr w14:paraId="28CFE1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7" w:type="pct"/>
                  <w:tcBorders>
                    <w:tl2br w:val="nil"/>
                    <w:tr2bl w:val="nil"/>
                  </w:tcBorders>
                  <w:vAlign w:val="center"/>
                </w:tcPr>
                <w:p w14:paraId="497BEBDB">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石油类</w:t>
                  </w:r>
                </w:p>
              </w:tc>
              <w:tc>
                <w:tcPr>
                  <w:tcW w:w="764" w:type="pct"/>
                  <w:tcBorders>
                    <w:tl2br w:val="nil"/>
                    <w:tr2bl w:val="nil"/>
                  </w:tcBorders>
                  <w:vAlign w:val="center"/>
                </w:tcPr>
                <w:p w14:paraId="32140621">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mg/L</w:t>
                  </w:r>
                </w:p>
              </w:tc>
              <w:tc>
                <w:tcPr>
                  <w:tcW w:w="1431" w:type="pct"/>
                  <w:tcBorders>
                    <w:tl2br w:val="nil"/>
                    <w:tr2bl w:val="nil"/>
                  </w:tcBorders>
                  <w:vAlign w:val="center"/>
                </w:tcPr>
                <w:p w14:paraId="453BE419">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0.03</w:t>
                  </w:r>
                </w:p>
              </w:tc>
              <w:tc>
                <w:tcPr>
                  <w:tcW w:w="984" w:type="pct"/>
                  <w:tcBorders>
                    <w:tl2br w:val="nil"/>
                    <w:tr2bl w:val="nil"/>
                  </w:tcBorders>
                  <w:vAlign w:val="center"/>
                </w:tcPr>
                <w:p w14:paraId="25AA7132">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≤0.05</w:t>
                  </w:r>
                </w:p>
              </w:tc>
              <w:tc>
                <w:tcPr>
                  <w:tcW w:w="691" w:type="pct"/>
                  <w:tcBorders>
                    <w:tl2br w:val="nil"/>
                    <w:tr2bl w:val="nil"/>
                  </w:tcBorders>
                  <w:vAlign w:val="center"/>
                </w:tcPr>
                <w:p w14:paraId="16C5440A">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达标</w:t>
                  </w:r>
                </w:p>
              </w:tc>
            </w:tr>
            <w:tr w14:paraId="48E14F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7" w:type="pct"/>
                  <w:tcBorders>
                    <w:tl2br w:val="nil"/>
                    <w:tr2bl w:val="nil"/>
                  </w:tcBorders>
                  <w:vAlign w:val="center"/>
                </w:tcPr>
                <w:p w14:paraId="4A1B97C4">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挥发酚</w:t>
                  </w:r>
                </w:p>
              </w:tc>
              <w:tc>
                <w:tcPr>
                  <w:tcW w:w="764" w:type="pct"/>
                  <w:tcBorders>
                    <w:tl2br w:val="nil"/>
                    <w:tr2bl w:val="nil"/>
                  </w:tcBorders>
                  <w:vAlign w:val="center"/>
                </w:tcPr>
                <w:p w14:paraId="1F9A2368">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mg/L</w:t>
                  </w:r>
                </w:p>
              </w:tc>
              <w:tc>
                <w:tcPr>
                  <w:tcW w:w="1431" w:type="pct"/>
                  <w:tcBorders>
                    <w:tl2br w:val="nil"/>
                    <w:tr2bl w:val="nil"/>
                  </w:tcBorders>
                  <w:vAlign w:val="center"/>
                </w:tcPr>
                <w:p w14:paraId="774D0127">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0.001L</w:t>
                  </w:r>
                </w:p>
              </w:tc>
              <w:tc>
                <w:tcPr>
                  <w:tcW w:w="984" w:type="pct"/>
                  <w:tcBorders>
                    <w:tl2br w:val="nil"/>
                    <w:tr2bl w:val="nil"/>
                  </w:tcBorders>
                  <w:vAlign w:val="center"/>
                </w:tcPr>
                <w:p w14:paraId="60323418">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≤0.005</w:t>
                  </w:r>
                </w:p>
              </w:tc>
              <w:tc>
                <w:tcPr>
                  <w:tcW w:w="691" w:type="pct"/>
                  <w:tcBorders>
                    <w:tl2br w:val="nil"/>
                    <w:tr2bl w:val="nil"/>
                  </w:tcBorders>
                  <w:vAlign w:val="center"/>
                </w:tcPr>
                <w:p w14:paraId="01057189">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达标</w:t>
                  </w:r>
                </w:p>
              </w:tc>
            </w:tr>
            <w:tr w14:paraId="47C52B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7" w:type="pct"/>
                  <w:tcBorders>
                    <w:tl2br w:val="nil"/>
                    <w:tr2bl w:val="nil"/>
                  </w:tcBorders>
                  <w:vAlign w:val="center"/>
                </w:tcPr>
                <w:p w14:paraId="06A2FECB">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汞</w:t>
                  </w:r>
                </w:p>
              </w:tc>
              <w:tc>
                <w:tcPr>
                  <w:tcW w:w="764" w:type="pct"/>
                  <w:tcBorders>
                    <w:tl2br w:val="nil"/>
                    <w:tr2bl w:val="nil"/>
                  </w:tcBorders>
                  <w:vAlign w:val="center"/>
                </w:tcPr>
                <w:p w14:paraId="361578DB">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mg/L</w:t>
                  </w:r>
                </w:p>
              </w:tc>
              <w:tc>
                <w:tcPr>
                  <w:tcW w:w="1431" w:type="pct"/>
                  <w:tcBorders>
                    <w:tl2br w:val="nil"/>
                    <w:tr2bl w:val="nil"/>
                  </w:tcBorders>
                  <w:vAlign w:val="center"/>
                </w:tcPr>
                <w:p w14:paraId="70CA2B7E">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0.00004L</w:t>
                  </w:r>
                </w:p>
              </w:tc>
              <w:tc>
                <w:tcPr>
                  <w:tcW w:w="984" w:type="pct"/>
                  <w:tcBorders>
                    <w:tl2br w:val="nil"/>
                    <w:tr2bl w:val="nil"/>
                  </w:tcBorders>
                  <w:vAlign w:val="center"/>
                </w:tcPr>
                <w:p w14:paraId="16F37AFC">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≤0.0001</w:t>
                  </w:r>
                </w:p>
              </w:tc>
              <w:tc>
                <w:tcPr>
                  <w:tcW w:w="691" w:type="pct"/>
                  <w:tcBorders>
                    <w:tl2br w:val="nil"/>
                    <w:tr2bl w:val="nil"/>
                  </w:tcBorders>
                  <w:vAlign w:val="center"/>
                </w:tcPr>
                <w:p w14:paraId="15C1D2EB">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达标</w:t>
                  </w:r>
                </w:p>
              </w:tc>
            </w:tr>
            <w:tr w14:paraId="1CF96E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7" w:type="pct"/>
                  <w:tcBorders>
                    <w:tl2br w:val="nil"/>
                    <w:tr2bl w:val="nil"/>
                  </w:tcBorders>
                  <w:vAlign w:val="center"/>
                </w:tcPr>
                <w:p w14:paraId="722D6A26">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铅</w:t>
                  </w:r>
                </w:p>
              </w:tc>
              <w:tc>
                <w:tcPr>
                  <w:tcW w:w="764" w:type="pct"/>
                  <w:tcBorders>
                    <w:tl2br w:val="nil"/>
                    <w:tr2bl w:val="nil"/>
                  </w:tcBorders>
                  <w:vAlign w:val="center"/>
                </w:tcPr>
                <w:p w14:paraId="534E337B">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mg/L</w:t>
                  </w:r>
                </w:p>
              </w:tc>
              <w:tc>
                <w:tcPr>
                  <w:tcW w:w="1431" w:type="pct"/>
                  <w:tcBorders>
                    <w:tl2br w:val="nil"/>
                    <w:tr2bl w:val="nil"/>
                  </w:tcBorders>
                  <w:vAlign w:val="center"/>
                </w:tcPr>
                <w:p w14:paraId="7A19E34D">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0.00009L</w:t>
                  </w:r>
                </w:p>
              </w:tc>
              <w:tc>
                <w:tcPr>
                  <w:tcW w:w="984" w:type="pct"/>
                  <w:tcBorders>
                    <w:tl2br w:val="nil"/>
                    <w:tr2bl w:val="nil"/>
                  </w:tcBorders>
                  <w:vAlign w:val="center"/>
                </w:tcPr>
                <w:p w14:paraId="4E31F735">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≤0.05</w:t>
                  </w:r>
                </w:p>
              </w:tc>
              <w:tc>
                <w:tcPr>
                  <w:tcW w:w="691" w:type="pct"/>
                  <w:tcBorders>
                    <w:tl2br w:val="nil"/>
                    <w:tr2bl w:val="nil"/>
                  </w:tcBorders>
                  <w:vAlign w:val="center"/>
                </w:tcPr>
                <w:p w14:paraId="6DE59E5E">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达标</w:t>
                  </w:r>
                </w:p>
              </w:tc>
            </w:tr>
            <w:tr w14:paraId="26C901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7" w:type="pct"/>
                  <w:tcBorders>
                    <w:tl2br w:val="nil"/>
                    <w:tr2bl w:val="nil"/>
                  </w:tcBorders>
                  <w:vAlign w:val="center"/>
                </w:tcPr>
                <w:p w14:paraId="28109272">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化学需氧量</w:t>
                  </w:r>
                </w:p>
              </w:tc>
              <w:tc>
                <w:tcPr>
                  <w:tcW w:w="764" w:type="pct"/>
                  <w:tcBorders>
                    <w:tl2br w:val="nil"/>
                    <w:tr2bl w:val="nil"/>
                  </w:tcBorders>
                  <w:vAlign w:val="center"/>
                </w:tcPr>
                <w:p w14:paraId="1ECEDB82">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mg/L</w:t>
                  </w:r>
                </w:p>
              </w:tc>
              <w:tc>
                <w:tcPr>
                  <w:tcW w:w="1431" w:type="pct"/>
                  <w:tcBorders>
                    <w:tl2br w:val="nil"/>
                    <w:tr2bl w:val="nil"/>
                  </w:tcBorders>
                  <w:vAlign w:val="center"/>
                </w:tcPr>
                <w:p w14:paraId="00C7D7A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12.50</w:t>
                  </w:r>
                </w:p>
              </w:tc>
              <w:tc>
                <w:tcPr>
                  <w:tcW w:w="984" w:type="pct"/>
                  <w:tcBorders>
                    <w:tl2br w:val="nil"/>
                    <w:tr2bl w:val="nil"/>
                  </w:tcBorders>
                  <w:vAlign w:val="center"/>
                </w:tcPr>
                <w:p w14:paraId="0DA80752">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≤20</w:t>
                  </w:r>
                </w:p>
              </w:tc>
              <w:tc>
                <w:tcPr>
                  <w:tcW w:w="691" w:type="pct"/>
                  <w:tcBorders>
                    <w:tl2br w:val="nil"/>
                    <w:tr2bl w:val="nil"/>
                  </w:tcBorders>
                  <w:vAlign w:val="center"/>
                </w:tcPr>
                <w:p w14:paraId="022D8160">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达标</w:t>
                  </w:r>
                </w:p>
              </w:tc>
            </w:tr>
            <w:tr w14:paraId="29C77B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7" w:type="pct"/>
                  <w:tcBorders>
                    <w:tl2br w:val="nil"/>
                    <w:tr2bl w:val="nil"/>
                  </w:tcBorders>
                  <w:vAlign w:val="center"/>
                </w:tcPr>
                <w:p w14:paraId="0855EC7A">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总磷</w:t>
                  </w:r>
                </w:p>
              </w:tc>
              <w:tc>
                <w:tcPr>
                  <w:tcW w:w="764" w:type="pct"/>
                  <w:tcBorders>
                    <w:tl2br w:val="nil"/>
                    <w:tr2bl w:val="nil"/>
                  </w:tcBorders>
                  <w:vAlign w:val="center"/>
                </w:tcPr>
                <w:p w14:paraId="635DC77E">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mg/L</w:t>
                  </w:r>
                </w:p>
              </w:tc>
              <w:tc>
                <w:tcPr>
                  <w:tcW w:w="1431" w:type="pct"/>
                  <w:tcBorders>
                    <w:tl2br w:val="nil"/>
                    <w:tr2bl w:val="nil"/>
                  </w:tcBorders>
                  <w:vAlign w:val="center"/>
                </w:tcPr>
                <w:p w14:paraId="1FBB13B1">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0.09</w:t>
                  </w:r>
                </w:p>
              </w:tc>
              <w:tc>
                <w:tcPr>
                  <w:tcW w:w="984" w:type="pct"/>
                  <w:tcBorders>
                    <w:tl2br w:val="nil"/>
                    <w:tr2bl w:val="nil"/>
                  </w:tcBorders>
                  <w:vAlign w:val="center"/>
                </w:tcPr>
                <w:p w14:paraId="66EF201A">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≤0.2</w:t>
                  </w:r>
                </w:p>
              </w:tc>
              <w:tc>
                <w:tcPr>
                  <w:tcW w:w="691" w:type="pct"/>
                  <w:tcBorders>
                    <w:tl2br w:val="nil"/>
                    <w:tr2bl w:val="nil"/>
                  </w:tcBorders>
                  <w:vAlign w:val="center"/>
                </w:tcPr>
                <w:p w14:paraId="7EAF6520">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达标</w:t>
                  </w:r>
                </w:p>
              </w:tc>
            </w:tr>
            <w:tr w14:paraId="110135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7" w:type="pct"/>
                  <w:tcBorders>
                    <w:tl2br w:val="nil"/>
                    <w:tr2bl w:val="nil"/>
                  </w:tcBorders>
                  <w:vAlign w:val="center"/>
                </w:tcPr>
                <w:p w14:paraId="64CA85A9">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铜</w:t>
                  </w:r>
                </w:p>
              </w:tc>
              <w:tc>
                <w:tcPr>
                  <w:tcW w:w="764" w:type="pct"/>
                  <w:tcBorders>
                    <w:tl2br w:val="nil"/>
                    <w:tr2bl w:val="nil"/>
                  </w:tcBorders>
                  <w:vAlign w:val="center"/>
                </w:tcPr>
                <w:p w14:paraId="48768FD7">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mg/L</w:t>
                  </w:r>
                </w:p>
              </w:tc>
              <w:tc>
                <w:tcPr>
                  <w:tcW w:w="1431" w:type="pct"/>
                  <w:tcBorders>
                    <w:tl2br w:val="nil"/>
                    <w:tr2bl w:val="nil"/>
                  </w:tcBorders>
                  <w:vAlign w:val="center"/>
                </w:tcPr>
                <w:p w14:paraId="07791715">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0.006L</w:t>
                  </w:r>
                </w:p>
              </w:tc>
              <w:tc>
                <w:tcPr>
                  <w:tcW w:w="984" w:type="pct"/>
                  <w:tcBorders>
                    <w:tl2br w:val="nil"/>
                    <w:tr2bl w:val="nil"/>
                  </w:tcBorders>
                  <w:vAlign w:val="center"/>
                </w:tcPr>
                <w:p w14:paraId="4B772A4A">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≤1.0</w:t>
                  </w:r>
                </w:p>
              </w:tc>
              <w:tc>
                <w:tcPr>
                  <w:tcW w:w="691" w:type="pct"/>
                  <w:tcBorders>
                    <w:tl2br w:val="nil"/>
                    <w:tr2bl w:val="nil"/>
                  </w:tcBorders>
                  <w:vAlign w:val="center"/>
                </w:tcPr>
                <w:p w14:paraId="359E326C">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达标</w:t>
                  </w:r>
                </w:p>
              </w:tc>
            </w:tr>
            <w:tr w14:paraId="62D879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7" w:type="pct"/>
                  <w:tcBorders>
                    <w:tl2br w:val="nil"/>
                    <w:tr2bl w:val="nil"/>
                  </w:tcBorders>
                  <w:vAlign w:val="center"/>
                </w:tcPr>
                <w:p w14:paraId="766A4D90">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锌</w:t>
                  </w:r>
                </w:p>
              </w:tc>
              <w:tc>
                <w:tcPr>
                  <w:tcW w:w="764" w:type="pct"/>
                  <w:tcBorders>
                    <w:tl2br w:val="nil"/>
                    <w:tr2bl w:val="nil"/>
                  </w:tcBorders>
                  <w:vAlign w:val="center"/>
                </w:tcPr>
                <w:p w14:paraId="672E8066">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mg/L</w:t>
                  </w:r>
                </w:p>
              </w:tc>
              <w:tc>
                <w:tcPr>
                  <w:tcW w:w="1431" w:type="pct"/>
                  <w:tcBorders>
                    <w:tl2br w:val="nil"/>
                    <w:tr2bl w:val="nil"/>
                  </w:tcBorders>
                  <w:vAlign w:val="center"/>
                </w:tcPr>
                <w:p w14:paraId="7E00C941">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0.01</w:t>
                  </w:r>
                </w:p>
              </w:tc>
              <w:tc>
                <w:tcPr>
                  <w:tcW w:w="984" w:type="pct"/>
                  <w:tcBorders>
                    <w:tl2br w:val="nil"/>
                    <w:tr2bl w:val="nil"/>
                  </w:tcBorders>
                  <w:vAlign w:val="center"/>
                </w:tcPr>
                <w:p w14:paraId="7F35BAA5">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≤1.0</w:t>
                  </w:r>
                </w:p>
              </w:tc>
              <w:tc>
                <w:tcPr>
                  <w:tcW w:w="691" w:type="pct"/>
                  <w:tcBorders>
                    <w:tl2br w:val="nil"/>
                    <w:tr2bl w:val="nil"/>
                  </w:tcBorders>
                  <w:vAlign w:val="center"/>
                </w:tcPr>
                <w:p w14:paraId="4B464BD8">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达标</w:t>
                  </w:r>
                </w:p>
              </w:tc>
            </w:tr>
            <w:tr w14:paraId="0689E3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7" w:type="pct"/>
                  <w:tcBorders>
                    <w:tl2br w:val="nil"/>
                    <w:tr2bl w:val="nil"/>
                  </w:tcBorders>
                  <w:vAlign w:val="center"/>
                </w:tcPr>
                <w:p w14:paraId="25C1DF3C">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氟化物</w:t>
                  </w:r>
                </w:p>
              </w:tc>
              <w:tc>
                <w:tcPr>
                  <w:tcW w:w="764" w:type="pct"/>
                  <w:tcBorders>
                    <w:tl2br w:val="nil"/>
                    <w:tr2bl w:val="nil"/>
                  </w:tcBorders>
                  <w:vAlign w:val="center"/>
                </w:tcPr>
                <w:p w14:paraId="199DC968">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mg/L</w:t>
                  </w:r>
                </w:p>
              </w:tc>
              <w:tc>
                <w:tcPr>
                  <w:tcW w:w="1431" w:type="pct"/>
                  <w:tcBorders>
                    <w:tl2br w:val="nil"/>
                    <w:tr2bl w:val="nil"/>
                  </w:tcBorders>
                  <w:vAlign w:val="center"/>
                </w:tcPr>
                <w:p w14:paraId="55444EA1">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0.56</w:t>
                  </w:r>
                </w:p>
              </w:tc>
              <w:tc>
                <w:tcPr>
                  <w:tcW w:w="984" w:type="pct"/>
                  <w:tcBorders>
                    <w:tl2br w:val="nil"/>
                    <w:tr2bl w:val="nil"/>
                  </w:tcBorders>
                  <w:vAlign w:val="center"/>
                </w:tcPr>
                <w:p w14:paraId="38896B01">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≤1.0</w:t>
                  </w:r>
                </w:p>
              </w:tc>
              <w:tc>
                <w:tcPr>
                  <w:tcW w:w="691" w:type="pct"/>
                  <w:tcBorders>
                    <w:tl2br w:val="nil"/>
                    <w:tr2bl w:val="nil"/>
                  </w:tcBorders>
                  <w:vAlign w:val="center"/>
                </w:tcPr>
                <w:p w14:paraId="0ADACA27">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达标</w:t>
                  </w:r>
                </w:p>
              </w:tc>
            </w:tr>
            <w:tr w14:paraId="55DD09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7" w:type="pct"/>
                  <w:tcBorders>
                    <w:tl2br w:val="nil"/>
                    <w:tr2bl w:val="nil"/>
                  </w:tcBorders>
                  <w:vAlign w:val="center"/>
                </w:tcPr>
                <w:p w14:paraId="72F8F56C">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硒</w:t>
                  </w:r>
                </w:p>
              </w:tc>
              <w:tc>
                <w:tcPr>
                  <w:tcW w:w="764" w:type="pct"/>
                  <w:tcBorders>
                    <w:tl2br w:val="nil"/>
                    <w:tr2bl w:val="nil"/>
                  </w:tcBorders>
                  <w:vAlign w:val="center"/>
                </w:tcPr>
                <w:p w14:paraId="53EC2EA3">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mg/L</w:t>
                  </w:r>
                </w:p>
              </w:tc>
              <w:tc>
                <w:tcPr>
                  <w:tcW w:w="1431" w:type="pct"/>
                  <w:tcBorders>
                    <w:tl2br w:val="nil"/>
                    <w:tr2bl w:val="nil"/>
                  </w:tcBorders>
                  <w:vAlign w:val="center"/>
                </w:tcPr>
                <w:p w14:paraId="26C60D8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0.0004L</w:t>
                  </w:r>
                </w:p>
              </w:tc>
              <w:tc>
                <w:tcPr>
                  <w:tcW w:w="984" w:type="pct"/>
                  <w:tcBorders>
                    <w:tl2br w:val="nil"/>
                    <w:tr2bl w:val="nil"/>
                  </w:tcBorders>
                  <w:vAlign w:val="center"/>
                </w:tcPr>
                <w:p w14:paraId="1702374F">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≤0.01</w:t>
                  </w:r>
                </w:p>
              </w:tc>
              <w:tc>
                <w:tcPr>
                  <w:tcW w:w="691" w:type="pct"/>
                  <w:tcBorders>
                    <w:tl2br w:val="nil"/>
                    <w:tr2bl w:val="nil"/>
                  </w:tcBorders>
                  <w:vAlign w:val="center"/>
                </w:tcPr>
                <w:p w14:paraId="4B1092D0">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达标</w:t>
                  </w:r>
                </w:p>
              </w:tc>
            </w:tr>
            <w:tr w14:paraId="324F56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7" w:type="pct"/>
                  <w:tcBorders>
                    <w:tl2br w:val="nil"/>
                    <w:tr2bl w:val="nil"/>
                  </w:tcBorders>
                  <w:vAlign w:val="center"/>
                </w:tcPr>
                <w:p w14:paraId="1BC19E4F">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砷</w:t>
                  </w:r>
                </w:p>
              </w:tc>
              <w:tc>
                <w:tcPr>
                  <w:tcW w:w="764" w:type="pct"/>
                  <w:tcBorders>
                    <w:tl2br w:val="nil"/>
                    <w:tr2bl w:val="nil"/>
                  </w:tcBorders>
                  <w:vAlign w:val="center"/>
                </w:tcPr>
                <w:p w14:paraId="6DE30261">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mg/L</w:t>
                  </w:r>
                </w:p>
              </w:tc>
              <w:tc>
                <w:tcPr>
                  <w:tcW w:w="1431" w:type="pct"/>
                  <w:tcBorders>
                    <w:tl2br w:val="nil"/>
                    <w:tr2bl w:val="nil"/>
                  </w:tcBorders>
                  <w:vAlign w:val="center"/>
                </w:tcPr>
                <w:p w14:paraId="38DF4098">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0.002</w:t>
                  </w:r>
                </w:p>
              </w:tc>
              <w:tc>
                <w:tcPr>
                  <w:tcW w:w="984" w:type="pct"/>
                  <w:tcBorders>
                    <w:tl2br w:val="nil"/>
                    <w:tr2bl w:val="nil"/>
                  </w:tcBorders>
                  <w:vAlign w:val="center"/>
                </w:tcPr>
                <w:p w14:paraId="67BDDCB6">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≤0.05</w:t>
                  </w:r>
                </w:p>
              </w:tc>
              <w:tc>
                <w:tcPr>
                  <w:tcW w:w="691" w:type="pct"/>
                  <w:tcBorders>
                    <w:tl2br w:val="nil"/>
                    <w:tr2bl w:val="nil"/>
                  </w:tcBorders>
                  <w:vAlign w:val="center"/>
                </w:tcPr>
                <w:p w14:paraId="79C9159E">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达标</w:t>
                  </w:r>
                </w:p>
              </w:tc>
            </w:tr>
            <w:tr w14:paraId="34EB29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7" w:type="pct"/>
                  <w:tcBorders>
                    <w:tl2br w:val="nil"/>
                    <w:tr2bl w:val="nil"/>
                  </w:tcBorders>
                  <w:vAlign w:val="center"/>
                </w:tcPr>
                <w:p w14:paraId="28C92D36">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镉</w:t>
                  </w:r>
                </w:p>
              </w:tc>
              <w:tc>
                <w:tcPr>
                  <w:tcW w:w="764" w:type="pct"/>
                  <w:tcBorders>
                    <w:tl2br w:val="nil"/>
                    <w:tr2bl w:val="nil"/>
                  </w:tcBorders>
                  <w:vAlign w:val="center"/>
                </w:tcPr>
                <w:p w14:paraId="48D8296A">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mg/L</w:t>
                  </w:r>
                </w:p>
              </w:tc>
              <w:tc>
                <w:tcPr>
                  <w:tcW w:w="1431" w:type="pct"/>
                  <w:tcBorders>
                    <w:tl2br w:val="nil"/>
                    <w:tr2bl w:val="nil"/>
                  </w:tcBorders>
                  <w:vAlign w:val="center"/>
                </w:tcPr>
                <w:p w14:paraId="27B99536">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0.00005L</w:t>
                  </w:r>
                </w:p>
              </w:tc>
              <w:tc>
                <w:tcPr>
                  <w:tcW w:w="984" w:type="pct"/>
                  <w:tcBorders>
                    <w:tl2br w:val="nil"/>
                    <w:tr2bl w:val="nil"/>
                  </w:tcBorders>
                  <w:vAlign w:val="center"/>
                </w:tcPr>
                <w:p w14:paraId="159DF9F5">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≤0.005</w:t>
                  </w:r>
                </w:p>
              </w:tc>
              <w:tc>
                <w:tcPr>
                  <w:tcW w:w="691" w:type="pct"/>
                  <w:tcBorders>
                    <w:tl2br w:val="nil"/>
                    <w:tr2bl w:val="nil"/>
                  </w:tcBorders>
                  <w:vAlign w:val="center"/>
                </w:tcPr>
                <w:p w14:paraId="688AEE77">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达标</w:t>
                  </w:r>
                </w:p>
              </w:tc>
            </w:tr>
            <w:tr w14:paraId="5D0A90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7" w:type="pct"/>
                  <w:tcBorders>
                    <w:tl2br w:val="nil"/>
                    <w:tr2bl w:val="nil"/>
                  </w:tcBorders>
                  <w:vAlign w:val="center"/>
                </w:tcPr>
                <w:p w14:paraId="3CA38D95">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六价铬</w:t>
                  </w:r>
                </w:p>
              </w:tc>
              <w:tc>
                <w:tcPr>
                  <w:tcW w:w="764" w:type="pct"/>
                  <w:tcBorders>
                    <w:tl2br w:val="nil"/>
                    <w:tr2bl w:val="nil"/>
                  </w:tcBorders>
                  <w:vAlign w:val="center"/>
                </w:tcPr>
                <w:p w14:paraId="697B598E">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mg/L</w:t>
                  </w:r>
                </w:p>
              </w:tc>
              <w:tc>
                <w:tcPr>
                  <w:tcW w:w="1431" w:type="pct"/>
                  <w:tcBorders>
                    <w:tl2br w:val="nil"/>
                    <w:tr2bl w:val="nil"/>
                  </w:tcBorders>
                  <w:vAlign w:val="center"/>
                </w:tcPr>
                <w:p w14:paraId="3C2780E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0.004L</w:t>
                  </w:r>
                </w:p>
              </w:tc>
              <w:tc>
                <w:tcPr>
                  <w:tcW w:w="984" w:type="pct"/>
                  <w:tcBorders>
                    <w:tl2br w:val="nil"/>
                    <w:tr2bl w:val="nil"/>
                  </w:tcBorders>
                  <w:vAlign w:val="center"/>
                </w:tcPr>
                <w:p w14:paraId="5289732A">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≤0.05</w:t>
                  </w:r>
                </w:p>
              </w:tc>
              <w:tc>
                <w:tcPr>
                  <w:tcW w:w="691" w:type="pct"/>
                  <w:tcBorders>
                    <w:tl2br w:val="nil"/>
                    <w:tr2bl w:val="nil"/>
                  </w:tcBorders>
                  <w:vAlign w:val="center"/>
                </w:tcPr>
                <w:p w14:paraId="7E13EA25">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达标</w:t>
                  </w:r>
                </w:p>
              </w:tc>
            </w:tr>
            <w:tr w14:paraId="4BEF52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7" w:type="pct"/>
                  <w:tcBorders>
                    <w:tl2br w:val="nil"/>
                    <w:tr2bl w:val="nil"/>
                  </w:tcBorders>
                  <w:vAlign w:val="center"/>
                </w:tcPr>
                <w:p w14:paraId="7947A058">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氰化物</w:t>
                  </w:r>
                </w:p>
              </w:tc>
              <w:tc>
                <w:tcPr>
                  <w:tcW w:w="764" w:type="pct"/>
                  <w:tcBorders>
                    <w:tl2br w:val="nil"/>
                    <w:tr2bl w:val="nil"/>
                  </w:tcBorders>
                  <w:vAlign w:val="center"/>
                </w:tcPr>
                <w:p w14:paraId="4BDF3AD1">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mg/L</w:t>
                  </w:r>
                </w:p>
              </w:tc>
              <w:tc>
                <w:tcPr>
                  <w:tcW w:w="1431" w:type="pct"/>
                  <w:tcBorders>
                    <w:tl2br w:val="nil"/>
                    <w:tr2bl w:val="nil"/>
                  </w:tcBorders>
                  <w:vAlign w:val="center"/>
                </w:tcPr>
                <w:p w14:paraId="4DE03EA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0.00050L</w:t>
                  </w:r>
                </w:p>
              </w:tc>
              <w:tc>
                <w:tcPr>
                  <w:tcW w:w="984" w:type="pct"/>
                  <w:tcBorders>
                    <w:tl2br w:val="nil"/>
                    <w:tr2bl w:val="nil"/>
                  </w:tcBorders>
                  <w:vAlign w:val="center"/>
                </w:tcPr>
                <w:p w14:paraId="2ED0D853">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≤0.2</w:t>
                  </w:r>
                </w:p>
              </w:tc>
              <w:tc>
                <w:tcPr>
                  <w:tcW w:w="691" w:type="pct"/>
                  <w:tcBorders>
                    <w:tl2br w:val="nil"/>
                    <w:tr2bl w:val="nil"/>
                  </w:tcBorders>
                  <w:vAlign w:val="center"/>
                </w:tcPr>
                <w:p w14:paraId="1D07B674">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达标</w:t>
                  </w:r>
                </w:p>
              </w:tc>
            </w:tr>
            <w:tr w14:paraId="260273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7" w:type="pct"/>
                  <w:tcBorders>
                    <w:tl2br w:val="nil"/>
                    <w:tr2bl w:val="nil"/>
                  </w:tcBorders>
                  <w:vAlign w:val="center"/>
                </w:tcPr>
                <w:p w14:paraId="374AB024">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阴离子表面活性剂</w:t>
                  </w:r>
                </w:p>
              </w:tc>
              <w:tc>
                <w:tcPr>
                  <w:tcW w:w="764" w:type="pct"/>
                  <w:tcBorders>
                    <w:tl2br w:val="nil"/>
                    <w:tr2bl w:val="nil"/>
                  </w:tcBorders>
                  <w:vAlign w:val="center"/>
                </w:tcPr>
                <w:p w14:paraId="47543656">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mg/L</w:t>
                  </w:r>
                </w:p>
              </w:tc>
              <w:tc>
                <w:tcPr>
                  <w:tcW w:w="1431" w:type="pct"/>
                  <w:tcBorders>
                    <w:tl2br w:val="nil"/>
                    <w:tr2bl w:val="nil"/>
                  </w:tcBorders>
                  <w:vAlign w:val="center"/>
                </w:tcPr>
                <w:p w14:paraId="04B5523E">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0.02</w:t>
                  </w:r>
                </w:p>
              </w:tc>
              <w:tc>
                <w:tcPr>
                  <w:tcW w:w="984" w:type="pct"/>
                  <w:tcBorders>
                    <w:tl2br w:val="nil"/>
                    <w:tr2bl w:val="nil"/>
                  </w:tcBorders>
                  <w:vAlign w:val="center"/>
                </w:tcPr>
                <w:p w14:paraId="3B20D590">
                  <w:pPr>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≤0.2</w:t>
                  </w:r>
                </w:p>
              </w:tc>
              <w:tc>
                <w:tcPr>
                  <w:tcW w:w="691" w:type="pct"/>
                  <w:tcBorders>
                    <w:tl2br w:val="nil"/>
                    <w:tr2bl w:val="nil"/>
                  </w:tcBorders>
                  <w:vAlign w:val="center"/>
                </w:tcPr>
                <w:p w14:paraId="75ADC243">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达标</w:t>
                  </w:r>
                </w:p>
              </w:tc>
            </w:tr>
            <w:tr w14:paraId="18E38B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27" w:type="pct"/>
                  <w:tcBorders>
                    <w:tl2br w:val="nil"/>
                    <w:tr2bl w:val="nil"/>
                  </w:tcBorders>
                  <w:vAlign w:val="center"/>
                </w:tcPr>
                <w:p w14:paraId="4705D873">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硫化物</w:t>
                  </w:r>
                </w:p>
              </w:tc>
              <w:tc>
                <w:tcPr>
                  <w:tcW w:w="764" w:type="pct"/>
                  <w:tcBorders>
                    <w:tl2br w:val="nil"/>
                    <w:tr2bl w:val="nil"/>
                  </w:tcBorders>
                  <w:vAlign w:val="center"/>
                </w:tcPr>
                <w:p w14:paraId="464D9C3A">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mg/L</w:t>
                  </w:r>
                </w:p>
              </w:tc>
              <w:tc>
                <w:tcPr>
                  <w:tcW w:w="1431" w:type="pct"/>
                  <w:tcBorders>
                    <w:tl2br w:val="nil"/>
                    <w:tr2bl w:val="nil"/>
                  </w:tcBorders>
                  <w:vAlign w:val="center"/>
                </w:tcPr>
                <w:p w14:paraId="2A6F3ED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0.016L</w:t>
                  </w:r>
                </w:p>
              </w:tc>
              <w:tc>
                <w:tcPr>
                  <w:tcW w:w="984" w:type="pct"/>
                  <w:tcBorders>
                    <w:tl2br w:val="nil"/>
                    <w:tr2bl w:val="nil"/>
                  </w:tcBorders>
                  <w:vAlign w:val="center"/>
                </w:tcPr>
                <w:p w14:paraId="08CB0C9D">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≤0.2</w:t>
                  </w:r>
                </w:p>
              </w:tc>
              <w:tc>
                <w:tcPr>
                  <w:tcW w:w="691" w:type="pct"/>
                  <w:tcBorders>
                    <w:tl2br w:val="nil"/>
                    <w:tr2bl w:val="nil"/>
                  </w:tcBorders>
                  <w:vAlign w:val="center"/>
                </w:tcPr>
                <w:p w14:paraId="70AF8739">
                  <w:pPr>
                    <w:widowControl/>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达标</w:t>
                  </w:r>
                </w:p>
              </w:tc>
            </w:tr>
          </w:tbl>
          <w:p w14:paraId="6C710F2E">
            <w:pPr>
              <w:pStyle w:val="18"/>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rPr>
              <w:t>根据监测数据，</w:t>
            </w:r>
            <w:r>
              <w:rPr>
                <w:rFonts w:hint="default" w:ascii="Times New Roman" w:hAnsi="Times New Roman" w:cs="Times New Roman"/>
                <w:color w:val="auto"/>
                <w:sz w:val="24"/>
              </w:rPr>
              <w:t>曲江大河的曲江市控断面（马脖子电站）的</w:t>
            </w:r>
            <w:bookmarkStart w:id="104" w:name="_Hlk220331130"/>
            <w:r>
              <w:rPr>
                <w:rFonts w:hint="default" w:ascii="Times New Roman" w:hAnsi="Times New Roman" w:cs="Times New Roman"/>
                <w:color w:val="auto"/>
                <w:sz w:val="24"/>
              </w:rPr>
              <w:t>各监测因子均满足《地表水环境质量标准》（GB3838-2002）的</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3 \* ROMAN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III</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类标准。</w:t>
            </w:r>
          </w:p>
          <w:bookmarkEnd w:id="104"/>
          <w:p w14:paraId="48605A89">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（2）补充监测</w:t>
            </w:r>
          </w:p>
          <w:p w14:paraId="337E194E">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kern w:val="10"/>
                <w:sz w:val="24"/>
              </w:rPr>
              <w:t>本项目地表水环境质量现状引用</w:t>
            </w:r>
            <w:r>
              <w:rPr>
                <w:rFonts w:hint="default" w:ascii="Times New Roman" w:hAnsi="Times New Roman" w:cs="Times New Roman"/>
                <w:color w:val="auto"/>
                <w:sz w:val="24"/>
              </w:rPr>
              <w:t>《云南玉溪钢铁集团振飞钢铁有限公司产能置换升级年产75万吨普钢项目》中的监测数据，该项目编制期间委托</w:t>
            </w:r>
            <w:bookmarkStart w:id="105" w:name="_Hlk220331270"/>
            <w:bookmarkStart w:id="106" w:name="_Hlk220330880"/>
            <w:r>
              <w:rPr>
                <w:rFonts w:hint="default" w:ascii="Times New Roman" w:hAnsi="Times New Roman" w:cs="Times New Roman"/>
                <w:color w:val="auto"/>
                <w:sz w:val="24"/>
                <w:lang w:bidi="ar"/>
              </w:rPr>
              <w:t>云南浩辰环保科技有限公司</w:t>
            </w:r>
            <w:bookmarkEnd w:id="105"/>
            <w:r>
              <w:rPr>
                <w:rFonts w:hint="default" w:ascii="Times New Roman" w:hAnsi="Times New Roman" w:cs="Times New Roman"/>
                <w:color w:val="auto"/>
                <w:sz w:val="24"/>
                <w:lang w:bidi="ar"/>
              </w:rPr>
              <w:t>于2024年5</w:t>
            </w:r>
            <w:r>
              <w:rPr>
                <w:rFonts w:hint="default" w:ascii="Times New Roman" w:hAnsi="Times New Roman" w:cs="Times New Roman"/>
                <w:color w:val="auto"/>
                <w:sz w:val="24"/>
                <w:lang w:val="en-US" w:eastAsia="zh-CN" w:bidi="ar"/>
              </w:rPr>
              <w:t>月</w:t>
            </w:r>
            <w:r>
              <w:rPr>
                <w:rFonts w:hint="default" w:ascii="Times New Roman" w:hAnsi="Times New Roman" w:cs="Times New Roman"/>
                <w:color w:val="auto"/>
                <w:sz w:val="24"/>
                <w:lang w:bidi="ar"/>
              </w:rPr>
              <w:t>对</w:t>
            </w:r>
            <w:r>
              <w:rPr>
                <w:rFonts w:hint="default" w:ascii="Times New Roman" w:hAnsi="Times New Roman" w:cs="Times New Roman"/>
                <w:color w:val="auto"/>
                <w:sz w:val="24"/>
              </w:rPr>
              <w:t>周边的</w:t>
            </w:r>
            <w:r>
              <w:rPr>
                <w:rFonts w:hint="default" w:ascii="Times New Roman" w:hAnsi="Times New Roman" w:cs="Times New Roman"/>
                <w:color w:val="auto"/>
                <w:kern w:val="10"/>
                <w:sz w:val="24"/>
              </w:rPr>
              <w:t>里山大沟</w:t>
            </w:r>
            <w:bookmarkEnd w:id="106"/>
            <w:r>
              <w:rPr>
                <w:rFonts w:hint="default" w:ascii="Times New Roman" w:hAnsi="Times New Roman" w:cs="Times New Roman"/>
                <w:color w:val="auto"/>
                <w:kern w:val="10"/>
                <w:sz w:val="24"/>
              </w:rPr>
              <w:t>进行了监测，</w:t>
            </w:r>
            <w:r>
              <w:rPr>
                <w:rFonts w:hint="default" w:ascii="Times New Roman" w:hAnsi="Times New Roman" w:cs="Times New Roman"/>
                <w:color w:val="auto"/>
                <w:sz w:val="24"/>
              </w:rPr>
              <w:t>具体如下：</w:t>
            </w:r>
          </w:p>
          <w:p w14:paraId="079D8F8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监测点：1#——</w:t>
            </w:r>
            <w:bookmarkStart w:id="107" w:name="_Hlk220330899"/>
            <w:r>
              <w:rPr>
                <w:rFonts w:hint="default" w:ascii="Times New Roman" w:hAnsi="Times New Roman" w:cs="Times New Roman"/>
                <w:color w:val="auto"/>
                <w:sz w:val="24"/>
              </w:rPr>
              <w:t>项目区上游500m里山大沟断面、2#——项目区下游500m里山大沟断面、3#——项目区下游2500m里山大沟断面</w:t>
            </w:r>
            <w:bookmarkEnd w:id="107"/>
            <w:r>
              <w:rPr>
                <w:rFonts w:hint="default" w:ascii="Times New Roman" w:hAnsi="Times New Roman" w:cs="Times New Roman"/>
                <w:color w:val="auto"/>
                <w:sz w:val="24"/>
              </w:rPr>
              <w:t>，共设3个监测断面。具体点位详见附图8。</w:t>
            </w:r>
          </w:p>
          <w:p w14:paraId="42978E0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监测项目：pH、悬浮物、化学需氧量、五日生化需氧量、氨氮、总磷、石油类、硫化物、铁、锰、六价铬、镉、铅、汞、砷、铜、锌、挥发酚、氰化物、氟化物、铊。</w:t>
            </w:r>
          </w:p>
          <w:p w14:paraId="4B314D0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监测时间：连续采样3天，每天一个混合样。</w:t>
            </w:r>
          </w:p>
          <w:p w14:paraId="3D66051A">
            <w:pPr>
              <w:adjustRightInd w:val="0"/>
              <w:snapToGrid w:val="0"/>
              <w:spacing w:line="360" w:lineRule="auto"/>
              <w:ind w:firstLine="420" w:firstLineChars="20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表3-6    地表水监测结果   单位：mg/L，pH：无量纲</w:t>
            </w:r>
          </w:p>
          <w:tbl>
            <w:tblPr>
              <w:tblStyle w:val="35"/>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911"/>
              <w:gridCol w:w="911"/>
              <w:gridCol w:w="911"/>
              <w:gridCol w:w="711"/>
              <w:gridCol w:w="756"/>
              <w:gridCol w:w="890"/>
              <w:gridCol w:w="795"/>
              <w:gridCol w:w="1026"/>
            </w:tblGrid>
            <w:tr w14:paraId="73D4D6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restart"/>
                  <w:tcBorders>
                    <w:tl2br w:val="nil"/>
                    <w:tr2bl w:val="nil"/>
                  </w:tcBorders>
                  <w:vAlign w:val="center"/>
                </w:tcPr>
                <w:p w14:paraId="0DDE895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分析项目</w:t>
                  </w:r>
                </w:p>
              </w:tc>
              <w:tc>
                <w:tcPr>
                  <w:tcW w:w="1727" w:type="pct"/>
                  <w:gridSpan w:val="3"/>
                  <w:tcBorders>
                    <w:tl2br w:val="nil"/>
                    <w:tr2bl w:val="nil"/>
                  </w:tcBorders>
                  <w:vAlign w:val="center"/>
                </w:tcPr>
                <w:p w14:paraId="2D46BE38">
                  <w:pPr>
                    <w:widowControl/>
                    <w:jc w:val="center"/>
                    <w:textAlignment w:val="center"/>
                    <w:rPr>
                      <w:rStyle w:val="82"/>
                      <w:rFonts w:hint="default" w:ascii="Times New Roman" w:hAnsi="Times New Roman" w:cs="Times New Roman"/>
                      <w:color w:val="auto"/>
                      <w:lang w:bidi="ar"/>
                    </w:rPr>
                  </w:pPr>
                  <w:r>
                    <w:rPr>
                      <w:rFonts w:hint="default" w:ascii="Times New Roman" w:hAnsi="Times New Roman" w:cs="Times New Roman"/>
                      <w:bCs/>
                      <w:color w:val="auto"/>
                      <w:sz w:val="18"/>
                      <w:szCs w:val="18"/>
                    </w:rPr>
                    <w:t>现状监测值</w:t>
                  </w:r>
                </w:p>
              </w:tc>
              <w:tc>
                <w:tcPr>
                  <w:tcW w:w="449" w:type="pct"/>
                  <w:vMerge w:val="restart"/>
                  <w:tcBorders>
                    <w:tl2br w:val="nil"/>
                    <w:tr2bl w:val="nil"/>
                  </w:tcBorders>
                  <w:noWrap/>
                  <w:vAlign w:val="center"/>
                </w:tcPr>
                <w:p w14:paraId="0DFC435D">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标准</w:t>
                  </w:r>
                </w:p>
              </w:tc>
              <w:tc>
                <w:tcPr>
                  <w:tcW w:w="1566" w:type="pct"/>
                  <w:gridSpan w:val="3"/>
                  <w:tcBorders>
                    <w:tl2br w:val="nil"/>
                    <w:tr2bl w:val="nil"/>
                  </w:tcBorders>
                  <w:noWrap/>
                  <w:vAlign w:val="center"/>
                </w:tcPr>
                <w:p w14:paraId="21B0F22C">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标准指数</w:t>
                  </w:r>
                </w:p>
              </w:tc>
              <w:tc>
                <w:tcPr>
                  <w:tcW w:w="656" w:type="pct"/>
                  <w:vMerge w:val="restart"/>
                  <w:tcBorders>
                    <w:tl2br w:val="nil"/>
                    <w:tr2bl w:val="nil"/>
                  </w:tcBorders>
                  <w:noWrap/>
                  <w:vAlign w:val="center"/>
                </w:tcPr>
                <w:p w14:paraId="1C473BF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达标情况</w:t>
                  </w:r>
                </w:p>
              </w:tc>
            </w:tr>
            <w:tr w14:paraId="2E1061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472DA103">
                  <w:pPr>
                    <w:widowControl/>
                    <w:jc w:val="center"/>
                    <w:textAlignment w:val="center"/>
                    <w:rPr>
                      <w:rFonts w:hint="default" w:ascii="Times New Roman" w:hAnsi="Times New Roman" w:cs="Times New Roman"/>
                      <w:color w:val="auto"/>
                      <w:sz w:val="18"/>
                      <w:szCs w:val="18"/>
                    </w:rPr>
                  </w:pPr>
                </w:p>
              </w:tc>
              <w:tc>
                <w:tcPr>
                  <w:tcW w:w="580" w:type="pct"/>
                  <w:tcBorders>
                    <w:tl2br w:val="nil"/>
                    <w:tr2bl w:val="nil"/>
                  </w:tcBorders>
                  <w:vAlign w:val="center"/>
                </w:tcPr>
                <w:p w14:paraId="3C86B88C">
                  <w:pPr>
                    <w:widowControl/>
                    <w:jc w:val="center"/>
                    <w:textAlignment w:val="center"/>
                    <w:rPr>
                      <w:rFonts w:hint="default" w:ascii="Times New Roman" w:hAnsi="Times New Roman" w:cs="Times New Roman"/>
                      <w:color w:val="auto"/>
                      <w:sz w:val="18"/>
                      <w:szCs w:val="18"/>
                    </w:rPr>
                  </w:pPr>
                  <w:r>
                    <w:rPr>
                      <w:rStyle w:val="82"/>
                      <w:rFonts w:hint="default" w:ascii="Times New Roman" w:hAnsi="Times New Roman" w:cs="Times New Roman"/>
                      <w:color w:val="auto"/>
                      <w:lang w:bidi="ar"/>
                    </w:rPr>
                    <w:t>1#断面</w:t>
                  </w:r>
                </w:p>
              </w:tc>
              <w:tc>
                <w:tcPr>
                  <w:tcW w:w="581" w:type="pct"/>
                  <w:tcBorders>
                    <w:tl2br w:val="nil"/>
                    <w:tr2bl w:val="nil"/>
                  </w:tcBorders>
                  <w:vAlign w:val="center"/>
                </w:tcPr>
                <w:p w14:paraId="17629F24">
                  <w:pPr>
                    <w:widowControl/>
                    <w:jc w:val="center"/>
                    <w:textAlignment w:val="center"/>
                    <w:rPr>
                      <w:rFonts w:hint="default" w:ascii="Times New Roman" w:hAnsi="Times New Roman" w:cs="Times New Roman"/>
                      <w:color w:val="auto"/>
                      <w:sz w:val="18"/>
                      <w:szCs w:val="18"/>
                    </w:rPr>
                  </w:pPr>
                  <w:r>
                    <w:rPr>
                      <w:rStyle w:val="82"/>
                      <w:rFonts w:hint="default" w:ascii="Times New Roman" w:hAnsi="Times New Roman" w:cs="Times New Roman"/>
                      <w:color w:val="auto"/>
                      <w:lang w:bidi="ar"/>
                    </w:rPr>
                    <w:t>2#断面</w:t>
                  </w:r>
                </w:p>
              </w:tc>
              <w:tc>
                <w:tcPr>
                  <w:tcW w:w="565" w:type="pct"/>
                  <w:tcBorders>
                    <w:tl2br w:val="nil"/>
                    <w:tr2bl w:val="nil"/>
                  </w:tcBorders>
                  <w:vAlign w:val="center"/>
                </w:tcPr>
                <w:p w14:paraId="3D7FD81C">
                  <w:pPr>
                    <w:widowControl/>
                    <w:jc w:val="center"/>
                    <w:textAlignment w:val="center"/>
                    <w:rPr>
                      <w:rFonts w:hint="default" w:ascii="Times New Roman" w:hAnsi="Times New Roman" w:cs="Times New Roman"/>
                      <w:color w:val="auto"/>
                      <w:sz w:val="18"/>
                      <w:szCs w:val="18"/>
                    </w:rPr>
                  </w:pPr>
                  <w:r>
                    <w:rPr>
                      <w:rStyle w:val="82"/>
                      <w:rFonts w:hint="default" w:ascii="Times New Roman" w:hAnsi="Times New Roman" w:cs="Times New Roman"/>
                      <w:color w:val="auto"/>
                      <w:lang w:bidi="ar"/>
                    </w:rPr>
                    <w:t>3#断面</w:t>
                  </w:r>
                </w:p>
              </w:tc>
              <w:tc>
                <w:tcPr>
                  <w:tcW w:w="449" w:type="pct"/>
                  <w:vMerge w:val="continue"/>
                  <w:tcBorders>
                    <w:tl2br w:val="nil"/>
                    <w:tr2bl w:val="nil"/>
                  </w:tcBorders>
                  <w:noWrap/>
                  <w:vAlign w:val="center"/>
                </w:tcPr>
                <w:p w14:paraId="6C926E34">
                  <w:pPr>
                    <w:jc w:val="center"/>
                    <w:rPr>
                      <w:rFonts w:hint="default" w:ascii="Times New Roman" w:hAnsi="Times New Roman" w:cs="Times New Roman"/>
                      <w:color w:val="auto"/>
                      <w:sz w:val="18"/>
                      <w:szCs w:val="18"/>
                    </w:rPr>
                  </w:pPr>
                </w:p>
              </w:tc>
              <w:tc>
                <w:tcPr>
                  <w:tcW w:w="483" w:type="pct"/>
                  <w:tcBorders>
                    <w:tl2br w:val="nil"/>
                    <w:tr2bl w:val="nil"/>
                  </w:tcBorders>
                  <w:noWrap/>
                  <w:vAlign w:val="center"/>
                </w:tcPr>
                <w:p w14:paraId="489ABE65">
                  <w:pPr>
                    <w:widowControl/>
                    <w:jc w:val="center"/>
                    <w:textAlignment w:val="center"/>
                    <w:rPr>
                      <w:rFonts w:hint="default" w:ascii="Times New Roman" w:hAnsi="Times New Roman" w:cs="Times New Roman"/>
                      <w:color w:val="auto"/>
                      <w:sz w:val="18"/>
                      <w:szCs w:val="18"/>
                    </w:rPr>
                  </w:pPr>
                  <w:r>
                    <w:rPr>
                      <w:rStyle w:val="82"/>
                      <w:rFonts w:hint="default" w:ascii="Times New Roman" w:hAnsi="Times New Roman" w:cs="Times New Roman"/>
                      <w:color w:val="auto"/>
                      <w:lang w:bidi="ar"/>
                    </w:rPr>
                    <w:t>1#断面</w:t>
                  </w:r>
                </w:p>
              </w:tc>
              <w:tc>
                <w:tcPr>
                  <w:tcW w:w="574" w:type="pct"/>
                  <w:tcBorders>
                    <w:tl2br w:val="nil"/>
                    <w:tr2bl w:val="nil"/>
                  </w:tcBorders>
                  <w:noWrap/>
                  <w:vAlign w:val="center"/>
                </w:tcPr>
                <w:p w14:paraId="73870C1E">
                  <w:pPr>
                    <w:widowControl/>
                    <w:jc w:val="center"/>
                    <w:textAlignment w:val="center"/>
                    <w:rPr>
                      <w:rFonts w:hint="default" w:ascii="Times New Roman" w:hAnsi="Times New Roman" w:cs="Times New Roman"/>
                      <w:color w:val="auto"/>
                      <w:sz w:val="18"/>
                      <w:szCs w:val="18"/>
                    </w:rPr>
                  </w:pPr>
                  <w:r>
                    <w:rPr>
                      <w:rStyle w:val="82"/>
                      <w:rFonts w:hint="default" w:ascii="Times New Roman" w:hAnsi="Times New Roman" w:cs="Times New Roman"/>
                      <w:color w:val="auto"/>
                      <w:lang w:bidi="ar"/>
                    </w:rPr>
                    <w:t>2#断面</w:t>
                  </w:r>
                </w:p>
              </w:tc>
              <w:tc>
                <w:tcPr>
                  <w:tcW w:w="509" w:type="pct"/>
                  <w:tcBorders>
                    <w:tl2br w:val="nil"/>
                    <w:tr2bl w:val="nil"/>
                  </w:tcBorders>
                  <w:noWrap/>
                  <w:vAlign w:val="center"/>
                </w:tcPr>
                <w:p w14:paraId="1EE8DC87">
                  <w:pPr>
                    <w:widowControl/>
                    <w:jc w:val="center"/>
                    <w:textAlignment w:val="center"/>
                    <w:rPr>
                      <w:rFonts w:hint="default" w:ascii="Times New Roman" w:hAnsi="Times New Roman" w:cs="Times New Roman"/>
                      <w:color w:val="auto"/>
                      <w:sz w:val="18"/>
                      <w:szCs w:val="18"/>
                    </w:rPr>
                  </w:pPr>
                  <w:r>
                    <w:rPr>
                      <w:rStyle w:val="82"/>
                      <w:rFonts w:hint="default" w:ascii="Times New Roman" w:hAnsi="Times New Roman" w:cs="Times New Roman"/>
                      <w:color w:val="auto"/>
                      <w:lang w:bidi="ar"/>
                    </w:rPr>
                    <w:t>3#断面</w:t>
                  </w:r>
                </w:p>
              </w:tc>
              <w:tc>
                <w:tcPr>
                  <w:tcW w:w="656" w:type="pct"/>
                  <w:vMerge w:val="continue"/>
                  <w:tcBorders>
                    <w:tl2br w:val="nil"/>
                    <w:tr2bl w:val="nil"/>
                  </w:tcBorders>
                  <w:noWrap/>
                  <w:vAlign w:val="center"/>
                </w:tcPr>
                <w:p w14:paraId="6660E3CF">
                  <w:pPr>
                    <w:widowControl/>
                    <w:jc w:val="center"/>
                    <w:textAlignment w:val="center"/>
                    <w:rPr>
                      <w:rStyle w:val="82"/>
                      <w:rFonts w:hint="default" w:ascii="Times New Roman" w:hAnsi="Times New Roman" w:cs="Times New Roman"/>
                      <w:color w:val="auto"/>
                      <w:lang w:bidi="ar"/>
                    </w:rPr>
                  </w:pPr>
                </w:p>
              </w:tc>
            </w:tr>
            <w:tr w14:paraId="103068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restart"/>
                  <w:tcBorders>
                    <w:tl2br w:val="nil"/>
                    <w:tr2bl w:val="nil"/>
                  </w:tcBorders>
                  <w:vAlign w:val="center"/>
                </w:tcPr>
                <w:p w14:paraId="458A9AB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pH</w:t>
                  </w:r>
                </w:p>
              </w:tc>
              <w:tc>
                <w:tcPr>
                  <w:tcW w:w="580" w:type="pct"/>
                  <w:tcBorders>
                    <w:tl2br w:val="nil"/>
                    <w:tr2bl w:val="nil"/>
                  </w:tcBorders>
                  <w:vAlign w:val="center"/>
                </w:tcPr>
                <w:p w14:paraId="715F415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7.42</w:t>
                  </w:r>
                </w:p>
              </w:tc>
              <w:tc>
                <w:tcPr>
                  <w:tcW w:w="581" w:type="pct"/>
                  <w:tcBorders>
                    <w:tl2br w:val="nil"/>
                    <w:tr2bl w:val="nil"/>
                  </w:tcBorders>
                  <w:vAlign w:val="center"/>
                </w:tcPr>
                <w:p w14:paraId="6E5A8A0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7.72</w:t>
                  </w:r>
                </w:p>
              </w:tc>
              <w:tc>
                <w:tcPr>
                  <w:tcW w:w="565" w:type="pct"/>
                  <w:tcBorders>
                    <w:tl2br w:val="nil"/>
                    <w:tr2bl w:val="nil"/>
                  </w:tcBorders>
                  <w:vAlign w:val="center"/>
                </w:tcPr>
                <w:p w14:paraId="226E569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7.92</w:t>
                  </w:r>
                </w:p>
              </w:tc>
              <w:tc>
                <w:tcPr>
                  <w:tcW w:w="449" w:type="pct"/>
                  <w:tcBorders>
                    <w:tl2br w:val="nil"/>
                    <w:tr2bl w:val="nil"/>
                  </w:tcBorders>
                  <w:noWrap/>
                  <w:vAlign w:val="center"/>
                </w:tcPr>
                <w:p w14:paraId="7DFD625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6-9</w:t>
                  </w:r>
                </w:p>
              </w:tc>
              <w:tc>
                <w:tcPr>
                  <w:tcW w:w="483" w:type="pct"/>
                  <w:tcBorders>
                    <w:tl2br w:val="nil"/>
                    <w:tr2bl w:val="nil"/>
                  </w:tcBorders>
                  <w:noWrap/>
                  <w:vAlign w:val="center"/>
                </w:tcPr>
                <w:p w14:paraId="7CB2318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0.21</w:t>
                  </w:r>
                </w:p>
              </w:tc>
              <w:tc>
                <w:tcPr>
                  <w:tcW w:w="574" w:type="pct"/>
                  <w:tcBorders>
                    <w:tl2br w:val="nil"/>
                    <w:tr2bl w:val="nil"/>
                  </w:tcBorders>
                  <w:noWrap/>
                  <w:vAlign w:val="center"/>
                </w:tcPr>
                <w:p w14:paraId="5B23733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0.36</w:t>
                  </w:r>
                </w:p>
              </w:tc>
              <w:tc>
                <w:tcPr>
                  <w:tcW w:w="509" w:type="pct"/>
                  <w:tcBorders>
                    <w:tl2br w:val="nil"/>
                    <w:tr2bl w:val="nil"/>
                  </w:tcBorders>
                  <w:noWrap/>
                  <w:vAlign w:val="center"/>
                </w:tcPr>
                <w:p w14:paraId="7A08F1F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0.46</w:t>
                  </w:r>
                </w:p>
              </w:tc>
              <w:tc>
                <w:tcPr>
                  <w:tcW w:w="656" w:type="pct"/>
                  <w:tcBorders>
                    <w:tl2br w:val="nil"/>
                    <w:tr2bl w:val="nil"/>
                  </w:tcBorders>
                  <w:noWrap/>
                  <w:vAlign w:val="center"/>
                </w:tcPr>
                <w:p w14:paraId="44371514">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2E1EF3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2C22CE01">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4E45BCE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7.45</w:t>
                  </w:r>
                </w:p>
              </w:tc>
              <w:tc>
                <w:tcPr>
                  <w:tcW w:w="581" w:type="pct"/>
                  <w:tcBorders>
                    <w:tl2br w:val="nil"/>
                    <w:tr2bl w:val="nil"/>
                  </w:tcBorders>
                  <w:vAlign w:val="center"/>
                </w:tcPr>
                <w:p w14:paraId="646BC64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7.78</w:t>
                  </w:r>
                </w:p>
              </w:tc>
              <w:tc>
                <w:tcPr>
                  <w:tcW w:w="565" w:type="pct"/>
                  <w:tcBorders>
                    <w:tl2br w:val="nil"/>
                    <w:tr2bl w:val="nil"/>
                  </w:tcBorders>
                  <w:vAlign w:val="center"/>
                </w:tcPr>
                <w:p w14:paraId="15A250A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7.99</w:t>
                  </w:r>
                </w:p>
              </w:tc>
              <w:tc>
                <w:tcPr>
                  <w:tcW w:w="449" w:type="pct"/>
                  <w:tcBorders>
                    <w:tl2br w:val="nil"/>
                    <w:tr2bl w:val="nil"/>
                  </w:tcBorders>
                  <w:noWrap/>
                  <w:vAlign w:val="center"/>
                </w:tcPr>
                <w:p w14:paraId="0EFD2616">
                  <w:pPr>
                    <w:jc w:val="center"/>
                    <w:rPr>
                      <w:rFonts w:hint="default" w:ascii="Times New Roman" w:hAnsi="Times New Roman" w:cs="Times New Roman"/>
                      <w:color w:val="auto"/>
                      <w:sz w:val="18"/>
                      <w:szCs w:val="18"/>
                    </w:rPr>
                  </w:pPr>
                </w:p>
              </w:tc>
              <w:tc>
                <w:tcPr>
                  <w:tcW w:w="483" w:type="pct"/>
                  <w:tcBorders>
                    <w:tl2br w:val="nil"/>
                    <w:tr2bl w:val="nil"/>
                  </w:tcBorders>
                  <w:noWrap/>
                  <w:vAlign w:val="center"/>
                </w:tcPr>
                <w:p w14:paraId="20AAC06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0.23</w:t>
                  </w:r>
                </w:p>
              </w:tc>
              <w:tc>
                <w:tcPr>
                  <w:tcW w:w="574" w:type="pct"/>
                  <w:tcBorders>
                    <w:tl2br w:val="nil"/>
                    <w:tr2bl w:val="nil"/>
                  </w:tcBorders>
                  <w:noWrap/>
                  <w:vAlign w:val="center"/>
                </w:tcPr>
                <w:p w14:paraId="51A51CC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0.39</w:t>
                  </w:r>
                </w:p>
              </w:tc>
              <w:tc>
                <w:tcPr>
                  <w:tcW w:w="509" w:type="pct"/>
                  <w:tcBorders>
                    <w:tl2br w:val="nil"/>
                    <w:tr2bl w:val="nil"/>
                  </w:tcBorders>
                  <w:noWrap/>
                  <w:vAlign w:val="center"/>
                </w:tcPr>
                <w:p w14:paraId="464D7F1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0.50</w:t>
                  </w:r>
                </w:p>
              </w:tc>
              <w:tc>
                <w:tcPr>
                  <w:tcW w:w="656" w:type="pct"/>
                  <w:tcBorders>
                    <w:tl2br w:val="nil"/>
                    <w:tr2bl w:val="nil"/>
                  </w:tcBorders>
                  <w:noWrap/>
                  <w:vAlign w:val="center"/>
                </w:tcPr>
                <w:p w14:paraId="26127BA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03D6DF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746ED360">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5AAFFE1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7.41</w:t>
                  </w:r>
                </w:p>
              </w:tc>
              <w:tc>
                <w:tcPr>
                  <w:tcW w:w="581" w:type="pct"/>
                  <w:tcBorders>
                    <w:tl2br w:val="nil"/>
                    <w:tr2bl w:val="nil"/>
                  </w:tcBorders>
                  <w:vAlign w:val="center"/>
                </w:tcPr>
                <w:p w14:paraId="2CB387B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7.79</w:t>
                  </w:r>
                </w:p>
              </w:tc>
              <w:tc>
                <w:tcPr>
                  <w:tcW w:w="565" w:type="pct"/>
                  <w:tcBorders>
                    <w:tl2br w:val="nil"/>
                    <w:tr2bl w:val="nil"/>
                  </w:tcBorders>
                  <w:vAlign w:val="center"/>
                </w:tcPr>
                <w:p w14:paraId="7E69EBF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7.95</w:t>
                  </w:r>
                </w:p>
              </w:tc>
              <w:tc>
                <w:tcPr>
                  <w:tcW w:w="449" w:type="pct"/>
                  <w:tcBorders>
                    <w:tl2br w:val="nil"/>
                    <w:tr2bl w:val="nil"/>
                  </w:tcBorders>
                  <w:noWrap/>
                  <w:vAlign w:val="center"/>
                </w:tcPr>
                <w:p w14:paraId="408D5770">
                  <w:pPr>
                    <w:jc w:val="center"/>
                    <w:rPr>
                      <w:rFonts w:hint="default" w:ascii="Times New Roman" w:hAnsi="Times New Roman" w:cs="Times New Roman"/>
                      <w:color w:val="auto"/>
                      <w:sz w:val="18"/>
                      <w:szCs w:val="18"/>
                    </w:rPr>
                  </w:pPr>
                </w:p>
              </w:tc>
              <w:tc>
                <w:tcPr>
                  <w:tcW w:w="483" w:type="pct"/>
                  <w:tcBorders>
                    <w:tl2br w:val="nil"/>
                    <w:tr2bl w:val="nil"/>
                  </w:tcBorders>
                  <w:noWrap/>
                  <w:vAlign w:val="center"/>
                </w:tcPr>
                <w:p w14:paraId="09604A4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0.21</w:t>
                  </w:r>
                </w:p>
              </w:tc>
              <w:tc>
                <w:tcPr>
                  <w:tcW w:w="574" w:type="pct"/>
                  <w:tcBorders>
                    <w:tl2br w:val="nil"/>
                    <w:tr2bl w:val="nil"/>
                  </w:tcBorders>
                  <w:noWrap/>
                  <w:vAlign w:val="center"/>
                </w:tcPr>
                <w:p w14:paraId="4E0DDFB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0.40</w:t>
                  </w:r>
                </w:p>
              </w:tc>
              <w:tc>
                <w:tcPr>
                  <w:tcW w:w="509" w:type="pct"/>
                  <w:tcBorders>
                    <w:tl2br w:val="nil"/>
                    <w:tr2bl w:val="nil"/>
                  </w:tcBorders>
                  <w:noWrap/>
                  <w:vAlign w:val="center"/>
                </w:tcPr>
                <w:p w14:paraId="054CD84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0.48</w:t>
                  </w:r>
                </w:p>
              </w:tc>
              <w:tc>
                <w:tcPr>
                  <w:tcW w:w="656" w:type="pct"/>
                  <w:tcBorders>
                    <w:tl2br w:val="nil"/>
                    <w:tr2bl w:val="nil"/>
                  </w:tcBorders>
                  <w:noWrap/>
                  <w:vAlign w:val="center"/>
                </w:tcPr>
                <w:p w14:paraId="701229B4">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1766E6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restart"/>
                  <w:tcBorders>
                    <w:tl2br w:val="nil"/>
                    <w:tr2bl w:val="nil"/>
                  </w:tcBorders>
                  <w:vAlign w:val="center"/>
                </w:tcPr>
                <w:p w14:paraId="654E7D2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悬浮物</w:t>
                  </w:r>
                </w:p>
              </w:tc>
              <w:tc>
                <w:tcPr>
                  <w:tcW w:w="580" w:type="pct"/>
                  <w:tcBorders>
                    <w:tl2br w:val="nil"/>
                    <w:tr2bl w:val="nil"/>
                  </w:tcBorders>
                  <w:vAlign w:val="center"/>
                </w:tcPr>
                <w:p w14:paraId="0F24349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7</w:t>
                  </w:r>
                </w:p>
              </w:tc>
              <w:tc>
                <w:tcPr>
                  <w:tcW w:w="581" w:type="pct"/>
                  <w:tcBorders>
                    <w:tl2br w:val="nil"/>
                    <w:tr2bl w:val="nil"/>
                  </w:tcBorders>
                  <w:vAlign w:val="center"/>
                </w:tcPr>
                <w:p w14:paraId="7B01214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19</w:t>
                  </w:r>
                </w:p>
              </w:tc>
              <w:tc>
                <w:tcPr>
                  <w:tcW w:w="565" w:type="pct"/>
                  <w:tcBorders>
                    <w:tl2br w:val="nil"/>
                    <w:tr2bl w:val="nil"/>
                  </w:tcBorders>
                  <w:vAlign w:val="center"/>
                </w:tcPr>
                <w:p w14:paraId="7567482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16</w:t>
                  </w:r>
                </w:p>
              </w:tc>
              <w:tc>
                <w:tcPr>
                  <w:tcW w:w="449" w:type="pct"/>
                  <w:tcBorders>
                    <w:tl2br w:val="nil"/>
                    <w:tr2bl w:val="nil"/>
                  </w:tcBorders>
                  <w:noWrap/>
                  <w:vAlign w:val="center"/>
                </w:tcPr>
                <w:p w14:paraId="164827E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83" w:type="pct"/>
                  <w:tcBorders>
                    <w:tl2br w:val="nil"/>
                    <w:tr2bl w:val="nil"/>
                  </w:tcBorders>
                  <w:noWrap/>
                  <w:vAlign w:val="center"/>
                </w:tcPr>
                <w:p w14:paraId="6930C9F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574" w:type="pct"/>
                  <w:tcBorders>
                    <w:tl2br w:val="nil"/>
                    <w:tr2bl w:val="nil"/>
                  </w:tcBorders>
                  <w:noWrap/>
                  <w:vAlign w:val="center"/>
                </w:tcPr>
                <w:p w14:paraId="0FC1409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509" w:type="pct"/>
                  <w:tcBorders>
                    <w:tl2br w:val="nil"/>
                    <w:tr2bl w:val="nil"/>
                  </w:tcBorders>
                  <w:noWrap/>
                  <w:vAlign w:val="center"/>
                </w:tcPr>
                <w:p w14:paraId="03D84A6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656" w:type="pct"/>
                  <w:tcBorders>
                    <w:tl2br w:val="nil"/>
                    <w:tr2bl w:val="nil"/>
                  </w:tcBorders>
                  <w:noWrap/>
                  <w:vAlign w:val="center"/>
                </w:tcPr>
                <w:p w14:paraId="1BAB584B">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w:t>
                  </w:r>
                </w:p>
              </w:tc>
            </w:tr>
            <w:tr w14:paraId="681451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61B5D5FB">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17DEEDC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7</w:t>
                  </w:r>
                </w:p>
              </w:tc>
              <w:tc>
                <w:tcPr>
                  <w:tcW w:w="581" w:type="pct"/>
                  <w:tcBorders>
                    <w:tl2br w:val="nil"/>
                    <w:tr2bl w:val="nil"/>
                  </w:tcBorders>
                  <w:vAlign w:val="center"/>
                </w:tcPr>
                <w:p w14:paraId="5E53CA5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18</w:t>
                  </w:r>
                </w:p>
              </w:tc>
              <w:tc>
                <w:tcPr>
                  <w:tcW w:w="565" w:type="pct"/>
                  <w:tcBorders>
                    <w:tl2br w:val="nil"/>
                    <w:tr2bl w:val="nil"/>
                  </w:tcBorders>
                  <w:vAlign w:val="center"/>
                </w:tcPr>
                <w:p w14:paraId="4F868BE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10</w:t>
                  </w:r>
                </w:p>
              </w:tc>
              <w:tc>
                <w:tcPr>
                  <w:tcW w:w="449" w:type="pct"/>
                  <w:tcBorders>
                    <w:tl2br w:val="nil"/>
                    <w:tr2bl w:val="nil"/>
                  </w:tcBorders>
                  <w:noWrap/>
                  <w:vAlign w:val="center"/>
                </w:tcPr>
                <w:p w14:paraId="77B0FE8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83" w:type="pct"/>
                  <w:tcBorders>
                    <w:tl2br w:val="nil"/>
                    <w:tr2bl w:val="nil"/>
                  </w:tcBorders>
                  <w:noWrap/>
                  <w:vAlign w:val="center"/>
                </w:tcPr>
                <w:p w14:paraId="5C210E9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574" w:type="pct"/>
                  <w:tcBorders>
                    <w:tl2br w:val="nil"/>
                    <w:tr2bl w:val="nil"/>
                  </w:tcBorders>
                  <w:noWrap/>
                  <w:vAlign w:val="center"/>
                </w:tcPr>
                <w:p w14:paraId="7B3A258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509" w:type="pct"/>
                  <w:tcBorders>
                    <w:tl2br w:val="nil"/>
                    <w:tr2bl w:val="nil"/>
                  </w:tcBorders>
                  <w:noWrap/>
                  <w:vAlign w:val="center"/>
                </w:tcPr>
                <w:p w14:paraId="00BD8D8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656" w:type="pct"/>
                  <w:tcBorders>
                    <w:tl2br w:val="nil"/>
                    <w:tr2bl w:val="nil"/>
                  </w:tcBorders>
                  <w:noWrap/>
                  <w:vAlign w:val="center"/>
                </w:tcPr>
                <w:p w14:paraId="02EA0D7E">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w:t>
                  </w:r>
                </w:p>
              </w:tc>
            </w:tr>
            <w:tr w14:paraId="60FFF0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6E91E457">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6DF1D32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9</w:t>
                  </w:r>
                </w:p>
              </w:tc>
              <w:tc>
                <w:tcPr>
                  <w:tcW w:w="581" w:type="pct"/>
                  <w:tcBorders>
                    <w:tl2br w:val="nil"/>
                    <w:tr2bl w:val="nil"/>
                  </w:tcBorders>
                  <w:vAlign w:val="center"/>
                </w:tcPr>
                <w:p w14:paraId="713EF24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16</w:t>
                  </w:r>
                </w:p>
              </w:tc>
              <w:tc>
                <w:tcPr>
                  <w:tcW w:w="565" w:type="pct"/>
                  <w:tcBorders>
                    <w:tl2br w:val="nil"/>
                    <w:tr2bl w:val="nil"/>
                  </w:tcBorders>
                  <w:vAlign w:val="center"/>
                </w:tcPr>
                <w:p w14:paraId="16E2AAE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12</w:t>
                  </w:r>
                </w:p>
              </w:tc>
              <w:tc>
                <w:tcPr>
                  <w:tcW w:w="449" w:type="pct"/>
                  <w:tcBorders>
                    <w:tl2br w:val="nil"/>
                    <w:tr2bl w:val="nil"/>
                  </w:tcBorders>
                  <w:noWrap/>
                  <w:vAlign w:val="center"/>
                </w:tcPr>
                <w:p w14:paraId="10C215B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483" w:type="pct"/>
                  <w:tcBorders>
                    <w:tl2br w:val="nil"/>
                    <w:tr2bl w:val="nil"/>
                  </w:tcBorders>
                  <w:noWrap/>
                  <w:vAlign w:val="center"/>
                </w:tcPr>
                <w:p w14:paraId="00C6D14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574" w:type="pct"/>
                  <w:tcBorders>
                    <w:tl2br w:val="nil"/>
                    <w:tr2bl w:val="nil"/>
                  </w:tcBorders>
                  <w:noWrap/>
                  <w:vAlign w:val="center"/>
                </w:tcPr>
                <w:p w14:paraId="6656C66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509" w:type="pct"/>
                  <w:tcBorders>
                    <w:tl2br w:val="nil"/>
                    <w:tr2bl w:val="nil"/>
                  </w:tcBorders>
                  <w:noWrap/>
                  <w:vAlign w:val="center"/>
                </w:tcPr>
                <w:p w14:paraId="2A05B60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w:t>
                  </w:r>
                </w:p>
              </w:tc>
              <w:tc>
                <w:tcPr>
                  <w:tcW w:w="656" w:type="pct"/>
                  <w:tcBorders>
                    <w:tl2br w:val="nil"/>
                    <w:tr2bl w:val="nil"/>
                  </w:tcBorders>
                  <w:noWrap/>
                  <w:vAlign w:val="center"/>
                </w:tcPr>
                <w:p w14:paraId="38243B33">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w:t>
                  </w:r>
                </w:p>
              </w:tc>
            </w:tr>
            <w:tr w14:paraId="1A51FA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restart"/>
                  <w:tcBorders>
                    <w:tl2br w:val="nil"/>
                    <w:tr2bl w:val="nil"/>
                  </w:tcBorders>
                  <w:vAlign w:val="center"/>
                </w:tcPr>
                <w:p w14:paraId="55BABB6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化学需氧量</w:t>
                  </w:r>
                </w:p>
              </w:tc>
              <w:tc>
                <w:tcPr>
                  <w:tcW w:w="580" w:type="pct"/>
                  <w:tcBorders>
                    <w:tl2br w:val="nil"/>
                    <w:tr2bl w:val="nil"/>
                  </w:tcBorders>
                  <w:vAlign w:val="center"/>
                </w:tcPr>
                <w:p w14:paraId="77B3B11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44</w:t>
                  </w:r>
                </w:p>
              </w:tc>
              <w:tc>
                <w:tcPr>
                  <w:tcW w:w="581" w:type="pct"/>
                  <w:tcBorders>
                    <w:tl2br w:val="nil"/>
                    <w:tr2bl w:val="nil"/>
                  </w:tcBorders>
                  <w:vAlign w:val="center"/>
                </w:tcPr>
                <w:p w14:paraId="439D76F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38</w:t>
                  </w:r>
                </w:p>
              </w:tc>
              <w:tc>
                <w:tcPr>
                  <w:tcW w:w="565" w:type="pct"/>
                  <w:tcBorders>
                    <w:tl2br w:val="nil"/>
                    <w:tr2bl w:val="nil"/>
                  </w:tcBorders>
                  <w:vAlign w:val="center"/>
                </w:tcPr>
                <w:p w14:paraId="0AE9401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30</w:t>
                  </w:r>
                </w:p>
              </w:tc>
              <w:tc>
                <w:tcPr>
                  <w:tcW w:w="449" w:type="pct"/>
                  <w:tcBorders>
                    <w:tl2br w:val="nil"/>
                    <w:tr2bl w:val="nil"/>
                  </w:tcBorders>
                  <w:noWrap/>
                  <w:vAlign w:val="center"/>
                </w:tcPr>
                <w:p w14:paraId="314C76D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20</w:t>
                  </w:r>
                </w:p>
              </w:tc>
              <w:tc>
                <w:tcPr>
                  <w:tcW w:w="483" w:type="pct"/>
                  <w:tcBorders>
                    <w:tl2br w:val="nil"/>
                    <w:tr2bl w:val="nil"/>
                  </w:tcBorders>
                  <w:noWrap/>
                  <w:vAlign w:val="center"/>
                </w:tcPr>
                <w:p w14:paraId="5D77F0B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2.20</w:t>
                  </w:r>
                </w:p>
              </w:tc>
              <w:tc>
                <w:tcPr>
                  <w:tcW w:w="574" w:type="pct"/>
                  <w:tcBorders>
                    <w:tl2br w:val="nil"/>
                    <w:tr2bl w:val="nil"/>
                  </w:tcBorders>
                  <w:noWrap/>
                  <w:vAlign w:val="center"/>
                </w:tcPr>
                <w:p w14:paraId="5D59A74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1.90</w:t>
                  </w:r>
                </w:p>
              </w:tc>
              <w:tc>
                <w:tcPr>
                  <w:tcW w:w="509" w:type="pct"/>
                  <w:tcBorders>
                    <w:tl2br w:val="nil"/>
                    <w:tr2bl w:val="nil"/>
                  </w:tcBorders>
                  <w:noWrap/>
                  <w:vAlign w:val="center"/>
                </w:tcPr>
                <w:p w14:paraId="5373BEC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1.50</w:t>
                  </w:r>
                </w:p>
              </w:tc>
              <w:tc>
                <w:tcPr>
                  <w:tcW w:w="656" w:type="pct"/>
                  <w:tcBorders>
                    <w:tl2br w:val="nil"/>
                    <w:tr2bl w:val="nil"/>
                  </w:tcBorders>
                  <w:noWrap/>
                  <w:vAlign w:val="center"/>
                </w:tcPr>
                <w:p w14:paraId="1A6B1D5B">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超标</w:t>
                  </w:r>
                </w:p>
              </w:tc>
            </w:tr>
            <w:tr w14:paraId="132845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56156D1B">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0F07986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42</w:t>
                  </w:r>
                </w:p>
              </w:tc>
              <w:tc>
                <w:tcPr>
                  <w:tcW w:w="581" w:type="pct"/>
                  <w:tcBorders>
                    <w:tl2br w:val="nil"/>
                    <w:tr2bl w:val="nil"/>
                  </w:tcBorders>
                  <w:vAlign w:val="center"/>
                </w:tcPr>
                <w:p w14:paraId="316F4B7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37</w:t>
                  </w:r>
                </w:p>
              </w:tc>
              <w:tc>
                <w:tcPr>
                  <w:tcW w:w="565" w:type="pct"/>
                  <w:tcBorders>
                    <w:tl2br w:val="nil"/>
                    <w:tr2bl w:val="nil"/>
                  </w:tcBorders>
                  <w:vAlign w:val="center"/>
                </w:tcPr>
                <w:p w14:paraId="15AFD59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29</w:t>
                  </w:r>
                </w:p>
              </w:tc>
              <w:tc>
                <w:tcPr>
                  <w:tcW w:w="449" w:type="pct"/>
                  <w:tcBorders>
                    <w:tl2br w:val="nil"/>
                    <w:tr2bl w:val="nil"/>
                  </w:tcBorders>
                  <w:noWrap/>
                  <w:vAlign w:val="center"/>
                </w:tcPr>
                <w:p w14:paraId="15A22A9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20</w:t>
                  </w:r>
                </w:p>
              </w:tc>
              <w:tc>
                <w:tcPr>
                  <w:tcW w:w="483" w:type="pct"/>
                  <w:tcBorders>
                    <w:tl2br w:val="nil"/>
                    <w:tr2bl w:val="nil"/>
                  </w:tcBorders>
                  <w:noWrap/>
                  <w:vAlign w:val="center"/>
                </w:tcPr>
                <w:p w14:paraId="0948E52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2.10</w:t>
                  </w:r>
                </w:p>
              </w:tc>
              <w:tc>
                <w:tcPr>
                  <w:tcW w:w="574" w:type="pct"/>
                  <w:tcBorders>
                    <w:tl2br w:val="nil"/>
                    <w:tr2bl w:val="nil"/>
                  </w:tcBorders>
                  <w:noWrap/>
                  <w:vAlign w:val="center"/>
                </w:tcPr>
                <w:p w14:paraId="4C8C048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1.85</w:t>
                  </w:r>
                </w:p>
              </w:tc>
              <w:tc>
                <w:tcPr>
                  <w:tcW w:w="509" w:type="pct"/>
                  <w:tcBorders>
                    <w:tl2br w:val="nil"/>
                    <w:tr2bl w:val="nil"/>
                  </w:tcBorders>
                  <w:noWrap/>
                  <w:vAlign w:val="center"/>
                </w:tcPr>
                <w:p w14:paraId="32957B9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1.45</w:t>
                  </w:r>
                </w:p>
              </w:tc>
              <w:tc>
                <w:tcPr>
                  <w:tcW w:w="656" w:type="pct"/>
                  <w:tcBorders>
                    <w:tl2br w:val="nil"/>
                    <w:tr2bl w:val="nil"/>
                  </w:tcBorders>
                  <w:noWrap/>
                  <w:vAlign w:val="center"/>
                </w:tcPr>
                <w:p w14:paraId="2BB3289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超标</w:t>
                  </w:r>
                </w:p>
              </w:tc>
            </w:tr>
            <w:tr w14:paraId="62A56C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0AF67F46">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2D7D690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47</w:t>
                  </w:r>
                </w:p>
              </w:tc>
              <w:tc>
                <w:tcPr>
                  <w:tcW w:w="581" w:type="pct"/>
                  <w:tcBorders>
                    <w:tl2br w:val="nil"/>
                    <w:tr2bl w:val="nil"/>
                  </w:tcBorders>
                  <w:vAlign w:val="center"/>
                </w:tcPr>
                <w:p w14:paraId="3F33587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34</w:t>
                  </w:r>
                </w:p>
              </w:tc>
              <w:tc>
                <w:tcPr>
                  <w:tcW w:w="565" w:type="pct"/>
                  <w:tcBorders>
                    <w:tl2br w:val="nil"/>
                    <w:tr2bl w:val="nil"/>
                  </w:tcBorders>
                  <w:vAlign w:val="center"/>
                </w:tcPr>
                <w:p w14:paraId="2FD65B3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26</w:t>
                  </w:r>
                </w:p>
              </w:tc>
              <w:tc>
                <w:tcPr>
                  <w:tcW w:w="449" w:type="pct"/>
                  <w:tcBorders>
                    <w:tl2br w:val="nil"/>
                    <w:tr2bl w:val="nil"/>
                  </w:tcBorders>
                  <w:noWrap/>
                  <w:vAlign w:val="center"/>
                </w:tcPr>
                <w:p w14:paraId="4D75785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20</w:t>
                  </w:r>
                </w:p>
              </w:tc>
              <w:tc>
                <w:tcPr>
                  <w:tcW w:w="483" w:type="pct"/>
                  <w:tcBorders>
                    <w:tl2br w:val="nil"/>
                    <w:tr2bl w:val="nil"/>
                  </w:tcBorders>
                  <w:noWrap/>
                  <w:vAlign w:val="center"/>
                </w:tcPr>
                <w:p w14:paraId="2E95652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2.35</w:t>
                  </w:r>
                </w:p>
              </w:tc>
              <w:tc>
                <w:tcPr>
                  <w:tcW w:w="574" w:type="pct"/>
                  <w:tcBorders>
                    <w:tl2br w:val="nil"/>
                    <w:tr2bl w:val="nil"/>
                  </w:tcBorders>
                  <w:noWrap/>
                  <w:vAlign w:val="center"/>
                </w:tcPr>
                <w:p w14:paraId="3456B66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1.70</w:t>
                  </w:r>
                </w:p>
              </w:tc>
              <w:tc>
                <w:tcPr>
                  <w:tcW w:w="509" w:type="pct"/>
                  <w:tcBorders>
                    <w:tl2br w:val="nil"/>
                    <w:tr2bl w:val="nil"/>
                  </w:tcBorders>
                  <w:noWrap/>
                  <w:vAlign w:val="center"/>
                </w:tcPr>
                <w:p w14:paraId="7DA0657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1.30</w:t>
                  </w:r>
                </w:p>
              </w:tc>
              <w:tc>
                <w:tcPr>
                  <w:tcW w:w="656" w:type="pct"/>
                  <w:tcBorders>
                    <w:tl2br w:val="nil"/>
                    <w:tr2bl w:val="nil"/>
                  </w:tcBorders>
                  <w:noWrap/>
                  <w:vAlign w:val="center"/>
                </w:tcPr>
                <w:p w14:paraId="0D6123C1">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超标</w:t>
                  </w:r>
                </w:p>
              </w:tc>
            </w:tr>
            <w:tr w14:paraId="1FEE56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restart"/>
                  <w:tcBorders>
                    <w:tl2br w:val="nil"/>
                    <w:tr2bl w:val="nil"/>
                  </w:tcBorders>
                  <w:vAlign w:val="center"/>
                </w:tcPr>
                <w:p w14:paraId="7F3F0AC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五日生化需氧量</w:t>
                  </w:r>
                </w:p>
              </w:tc>
              <w:tc>
                <w:tcPr>
                  <w:tcW w:w="580" w:type="pct"/>
                  <w:tcBorders>
                    <w:tl2br w:val="nil"/>
                    <w:tr2bl w:val="nil"/>
                  </w:tcBorders>
                  <w:vAlign w:val="center"/>
                </w:tcPr>
                <w:p w14:paraId="308CCC8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9.8</w:t>
                  </w:r>
                </w:p>
              </w:tc>
              <w:tc>
                <w:tcPr>
                  <w:tcW w:w="581" w:type="pct"/>
                  <w:tcBorders>
                    <w:tl2br w:val="nil"/>
                    <w:tr2bl w:val="nil"/>
                  </w:tcBorders>
                  <w:vAlign w:val="center"/>
                </w:tcPr>
                <w:p w14:paraId="248E5FD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7.1</w:t>
                  </w:r>
                </w:p>
              </w:tc>
              <w:tc>
                <w:tcPr>
                  <w:tcW w:w="565" w:type="pct"/>
                  <w:tcBorders>
                    <w:tl2br w:val="nil"/>
                    <w:tr2bl w:val="nil"/>
                  </w:tcBorders>
                  <w:vAlign w:val="center"/>
                </w:tcPr>
                <w:p w14:paraId="04FF489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5.8</w:t>
                  </w:r>
                </w:p>
              </w:tc>
              <w:tc>
                <w:tcPr>
                  <w:tcW w:w="449" w:type="pct"/>
                  <w:tcBorders>
                    <w:tl2br w:val="nil"/>
                    <w:tr2bl w:val="nil"/>
                  </w:tcBorders>
                  <w:noWrap/>
                  <w:vAlign w:val="center"/>
                </w:tcPr>
                <w:p w14:paraId="5090BD5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4</w:t>
                  </w:r>
                </w:p>
              </w:tc>
              <w:tc>
                <w:tcPr>
                  <w:tcW w:w="483" w:type="pct"/>
                  <w:tcBorders>
                    <w:tl2br w:val="nil"/>
                    <w:tr2bl w:val="nil"/>
                  </w:tcBorders>
                  <w:noWrap/>
                  <w:vAlign w:val="center"/>
                </w:tcPr>
                <w:p w14:paraId="5BBDAA4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2.45</w:t>
                  </w:r>
                </w:p>
              </w:tc>
              <w:tc>
                <w:tcPr>
                  <w:tcW w:w="574" w:type="pct"/>
                  <w:tcBorders>
                    <w:tl2br w:val="nil"/>
                    <w:tr2bl w:val="nil"/>
                  </w:tcBorders>
                  <w:noWrap/>
                  <w:vAlign w:val="center"/>
                </w:tcPr>
                <w:p w14:paraId="163AF5B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1.78</w:t>
                  </w:r>
                </w:p>
              </w:tc>
              <w:tc>
                <w:tcPr>
                  <w:tcW w:w="509" w:type="pct"/>
                  <w:tcBorders>
                    <w:tl2br w:val="nil"/>
                    <w:tr2bl w:val="nil"/>
                  </w:tcBorders>
                  <w:noWrap/>
                  <w:vAlign w:val="center"/>
                </w:tcPr>
                <w:p w14:paraId="6EF1014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1.45</w:t>
                  </w:r>
                </w:p>
              </w:tc>
              <w:tc>
                <w:tcPr>
                  <w:tcW w:w="656" w:type="pct"/>
                  <w:tcBorders>
                    <w:tl2br w:val="nil"/>
                    <w:tr2bl w:val="nil"/>
                  </w:tcBorders>
                  <w:noWrap/>
                  <w:vAlign w:val="center"/>
                </w:tcPr>
                <w:p w14:paraId="2ECA3F6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超标</w:t>
                  </w:r>
                </w:p>
              </w:tc>
            </w:tr>
            <w:tr w14:paraId="48DCFD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157BA27D">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4315568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9.4</w:t>
                  </w:r>
                </w:p>
              </w:tc>
              <w:tc>
                <w:tcPr>
                  <w:tcW w:w="581" w:type="pct"/>
                  <w:tcBorders>
                    <w:tl2br w:val="nil"/>
                    <w:tr2bl w:val="nil"/>
                  </w:tcBorders>
                  <w:vAlign w:val="center"/>
                </w:tcPr>
                <w:p w14:paraId="24A5269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7.5</w:t>
                  </w:r>
                </w:p>
              </w:tc>
              <w:tc>
                <w:tcPr>
                  <w:tcW w:w="565" w:type="pct"/>
                  <w:tcBorders>
                    <w:tl2br w:val="nil"/>
                    <w:tr2bl w:val="nil"/>
                  </w:tcBorders>
                  <w:vAlign w:val="center"/>
                </w:tcPr>
                <w:p w14:paraId="6EC6A63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6.6</w:t>
                  </w:r>
                </w:p>
              </w:tc>
              <w:tc>
                <w:tcPr>
                  <w:tcW w:w="449" w:type="pct"/>
                  <w:tcBorders>
                    <w:tl2br w:val="nil"/>
                    <w:tr2bl w:val="nil"/>
                  </w:tcBorders>
                  <w:noWrap/>
                  <w:vAlign w:val="center"/>
                </w:tcPr>
                <w:p w14:paraId="55E304F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4</w:t>
                  </w:r>
                </w:p>
              </w:tc>
              <w:tc>
                <w:tcPr>
                  <w:tcW w:w="483" w:type="pct"/>
                  <w:tcBorders>
                    <w:tl2br w:val="nil"/>
                    <w:tr2bl w:val="nil"/>
                  </w:tcBorders>
                  <w:noWrap/>
                  <w:vAlign w:val="center"/>
                </w:tcPr>
                <w:p w14:paraId="0141425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2.35</w:t>
                  </w:r>
                </w:p>
              </w:tc>
              <w:tc>
                <w:tcPr>
                  <w:tcW w:w="574" w:type="pct"/>
                  <w:tcBorders>
                    <w:tl2br w:val="nil"/>
                    <w:tr2bl w:val="nil"/>
                  </w:tcBorders>
                  <w:noWrap/>
                  <w:vAlign w:val="center"/>
                </w:tcPr>
                <w:p w14:paraId="3F9A73D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1.88</w:t>
                  </w:r>
                </w:p>
              </w:tc>
              <w:tc>
                <w:tcPr>
                  <w:tcW w:w="509" w:type="pct"/>
                  <w:tcBorders>
                    <w:tl2br w:val="nil"/>
                    <w:tr2bl w:val="nil"/>
                  </w:tcBorders>
                  <w:noWrap/>
                  <w:vAlign w:val="center"/>
                </w:tcPr>
                <w:p w14:paraId="235C064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1.65</w:t>
                  </w:r>
                </w:p>
              </w:tc>
              <w:tc>
                <w:tcPr>
                  <w:tcW w:w="656" w:type="pct"/>
                  <w:tcBorders>
                    <w:tl2br w:val="nil"/>
                    <w:tr2bl w:val="nil"/>
                  </w:tcBorders>
                  <w:noWrap/>
                  <w:vAlign w:val="center"/>
                </w:tcPr>
                <w:p w14:paraId="1C6AD0E7">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超标</w:t>
                  </w:r>
                </w:p>
              </w:tc>
            </w:tr>
            <w:tr w14:paraId="090C0B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60EFE11F">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6D9C5F6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9.5</w:t>
                  </w:r>
                </w:p>
              </w:tc>
              <w:tc>
                <w:tcPr>
                  <w:tcW w:w="581" w:type="pct"/>
                  <w:tcBorders>
                    <w:tl2br w:val="nil"/>
                    <w:tr2bl w:val="nil"/>
                  </w:tcBorders>
                  <w:vAlign w:val="center"/>
                </w:tcPr>
                <w:p w14:paraId="2304663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7.4</w:t>
                  </w:r>
                </w:p>
              </w:tc>
              <w:tc>
                <w:tcPr>
                  <w:tcW w:w="565" w:type="pct"/>
                  <w:tcBorders>
                    <w:tl2br w:val="nil"/>
                    <w:tr2bl w:val="nil"/>
                  </w:tcBorders>
                  <w:vAlign w:val="center"/>
                </w:tcPr>
                <w:p w14:paraId="7AD1C1D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6.3</w:t>
                  </w:r>
                </w:p>
              </w:tc>
              <w:tc>
                <w:tcPr>
                  <w:tcW w:w="449" w:type="pct"/>
                  <w:tcBorders>
                    <w:tl2br w:val="nil"/>
                    <w:tr2bl w:val="nil"/>
                  </w:tcBorders>
                  <w:noWrap/>
                  <w:vAlign w:val="center"/>
                </w:tcPr>
                <w:p w14:paraId="5C07277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4</w:t>
                  </w:r>
                </w:p>
              </w:tc>
              <w:tc>
                <w:tcPr>
                  <w:tcW w:w="483" w:type="pct"/>
                  <w:tcBorders>
                    <w:tl2br w:val="nil"/>
                    <w:tr2bl w:val="nil"/>
                  </w:tcBorders>
                  <w:noWrap/>
                  <w:vAlign w:val="center"/>
                </w:tcPr>
                <w:p w14:paraId="19827E9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2.38</w:t>
                  </w:r>
                </w:p>
              </w:tc>
              <w:tc>
                <w:tcPr>
                  <w:tcW w:w="574" w:type="pct"/>
                  <w:tcBorders>
                    <w:tl2br w:val="nil"/>
                    <w:tr2bl w:val="nil"/>
                  </w:tcBorders>
                  <w:noWrap/>
                  <w:vAlign w:val="center"/>
                </w:tcPr>
                <w:p w14:paraId="3E401A3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1.85</w:t>
                  </w:r>
                </w:p>
              </w:tc>
              <w:tc>
                <w:tcPr>
                  <w:tcW w:w="509" w:type="pct"/>
                  <w:tcBorders>
                    <w:tl2br w:val="nil"/>
                    <w:tr2bl w:val="nil"/>
                  </w:tcBorders>
                  <w:noWrap/>
                  <w:vAlign w:val="center"/>
                </w:tcPr>
                <w:p w14:paraId="3C3A66E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1.58</w:t>
                  </w:r>
                </w:p>
              </w:tc>
              <w:tc>
                <w:tcPr>
                  <w:tcW w:w="656" w:type="pct"/>
                  <w:tcBorders>
                    <w:tl2br w:val="nil"/>
                    <w:tr2bl w:val="nil"/>
                  </w:tcBorders>
                  <w:noWrap/>
                  <w:vAlign w:val="center"/>
                </w:tcPr>
                <w:p w14:paraId="278A8B3B">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超标</w:t>
                  </w:r>
                </w:p>
              </w:tc>
            </w:tr>
            <w:tr w14:paraId="1E23DE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restart"/>
                  <w:tcBorders>
                    <w:tl2br w:val="nil"/>
                    <w:tr2bl w:val="nil"/>
                  </w:tcBorders>
                  <w:vAlign w:val="center"/>
                </w:tcPr>
                <w:p w14:paraId="2E29FE3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氨氮</w:t>
                  </w:r>
                </w:p>
              </w:tc>
              <w:tc>
                <w:tcPr>
                  <w:tcW w:w="580" w:type="pct"/>
                  <w:tcBorders>
                    <w:tl2br w:val="nil"/>
                    <w:tr2bl w:val="nil"/>
                  </w:tcBorders>
                  <w:vAlign w:val="center"/>
                </w:tcPr>
                <w:p w14:paraId="1C0A473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1.54</w:t>
                  </w:r>
                </w:p>
              </w:tc>
              <w:tc>
                <w:tcPr>
                  <w:tcW w:w="581" w:type="pct"/>
                  <w:tcBorders>
                    <w:tl2br w:val="nil"/>
                    <w:tr2bl w:val="nil"/>
                  </w:tcBorders>
                  <w:vAlign w:val="center"/>
                </w:tcPr>
                <w:p w14:paraId="5159FA0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1.78</w:t>
                  </w:r>
                </w:p>
              </w:tc>
              <w:tc>
                <w:tcPr>
                  <w:tcW w:w="565" w:type="pct"/>
                  <w:tcBorders>
                    <w:tl2br w:val="nil"/>
                    <w:tr2bl w:val="nil"/>
                  </w:tcBorders>
                  <w:vAlign w:val="center"/>
                </w:tcPr>
                <w:p w14:paraId="03D955C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1.67</w:t>
                  </w:r>
                </w:p>
              </w:tc>
              <w:tc>
                <w:tcPr>
                  <w:tcW w:w="449" w:type="pct"/>
                  <w:tcBorders>
                    <w:tl2br w:val="nil"/>
                    <w:tr2bl w:val="nil"/>
                  </w:tcBorders>
                  <w:noWrap/>
                  <w:vAlign w:val="center"/>
                </w:tcPr>
                <w:p w14:paraId="43BC837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w:t>
                  </w:r>
                </w:p>
              </w:tc>
              <w:tc>
                <w:tcPr>
                  <w:tcW w:w="483" w:type="pct"/>
                  <w:tcBorders>
                    <w:tl2br w:val="nil"/>
                    <w:tr2bl w:val="nil"/>
                  </w:tcBorders>
                  <w:noWrap/>
                  <w:vAlign w:val="center"/>
                </w:tcPr>
                <w:p w14:paraId="320C53B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1.54</w:t>
                  </w:r>
                </w:p>
              </w:tc>
              <w:tc>
                <w:tcPr>
                  <w:tcW w:w="574" w:type="pct"/>
                  <w:tcBorders>
                    <w:tl2br w:val="nil"/>
                    <w:tr2bl w:val="nil"/>
                  </w:tcBorders>
                  <w:noWrap/>
                  <w:vAlign w:val="center"/>
                </w:tcPr>
                <w:p w14:paraId="1DF41AA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1.78</w:t>
                  </w:r>
                </w:p>
              </w:tc>
              <w:tc>
                <w:tcPr>
                  <w:tcW w:w="509" w:type="pct"/>
                  <w:tcBorders>
                    <w:tl2br w:val="nil"/>
                    <w:tr2bl w:val="nil"/>
                  </w:tcBorders>
                  <w:noWrap/>
                  <w:vAlign w:val="center"/>
                </w:tcPr>
                <w:p w14:paraId="38B0231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1.67</w:t>
                  </w:r>
                </w:p>
              </w:tc>
              <w:tc>
                <w:tcPr>
                  <w:tcW w:w="656" w:type="pct"/>
                  <w:tcBorders>
                    <w:tl2br w:val="nil"/>
                    <w:tr2bl w:val="nil"/>
                  </w:tcBorders>
                  <w:noWrap/>
                  <w:vAlign w:val="center"/>
                </w:tcPr>
                <w:p w14:paraId="583FAEDB">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超标</w:t>
                  </w:r>
                </w:p>
              </w:tc>
            </w:tr>
            <w:tr w14:paraId="388BA9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611D9CA4">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480F1C1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1.52</w:t>
                  </w:r>
                </w:p>
              </w:tc>
              <w:tc>
                <w:tcPr>
                  <w:tcW w:w="581" w:type="pct"/>
                  <w:tcBorders>
                    <w:tl2br w:val="nil"/>
                    <w:tr2bl w:val="nil"/>
                  </w:tcBorders>
                  <w:vAlign w:val="center"/>
                </w:tcPr>
                <w:p w14:paraId="06B66AE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1.75</w:t>
                  </w:r>
                </w:p>
              </w:tc>
              <w:tc>
                <w:tcPr>
                  <w:tcW w:w="565" w:type="pct"/>
                  <w:tcBorders>
                    <w:tl2br w:val="nil"/>
                    <w:tr2bl w:val="nil"/>
                  </w:tcBorders>
                  <w:vAlign w:val="center"/>
                </w:tcPr>
                <w:p w14:paraId="1F2F64F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1.65</w:t>
                  </w:r>
                </w:p>
              </w:tc>
              <w:tc>
                <w:tcPr>
                  <w:tcW w:w="449" w:type="pct"/>
                  <w:tcBorders>
                    <w:tl2br w:val="nil"/>
                    <w:tr2bl w:val="nil"/>
                  </w:tcBorders>
                  <w:noWrap/>
                  <w:vAlign w:val="center"/>
                </w:tcPr>
                <w:p w14:paraId="784099F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w:t>
                  </w:r>
                </w:p>
              </w:tc>
              <w:tc>
                <w:tcPr>
                  <w:tcW w:w="483" w:type="pct"/>
                  <w:tcBorders>
                    <w:tl2br w:val="nil"/>
                    <w:tr2bl w:val="nil"/>
                  </w:tcBorders>
                  <w:noWrap/>
                  <w:vAlign w:val="center"/>
                </w:tcPr>
                <w:p w14:paraId="6160655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1.52</w:t>
                  </w:r>
                </w:p>
              </w:tc>
              <w:tc>
                <w:tcPr>
                  <w:tcW w:w="574" w:type="pct"/>
                  <w:tcBorders>
                    <w:tl2br w:val="nil"/>
                    <w:tr2bl w:val="nil"/>
                  </w:tcBorders>
                  <w:noWrap/>
                  <w:vAlign w:val="center"/>
                </w:tcPr>
                <w:p w14:paraId="4A1C79C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1.75</w:t>
                  </w:r>
                </w:p>
              </w:tc>
              <w:tc>
                <w:tcPr>
                  <w:tcW w:w="509" w:type="pct"/>
                  <w:tcBorders>
                    <w:tl2br w:val="nil"/>
                    <w:tr2bl w:val="nil"/>
                  </w:tcBorders>
                  <w:noWrap/>
                  <w:vAlign w:val="center"/>
                </w:tcPr>
                <w:p w14:paraId="4178592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1.65</w:t>
                  </w:r>
                </w:p>
              </w:tc>
              <w:tc>
                <w:tcPr>
                  <w:tcW w:w="656" w:type="pct"/>
                  <w:tcBorders>
                    <w:tl2br w:val="nil"/>
                    <w:tr2bl w:val="nil"/>
                  </w:tcBorders>
                  <w:noWrap/>
                  <w:vAlign w:val="center"/>
                </w:tcPr>
                <w:p w14:paraId="4100034E">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超标</w:t>
                  </w:r>
                </w:p>
              </w:tc>
            </w:tr>
            <w:tr w14:paraId="434872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60F7DE67">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201C0FD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1.51</w:t>
                  </w:r>
                </w:p>
              </w:tc>
              <w:tc>
                <w:tcPr>
                  <w:tcW w:w="581" w:type="pct"/>
                  <w:tcBorders>
                    <w:tl2br w:val="nil"/>
                    <w:tr2bl w:val="nil"/>
                  </w:tcBorders>
                  <w:vAlign w:val="center"/>
                </w:tcPr>
                <w:p w14:paraId="6F98F06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1.8</w:t>
                  </w:r>
                </w:p>
              </w:tc>
              <w:tc>
                <w:tcPr>
                  <w:tcW w:w="565" w:type="pct"/>
                  <w:tcBorders>
                    <w:tl2br w:val="nil"/>
                    <w:tr2bl w:val="nil"/>
                  </w:tcBorders>
                  <w:vAlign w:val="center"/>
                </w:tcPr>
                <w:p w14:paraId="594B102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1.69</w:t>
                  </w:r>
                </w:p>
              </w:tc>
              <w:tc>
                <w:tcPr>
                  <w:tcW w:w="449" w:type="pct"/>
                  <w:tcBorders>
                    <w:tl2br w:val="nil"/>
                    <w:tr2bl w:val="nil"/>
                  </w:tcBorders>
                  <w:noWrap/>
                  <w:vAlign w:val="center"/>
                </w:tcPr>
                <w:p w14:paraId="2FB6C01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w:t>
                  </w:r>
                </w:p>
              </w:tc>
              <w:tc>
                <w:tcPr>
                  <w:tcW w:w="483" w:type="pct"/>
                  <w:tcBorders>
                    <w:tl2br w:val="nil"/>
                    <w:tr2bl w:val="nil"/>
                  </w:tcBorders>
                  <w:noWrap/>
                  <w:vAlign w:val="center"/>
                </w:tcPr>
                <w:p w14:paraId="10F4271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1.51</w:t>
                  </w:r>
                </w:p>
              </w:tc>
              <w:tc>
                <w:tcPr>
                  <w:tcW w:w="574" w:type="pct"/>
                  <w:tcBorders>
                    <w:tl2br w:val="nil"/>
                    <w:tr2bl w:val="nil"/>
                  </w:tcBorders>
                  <w:noWrap/>
                  <w:vAlign w:val="center"/>
                </w:tcPr>
                <w:p w14:paraId="018C9D6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1.80</w:t>
                  </w:r>
                </w:p>
              </w:tc>
              <w:tc>
                <w:tcPr>
                  <w:tcW w:w="509" w:type="pct"/>
                  <w:tcBorders>
                    <w:tl2br w:val="nil"/>
                    <w:tr2bl w:val="nil"/>
                  </w:tcBorders>
                  <w:noWrap/>
                  <w:vAlign w:val="center"/>
                </w:tcPr>
                <w:p w14:paraId="0A7F88E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1.69</w:t>
                  </w:r>
                </w:p>
              </w:tc>
              <w:tc>
                <w:tcPr>
                  <w:tcW w:w="656" w:type="pct"/>
                  <w:tcBorders>
                    <w:tl2br w:val="nil"/>
                    <w:tr2bl w:val="nil"/>
                  </w:tcBorders>
                  <w:noWrap/>
                  <w:vAlign w:val="center"/>
                </w:tcPr>
                <w:p w14:paraId="59B3015F">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超标</w:t>
                  </w:r>
                </w:p>
              </w:tc>
            </w:tr>
            <w:tr w14:paraId="41F2E5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restart"/>
                  <w:tcBorders>
                    <w:tl2br w:val="nil"/>
                    <w:tr2bl w:val="nil"/>
                  </w:tcBorders>
                  <w:vAlign w:val="center"/>
                </w:tcPr>
                <w:p w14:paraId="4D5D06D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总磷</w:t>
                  </w:r>
                </w:p>
              </w:tc>
              <w:tc>
                <w:tcPr>
                  <w:tcW w:w="580" w:type="pct"/>
                  <w:tcBorders>
                    <w:tl2br w:val="nil"/>
                    <w:tr2bl w:val="nil"/>
                  </w:tcBorders>
                  <w:vAlign w:val="center"/>
                </w:tcPr>
                <w:p w14:paraId="04DB5ED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0.17</w:t>
                  </w:r>
                </w:p>
              </w:tc>
              <w:tc>
                <w:tcPr>
                  <w:tcW w:w="581" w:type="pct"/>
                  <w:tcBorders>
                    <w:tl2br w:val="nil"/>
                    <w:tr2bl w:val="nil"/>
                  </w:tcBorders>
                  <w:vAlign w:val="center"/>
                </w:tcPr>
                <w:p w14:paraId="6ED2FD1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0.16</w:t>
                  </w:r>
                </w:p>
              </w:tc>
              <w:tc>
                <w:tcPr>
                  <w:tcW w:w="565" w:type="pct"/>
                  <w:tcBorders>
                    <w:tl2br w:val="nil"/>
                    <w:tr2bl w:val="nil"/>
                  </w:tcBorders>
                  <w:vAlign w:val="center"/>
                </w:tcPr>
                <w:p w14:paraId="2F43DC5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0.18</w:t>
                  </w:r>
                </w:p>
              </w:tc>
              <w:tc>
                <w:tcPr>
                  <w:tcW w:w="449" w:type="pct"/>
                  <w:tcBorders>
                    <w:tl2br w:val="nil"/>
                    <w:tr2bl w:val="nil"/>
                  </w:tcBorders>
                  <w:noWrap/>
                  <w:vAlign w:val="center"/>
                </w:tcPr>
                <w:p w14:paraId="59686A4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w:t>
                  </w:r>
                </w:p>
              </w:tc>
              <w:tc>
                <w:tcPr>
                  <w:tcW w:w="483" w:type="pct"/>
                  <w:tcBorders>
                    <w:tl2br w:val="nil"/>
                    <w:tr2bl w:val="nil"/>
                  </w:tcBorders>
                  <w:noWrap/>
                  <w:vAlign w:val="center"/>
                </w:tcPr>
                <w:p w14:paraId="15C288A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0.85</w:t>
                  </w:r>
                </w:p>
              </w:tc>
              <w:tc>
                <w:tcPr>
                  <w:tcW w:w="574" w:type="pct"/>
                  <w:tcBorders>
                    <w:tl2br w:val="nil"/>
                    <w:tr2bl w:val="nil"/>
                  </w:tcBorders>
                  <w:noWrap/>
                  <w:vAlign w:val="center"/>
                </w:tcPr>
                <w:p w14:paraId="63022EF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0.80</w:t>
                  </w:r>
                </w:p>
              </w:tc>
              <w:tc>
                <w:tcPr>
                  <w:tcW w:w="509" w:type="pct"/>
                  <w:tcBorders>
                    <w:tl2br w:val="nil"/>
                    <w:tr2bl w:val="nil"/>
                  </w:tcBorders>
                  <w:noWrap/>
                  <w:vAlign w:val="center"/>
                </w:tcPr>
                <w:p w14:paraId="65D1671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0.90</w:t>
                  </w:r>
                </w:p>
              </w:tc>
              <w:tc>
                <w:tcPr>
                  <w:tcW w:w="656" w:type="pct"/>
                  <w:tcBorders>
                    <w:tl2br w:val="nil"/>
                    <w:tr2bl w:val="nil"/>
                  </w:tcBorders>
                  <w:noWrap/>
                  <w:vAlign w:val="center"/>
                </w:tcPr>
                <w:p w14:paraId="2D6CCCA0">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693BDC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1E6899DD">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2DE3799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0.18</w:t>
                  </w:r>
                </w:p>
              </w:tc>
              <w:tc>
                <w:tcPr>
                  <w:tcW w:w="581" w:type="pct"/>
                  <w:tcBorders>
                    <w:tl2br w:val="nil"/>
                    <w:tr2bl w:val="nil"/>
                  </w:tcBorders>
                  <w:vAlign w:val="center"/>
                </w:tcPr>
                <w:p w14:paraId="0ABB980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0.17</w:t>
                  </w:r>
                </w:p>
              </w:tc>
              <w:tc>
                <w:tcPr>
                  <w:tcW w:w="565" w:type="pct"/>
                  <w:tcBorders>
                    <w:tl2br w:val="nil"/>
                    <w:tr2bl w:val="nil"/>
                  </w:tcBorders>
                  <w:vAlign w:val="center"/>
                </w:tcPr>
                <w:p w14:paraId="59C5058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0.17</w:t>
                  </w:r>
                </w:p>
              </w:tc>
              <w:tc>
                <w:tcPr>
                  <w:tcW w:w="449" w:type="pct"/>
                  <w:tcBorders>
                    <w:tl2br w:val="nil"/>
                    <w:tr2bl w:val="nil"/>
                  </w:tcBorders>
                  <w:noWrap/>
                  <w:vAlign w:val="center"/>
                </w:tcPr>
                <w:p w14:paraId="7672384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w:t>
                  </w:r>
                </w:p>
              </w:tc>
              <w:tc>
                <w:tcPr>
                  <w:tcW w:w="483" w:type="pct"/>
                  <w:tcBorders>
                    <w:tl2br w:val="nil"/>
                    <w:tr2bl w:val="nil"/>
                  </w:tcBorders>
                  <w:noWrap/>
                  <w:vAlign w:val="center"/>
                </w:tcPr>
                <w:p w14:paraId="16E6D28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0.90</w:t>
                  </w:r>
                </w:p>
              </w:tc>
              <w:tc>
                <w:tcPr>
                  <w:tcW w:w="574" w:type="pct"/>
                  <w:tcBorders>
                    <w:tl2br w:val="nil"/>
                    <w:tr2bl w:val="nil"/>
                  </w:tcBorders>
                  <w:noWrap/>
                  <w:vAlign w:val="center"/>
                </w:tcPr>
                <w:p w14:paraId="3026E53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0.85</w:t>
                  </w:r>
                </w:p>
              </w:tc>
              <w:tc>
                <w:tcPr>
                  <w:tcW w:w="509" w:type="pct"/>
                  <w:tcBorders>
                    <w:tl2br w:val="nil"/>
                    <w:tr2bl w:val="nil"/>
                  </w:tcBorders>
                  <w:noWrap/>
                  <w:vAlign w:val="center"/>
                </w:tcPr>
                <w:p w14:paraId="5F33A7C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0.85</w:t>
                  </w:r>
                </w:p>
              </w:tc>
              <w:tc>
                <w:tcPr>
                  <w:tcW w:w="656" w:type="pct"/>
                  <w:tcBorders>
                    <w:tl2br w:val="nil"/>
                    <w:tr2bl w:val="nil"/>
                  </w:tcBorders>
                  <w:noWrap/>
                  <w:vAlign w:val="center"/>
                </w:tcPr>
                <w:p w14:paraId="5BB927E1">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792C21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388F73F5">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7260542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0.16</w:t>
                  </w:r>
                </w:p>
              </w:tc>
              <w:tc>
                <w:tcPr>
                  <w:tcW w:w="581" w:type="pct"/>
                  <w:tcBorders>
                    <w:tl2br w:val="nil"/>
                    <w:tr2bl w:val="nil"/>
                  </w:tcBorders>
                  <w:vAlign w:val="center"/>
                </w:tcPr>
                <w:p w14:paraId="7489F17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0.18</w:t>
                  </w:r>
                </w:p>
              </w:tc>
              <w:tc>
                <w:tcPr>
                  <w:tcW w:w="565" w:type="pct"/>
                  <w:tcBorders>
                    <w:tl2br w:val="nil"/>
                    <w:tr2bl w:val="nil"/>
                  </w:tcBorders>
                  <w:vAlign w:val="center"/>
                </w:tcPr>
                <w:p w14:paraId="6B01B8E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0.17</w:t>
                  </w:r>
                </w:p>
              </w:tc>
              <w:tc>
                <w:tcPr>
                  <w:tcW w:w="449" w:type="pct"/>
                  <w:tcBorders>
                    <w:tl2br w:val="nil"/>
                    <w:tr2bl w:val="nil"/>
                  </w:tcBorders>
                  <w:noWrap/>
                  <w:vAlign w:val="center"/>
                </w:tcPr>
                <w:p w14:paraId="3C1F38D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w:t>
                  </w:r>
                </w:p>
              </w:tc>
              <w:tc>
                <w:tcPr>
                  <w:tcW w:w="483" w:type="pct"/>
                  <w:tcBorders>
                    <w:tl2br w:val="nil"/>
                    <w:tr2bl w:val="nil"/>
                  </w:tcBorders>
                  <w:noWrap/>
                  <w:vAlign w:val="center"/>
                </w:tcPr>
                <w:p w14:paraId="14D3FEC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0.80</w:t>
                  </w:r>
                </w:p>
              </w:tc>
              <w:tc>
                <w:tcPr>
                  <w:tcW w:w="574" w:type="pct"/>
                  <w:tcBorders>
                    <w:tl2br w:val="nil"/>
                    <w:tr2bl w:val="nil"/>
                  </w:tcBorders>
                  <w:noWrap/>
                  <w:vAlign w:val="center"/>
                </w:tcPr>
                <w:p w14:paraId="23E2B38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0.90</w:t>
                  </w:r>
                </w:p>
              </w:tc>
              <w:tc>
                <w:tcPr>
                  <w:tcW w:w="509" w:type="pct"/>
                  <w:tcBorders>
                    <w:tl2br w:val="nil"/>
                    <w:tr2bl w:val="nil"/>
                  </w:tcBorders>
                  <w:noWrap/>
                  <w:vAlign w:val="center"/>
                </w:tcPr>
                <w:p w14:paraId="4B0DE63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0.85</w:t>
                  </w:r>
                </w:p>
              </w:tc>
              <w:tc>
                <w:tcPr>
                  <w:tcW w:w="656" w:type="pct"/>
                  <w:tcBorders>
                    <w:tl2br w:val="nil"/>
                    <w:tr2bl w:val="nil"/>
                  </w:tcBorders>
                  <w:noWrap/>
                  <w:vAlign w:val="center"/>
                </w:tcPr>
                <w:p w14:paraId="6F465B5E">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573A9D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restart"/>
                  <w:tcBorders>
                    <w:tl2br w:val="nil"/>
                    <w:tr2bl w:val="nil"/>
                  </w:tcBorders>
                  <w:vAlign w:val="center"/>
                </w:tcPr>
                <w:p w14:paraId="2D1205E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石油类</w:t>
                  </w:r>
                </w:p>
              </w:tc>
              <w:tc>
                <w:tcPr>
                  <w:tcW w:w="580" w:type="pct"/>
                  <w:tcBorders>
                    <w:tl2br w:val="nil"/>
                    <w:tr2bl w:val="nil"/>
                  </w:tcBorders>
                  <w:vAlign w:val="center"/>
                </w:tcPr>
                <w:p w14:paraId="277983F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0.01L</w:t>
                  </w:r>
                </w:p>
              </w:tc>
              <w:tc>
                <w:tcPr>
                  <w:tcW w:w="581" w:type="pct"/>
                  <w:tcBorders>
                    <w:tl2br w:val="nil"/>
                    <w:tr2bl w:val="nil"/>
                  </w:tcBorders>
                  <w:vAlign w:val="center"/>
                </w:tcPr>
                <w:p w14:paraId="7BC7E5F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565" w:type="pct"/>
                  <w:tcBorders>
                    <w:tl2br w:val="nil"/>
                    <w:tr2bl w:val="nil"/>
                  </w:tcBorders>
                  <w:vAlign w:val="center"/>
                </w:tcPr>
                <w:p w14:paraId="3ECEACD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449" w:type="pct"/>
                  <w:tcBorders>
                    <w:tl2br w:val="nil"/>
                    <w:tr2bl w:val="nil"/>
                  </w:tcBorders>
                  <w:noWrap/>
                  <w:vAlign w:val="center"/>
                </w:tcPr>
                <w:p w14:paraId="19C8B7A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483" w:type="pct"/>
                  <w:tcBorders>
                    <w:tl2br w:val="nil"/>
                    <w:tr2bl w:val="nil"/>
                  </w:tcBorders>
                  <w:noWrap/>
                  <w:vAlign w:val="center"/>
                </w:tcPr>
                <w:p w14:paraId="443A407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0.10</w:t>
                  </w:r>
                </w:p>
              </w:tc>
              <w:tc>
                <w:tcPr>
                  <w:tcW w:w="574" w:type="pct"/>
                  <w:tcBorders>
                    <w:tl2br w:val="nil"/>
                    <w:tr2bl w:val="nil"/>
                  </w:tcBorders>
                  <w:noWrap/>
                  <w:vAlign w:val="center"/>
                </w:tcPr>
                <w:p w14:paraId="09C7AA9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0.20</w:t>
                  </w:r>
                </w:p>
              </w:tc>
              <w:tc>
                <w:tcPr>
                  <w:tcW w:w="509" w:type="pct"/>
                  <w:tcBorders>
                    <w:tl2br w:val="nil"/>
                    <w:tr2bl w:val="nil"/>
                  </w:tcBorders>
                  <w:noWrap/>
                  <w:vAlign w:val="center"/>
                </w:tcPr>
                <w:p w14:paraId="4BE80D6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0.20</w:t>
                  </w:r>
                </w:p>
              </w:tc>
              <w:tc>
                <w:tcPr>
                  <w:tcW w:w="656" w:type="pct"/>
                  <w:tcBorders>
                    <w:tl2br w:val="nil"/>
                    <w:tr2bl w:val="nil"/>
                  </w:tcBorders>
                  <w:noWrap/>
                  <w:vAlign w:val="center"/>
                </w:tcPr>
                <w:p w14:paraId="20577BF1">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2C8ADF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7EBDCB21">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5226A02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0.01L</w:t>
                  </w:r>
                </w:p>
              </w:tc>
              <w:tc>
                <w:tcPr>
                  <w:tcW w:w="581" w:type="pct"/>
                  <w:tcBorders>
                    <w:tl2br w:val="nil"/>
                    <w:tr2bl w:val="nil"/>
                  </w:tcBorders>
                  <w:vAlign w:val="center"/>
                </w:tcPr>
                <w:p w14:paraId="2EDBF3D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565" w:type="pct"/>
                  <w:tcBorders>
                    <w:tl2br w:val="nil"/>
                    <w:tr2bl w:val="nil"/>
                  </w:tcBorders>
                  <w:vAlign w:val="center"/>
                </w:tcPr>
                <w:p w14:paraId="4725F42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449" w:type="pct"/>
                  <w:tcBorders>
                    <w:tl2br w:val="nil"/>
                    <w:tr2bl w:val="nil"/>
                  </w:tcBorders>
                  <w:noWrap/>
                  <w:vAlign w:val="center"/>
                </w:tcPr>
                <w:p w14:paraId="1614DB8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483" w:type="pct"/>
                  <w:tcBorders>
                    <w:tl2br w:val="nil"/>
                    <w:tr2bl w:val="nil"/>
                  </w:tcBorders>
                  <w:noWrap/>
                  <w:vAlign w:val="center"/>
                </w:tcPr>
                <w:p w14:paraId="3936B5F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0.10</w:t>
                  </w:r>
                </w:p>
              </w:tc>
              <w:tc>
                <w:tcPr>
                  <w:tcW w:w="574" w:type="pct"/>
                  <w:tcBorders>
                    <w:tl2br w:val="nil"/>
                    <w:tr2bl w:val="nil"/>
                  </w:tcBorders>
                  <w:noWrap/>
                  <w:vAlign w:val="center"/>
                </w:tcPr>
                <w:p w14:paraId="02EEA79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0.20</w:t>
                  </w:r>
                </w:p>
              </w:tc>
              <w:tc>
                <w:tcPr>
                  <w:tcW w:w="509" w:type="pct"/>
                  <w:tcBorders>
                    <w:tl2br w:val="nil"/>
                    <w:tr2bl w:val="nil"/>
                  </w:tcBorders>
                  <w:noWrap/>
                  <w:vAlign w:val="center"/>
                </w:tcPr>
                <w:p w14:paraId="18A0C2F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0.20</w:t>
                  </w:r>
                </w:p>
              </w:tc>
              <w:tc>
                <w:tcPr>
                  <w:tcW w:w="656" w:type="pct"/>
                  <w:tcBorders>
                    <w:tl2br w:val="nil"/>
                    <w:tr2bl w:val="nil"/>
                  </w:tcBorders>
                  <w:noWrap/>
                  <w:vAlign w:val="center"/>
                </w:tcPr>
                <w:p w14:paraId="6A647FE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2EC3C5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669F19FA">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00B48AF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0.01L</w:t>
                  </w:r>
                </w:p>
              </w:tc>
              <w:tc>
                <w:tcPr>
                  <w:tcW w:w="581" w:type="pct"/>
                  <w:tcBorders>
                    <w:tl2br w:val="nil"/>
                    <w:tr2bl w:val="nil"/>
                  </w:tcBorders>
                  <w:vAlign w:val="center"/>
                </w:tcPr>
                <w:p w14:paraId="294455A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565" w:type="pct"/>
                  <w:tcBorders>
                    <w:tl2br w:val="nil"/>
                    <w:tr2bl w:val="nil"/>
                  </w:tcBorders>
                  <w:vAlign w:val="center"/>
                </w:tcPr>
                <w:p w14:paraId="3D97211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449" w:type="pct"/>
                  <w:tcBorders>
                    <w:tl2br w:val="nil"/>
                    <w:tr2bl w:val="nil"/>
                  </w:tcBorders>
                  <w:noWrap/>
                  <w:vAlign w:val="center"/>
                </w:tcPr>
                <w:p w14:paraId="69DE506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483" w:type="pct"/>
                  <w:tcBorders>
                    <w:tl2br w:val="nil"/>
                    <w:tr2bl w:val="nil"/>
                  </w:tcBorders>
                  <w:noWrap/>
                  <w:vAlign w:val="center"/>
                </w:tcPr>
                <w:p w14:paraId="10BE7E8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0.10</w:t>
                  </w:r>
                </w:p>
              </w:tc>
              <w:tc>
                <w:tcPr>
                  <w:tcW w:w="574" w:type="pct"/>
                  <w:tcBorders>
                    <w:tl2br w:val="nil"/>
                    <w:tr2bl w:val="nil"/>
                  </w:tcBorders>
                  <w:noWrap/>
                  <w:vAlign w:val="center"/>
                </w:tcPr>
                <w:p w14:paraId="7709642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0.20</w:t>
                  </w:r>
                </w:p>
              </w:tc>
              <w:tc>
                <w:tcPr>
                  <w:tcW w:w="509" w:type="pct"/>
                  <w:tcBorders>
                    <w:tl2br w:val="nil"/>
                    <w:tr2bl w:val="nil"/>
                  </w:tcBorders>
                  <w:noWrap/>
                  <w:vAlign w:val="center"/>
                </w:tcPr>
                <w:p w14:paraId="3E53F4D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0.20</w:t>
                  </w:r>
                </w:p>
              </w:tc>
              <w:tc>
                <w:tcPr>
                  <w:tcW w:w="656" w:type="pct"/>
                  <w:tcBorders>
                    <w:tl2br w:val="nil"/>
                    <w:tr2bl w:val="nil"/>
                  </w:tcBorders>
                  <w:noWrap/>
                  <w:vAlign w:val="center"/>
                </w:tcPr>
                <w:p w14:paraId="35E50A2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22C0FD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restart"/>
                  <w:tcBorders>
                    <w:tl2br w:val="nil"/>
                    <w:tr2bl w:val="nil"/>
                  </w:tcBorders>
                  <w:vAlign w:val="center"/>
                </w:tcPr>
                <w:p w14:paraId="2771FEF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硫化物</w:t>
                  </w:r>
                </w:p>
              </w:tc>
              <w:tc>
                <w:tcPr>
                  <w:tcW w:w="580" w:type="pct"/>
                  <w:tcBorders>
                    <w:tl2br w:val="nil"/>
                    <w:tr2bl w:val="nil"/>
                  </w:tcBorders>
                  <w:vAlign w:val="center"/>
                </w:tcPr>
                <w:p w14:paraId="5B4FFD3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581" w:type="pct"/>
                  <w:tcBorders>
                    <w:tl2br w:val="nil"/>
                    <w:tr2bl w:val="nil"/>
                  </w:tcBorders>
                  <w:vAlign w:val="center"/>
                </w:tcPr>
                <w:p w14:paraId="26B2D20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565" w:type="pct"/>
                  <w:tcBorders>
                    <w:tl2br w:val="nil"/>
                    <w:tr2bl w:val="nil"/>
                  </w:tcBorders>
                  <w:vAlign w:val="center"/>
                </w:tcPr>
                <w:p w14:paraId="352FE0E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449" w:type="pct"/>
                  <w:tcBorders>
                    <w:tl2br w:val="nil"/>
                    <w:tr2bl w:val="nil"/>
                  </w:tcBorders>
                  <w:noWrap/>
                  <w:vAlign w:val="center"/>
                </w:tcPr>
                <w:p w14:paraId="08D31A7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w:t>
                  </w:r>
                </w:p>
              </w:tc>
              <w:tc>
                <w:tcPr>
                  <w:tcW w:w="483" w:type="pct"/>
                  <w:tcBorders>
                    <w:tl2br w:val="nil"/>
                    <w:tr2bl w:val="nil"/>
                  </w:tcBorders>
                  <w:noWrap/>
                  <w:vAlign w:val="center"/>
                </w:tcPr>
                <w:p w14:paraId="25AC05D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574" w:type="pct"/>
                  <w:tcBorders>
                    <w:tl2br w:val="nil"/>
                    <w:tr2bl w:val="nil"/>
                  </w:tcBorders>
                  <w:noWrap/>
                  <w:vAlign w:val="center"/>
                </w:tcPr>
                <w:p w14:paraId="5368566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509" w:type="pct"/>
                  <w:tcBorders>
                    <w:tl2br w:val="nil"/>
                    <w:tr2bl w:val="nil"/>
                  </w:tcBorders>
                  <w:noWrap/>
                  <w:vAlign w:val="center"/>
                </w:tcPr>
                <w:p w14:paraId="64C6A23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656" w:type="pct"/>
                  <w:tcBorders>
                    <w:tl2br w:val="nil"/>
                    <w:tr2bl w:val="nil"/>
                  </w:tcBorders>
                  <w:noWrap/>
                  <w:vAlign w:val="center"/>
                </w:tcPr>
                <w:p w14:paraId="33496C00">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353C6C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60DAB408">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41397A9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581" w:type="pct"/>
                  <w:tcBorders>
                    <w:tl2br w:val="nil"/>
                    <w:tr2bl w:val="nil"/>
                  </w:tcBorders>
                  <w:vAlign w:val="center"/>
                </w:tcPr>
                <w:p w14:paraId="551FB01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565" w:type="pct"/>
                  <w:tcBorders>
                    <w:tl2br w:val="nil"/>
                    <w:tr2bl w:val="nil"/>
                  </w:tcBorders>
                  <w:vAlign w:val="center"/>
                </w:tcPr>
                <w:p w14:paraId="3BB4458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449" w:type="pct"/>
                  <w:tcBorders>
                    <w:tl2br w:val="nil"/>
                    <w:tr2bl w:val="nil"/>
                  </w:tcBorders>
                  <w:noWrap/>
                  <w:vAlign w:val="center"/>
                </w:tcPr>
                <w:p w14:paraId="0DDBB1E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w:t>
                  </w:r>
                </w:p>
              </w:tc>
              <w:tc>
                <w:tcPr>
                  <w:tcW w:w="483" w:type="pct"/>
                  <w:tcBorders>
                    <w:tl2br w:val="nil"/>
                    <w:tr2bl w:val="nil"/>
                  </w:tcBorders>
                  <w:noWrap/>
                  <w:vAlign w:val="center"/>
                </w:tcPr>
                <w:p w14:paraId="404468F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574" w:type="pct"/>
                  <w:tcBorders>
                    <w:tl2br w:val="nil"/>
                    <w:tr2bl w:val="nil"/>
                  </w:tcBorders>
                  <w:noWrap/>
                  <w:vAlign w:val="center"/>
                </w:tcPr>
                <w:p w14:paraId="1B7BD69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509" w:type="pct"/>
                  <w:tcBorders>
                    <w:tl2br w:val="nil"/>
                    <w:tr2bl w:val="nil"/>
                  </w:tcBorders>
                  <w:noWrap/>
                  <w:vAlign w:val="center"/>
                </w:tcPr>
                <w:p w14:paraId="78E38F2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656" w:type="pct"/>
                  <w:tcBorders>
                    <w:tl2br w:val="nil"/>
                    <w:tr2bl w:val="nil"/>
                  </w:tcBorders>
                  <w:noWrap/>
                  <w:vAlign w:val="center"/>
                </w:tcPr>
                <w:p w14:paraId="4CF6DB00">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3769AC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6A0D4C16">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1B2CCBE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581" w:type="pct"/>
                  <w:tcBorders>
                    <w:tl2br w:val="nil"/>
                    <w:tr2bl w:val="nil"/>
                  </w:tcBorders>
                  <w:vAlign w:val="center"/>
                </w:tcPr>
                <w:p w14:paraId="209608B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565" w:type="pct"/>
                  <w:tcBorders>
                    <w:tl2br w:val="nil"/>
                    <w:tr2bl w:val="nil"/>
                  </w:tcBorders>
                  <w:vAlign w:val="center"/>
                </w:tcPr>
                <w:p w14:paraId="36D96B7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449" w:type="pct"/>
                  <w:tcBorders>
                    <w:tl2br w:val="nil"/>
                    <w:tr2bl w:val="nil"/>
                  </w:tcBorders>
                  <w:noWrap/>
                  <w:vAlign w:val="center"/>
                </w:tcPr>
                <w:p w14:paraId="4DFC67E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w:t>
                  </w:r>
                </w:p>
              </w:tc>
              <w:tc>
                <w:tcPr>
                  <w:tcW w:w="483" w:type="pct"/>
                  <w:tcBorders>
                    <w:tl2br w:val="nil"/>
                    <w:tr2bl w:val="nil"/>
                  </w:tcBorders>
                  <w:noWrap/>
                  <w:vAlign w:val="center"/>
                </w:tcPr>
                <w:p w14:paraId="672BFC0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574" w:type="pct"/>
                  <w:tcBorders>
                    <w:tl2br w:val="nil"/>
                    <w:tr2bl w:val="nil"/>
                  </w:tcBorders>
                  <w:noWrap/>
                  <w:vAlign w:val="center"/>
                </w:tcPr>
                <w:p w14:paraId="1D70D8A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509" w:type="pct"/>
                  <w:tcBorders>
                    <w:tl2br w:val="nil"/>
                    <w:tr2bl w:val="nil"/>
                  </w:tcBorders>
                  <w:noWrap/>
                  <w:vAlign w:val="center"/>
                </w:tcPr>
                <w:p w14:paraId="0D349AB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656" w:type="pct"/>
                  <w:tcBorders>
                    <w:tl2br w:val="nil"/>
                    <w:tr2bl w:val="nil"/>
                  </w:tcBorders>
                  <w:noWrap/>
                  <w:vAlign w:val="center"/>
                </w:tcPr>
                <w:p w14:paraId="36215293">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5334EC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restart"/>
                  <w:tcBorders>
                    <w:tl2br w:val="nil"/>
                    <w:tr2bl w:val="nil"/>
                  </w:tcBorders>
                  <w:vAlign w:val="center"/>
                </w:tcPr>
                <w:p w14:paraId="6C03796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铁</w:t>
                  </w:r>
                </w:p>
              </w:tc>
              <w:tc>
                <w:tcPr>
                  <w:tcW w:w="580" w:type="pct"/>
                  <w:tcBorders>
                    <w:tl2br w:val="nil"/>
                    <w:tr2bl w:val="nil"/>
                  </w:tcBorders>
                  <w:vAlign w:val="center"/>
                </w:tcPr>
                <w:p w14:paraId="5C54910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0.03L</w:t>
                  </w:r>
                </w:p>
              </w:tc>
              <w:tc>
                <w:tcPr>
                  <w:tcW w:w="581" w:type="pct"/>
                  <w:tcBorders>
                    <w:tl2br w:val="nil"/>
                    <w:tr2bl w:val="nil"/>
                  </w:tcBorders>
                  <w:vAlign w:val="center"/>
                </w:tcPr>
                <w:p w14:paraId="334C66B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0.03L</w:t>
                  </w:r>
                </w:p>
              </w:tc>
              <w:tc>
                <w:tcPr>
                  <w:tcW w:w="565" w:type="pct"/>
                  <w:tcBorders>
                    <w:tl2br w:val="nil"/>
                    <w:tr2bl w:val="nil"/>
                  </w:tcBorders>
                  <w:vAlign w:val="center"/>
                </w:tcPr>
                <w:p w14:paraId="150DB55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0.03L</w:t>
                  </w:r>
                </w:p>
              </w:tc>
              <w:tc>
                <w:tcPr>
                  <w:tcW w:w="449" w:type="pct"/>
                  <w:tcBorders>
                    <w:tl2br w:val="nil"/>
                    <w:tr2bl w:val="nil"/>
                  </w:tcBorders>
                  <w:noWrap/>
                  <w:vAlign w:val="center"/>
                </w:tcPr>
                <w:p w14:paraId="49F317F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0.3</w:t>
                  </w:r>
                </w:p>
              </w:tc>
              <w:tc>
                <w:tcPr>
                  <w:tcW w:w="483" w:type="pct"/>
                  <w:tcBorders>
                    <w:tl2br w:val="nil"/>
                    <w:tr2bl w:val="nil"/>
                  </w:tcBorders>
                  <w:noWrap/>
                  <w:vAlign w:val="center"/>
                </w:tcPr>
                <w:p w14:paraId="0DEBF3A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574" w:type="pct"/>
                  <w:tcBorders>
                    <w:tl2br w:val="nil"/>
                    <w:tr2bl w:val="nil"/>
                  </w:tcBorders>
                  <w:noWrap/>
                  <w:vAlign w:val="center"/>
                </w:tcPr>
                <w:p w14:paraId="2FEFA7C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509" w:type="pct"/>
                  <w:tcBorders>
                    <w:tl2br w:val="nil"/>
                    <w:tr2bl w:val="nil"/>
                  </w:tcBorders>
                  <w:noWrap/>
                  <w:vAlign w:val="center"/>
                </w:tcPr>
                <w:p w14:paraId="18049A7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656" w:type="pct"/>
                  <w:tcBorders>
                    <w:tl2br w:val="nil"/>
                    <w:tr2bl w:val="nil"/>
                  </w:tcBorders>
                  <w:noWrap/>
                  <w:vAlign w:val="center"/>
                </w:tcPr>
                <w:p w14:paraId="03A7B0C3">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7F4399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3059258D">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6702702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0.03L</w:t>
                  </w:r>
                </w:p>
              </w:tc>
              <w:tc>
                <w:tcPr>
                  <w:tcW w:w="581" w:type="pct"/>
                  <w:tcBorders>
                    <w:tl2br w:val="nil"/>
                    <w:tr2bl w:val="nil"/>
                  </w:tcBorders>
                  <w:vAlign w:val="center"/>
                </w:tcPr>
                <w:p w14:paraId="63968C5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0.03L</w:t>
                  </w:r>
                </w:p>
              </w:tc>
              <w:tc>
                <w:tcPr>
                  <w:tcW w:w="565" w:type="pct"/>
                  <w:tcBorders>
                    <w:tl2br w:val="nil"/>
                    <w:tr2bl w:val="nil"/>
                  </w:tcBorders>
                  <w:vAlign w:val="center"/>
                </w:tcPr>
                <w:p w14:paraId="2193F56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0.03L</w:t>
                  </w:r>
                </w:p>
              </w:tc>
              <w:tc>
                <w:tcPr>
                  <w:tcW w:w="449" w:type="pct"/>
                  <w:tcBorders>
                    <w:tl2br w:val="nil"/>
                    <w:tr2bl w:val="nil"/>
                  </w:tcBorders>
                  <w:noWrap/>
                  <w:vAlign w:val="center"/>
                </w:tcPr>
                <w:p w14:paraId="443B131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0.3</w:t>
                  </w:r>
                </w:p>
              </w:tc>
              <w:tc>
                <w:tcPr>
                  <w:tcW w:w="483" w:type="pct"/>
                  <w:tcBorders>
                    <w:tl2br w:val="nil"/>
                    <w:tr2bl w:val="nil"/>
                  </w:tcBorders>
                  <w:noWrap/>
                  <w:vAlign w:val="center"/>
                </w:tcPr>
                <w:p w14:paraId="29573D0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574" w:type="pct"/>
                  <w:tcBorders>
                    <w:tl2br w:val="nil"/>
                    <w:tr2bl w:val="nil"/>
                  </w:tcBorders>
                  <w:noWrap/>
                  <w:vAlign w:val="center"/>
                </w:tcPr>
                <w:p w14:paraId="12CE1FA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509" w:type="pct"/>
                  <w:tcBorders>
                    <w:tl2br w:val="nil"/>
                    <w:tr2bl w:val="nil"/>
                  </w:tcBorders>
                  <w:noWrap/>
                  <w:vAlign w:val="center"/>
                </w:tcPr>
                <w:p w14:paraId="08A1DE4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656" w:type="pct"/>
                  <w:tcBorders>
                    <w:tl2br w:val="nil"/>
                    <w:tr2bl w:val="nil"/>
                  </w:tcBorders>
                  <w:noWrap/>
                  <w:vAlign w:val="center"/>
                </w:tcPr>
                <w:p w14:paraId="44DA217D">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621C22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5F5F86A2">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6EBCECC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0.03L</w:t>
                  </w:r>
                </w:p>
              </w:tc>
              <w:tc>
                <w:tcPr>
                  <w:tcW w:w="581" w:type="pct"/>
                  <w:tcBorders>
                    <w:tl2br w:val="nil"/>
                    <w:tr2bl w:val="nil"/>
                  </w:tcBorders>
                  <w:vAlign w:val="center"/>
                </w:tcPr>
                <w:p w14:paraId="60D5B9F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0.03L</w:t>
                  </w:r>
                </w:p>
              </w:tc>
              <w:tc>
                <w:tcPr>
                  <w:tcW w:w="565" w:type="pct"/>
                  <w:tcBorders>
                    <w:tl2br w:val="nil"/>
                    <w:tr2bl w:val="nil"/>
                  </w:tcBorders>
                  <w:vAlign w:val="center"/>
                </w:tcPr>
                <w:p w14:paraId="024CCAE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0.03L</w:t>
                  </w:r>
                </w:p>
              </w:tc>
              <w:tc>
                <w:tcPr>
                  <w:tcW w:w="449" w:type="pct"/>
                  <w:tcBorders>
                    <w:tl2br w:val="nil"/>
                    <w:tr2bl w:val="nil"/>
                  </w:tcBorders>
                  <w:noWrap/>
                  <w:vAlign w:val="center"/>
                </w:tcPr>
                <w:p w14:paraId="57107E9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0.3</w:t>
                  </w:r>
                </w:p>
              </w:tc>
              <w:tc>
                <w:tcPr>
                  <w:tcW w:w="483" w:type="pct"/>
                  <w:tcBorders>
                    <w:tl2br w:val="nil"/>
                    <w:tr2bl w:val="nil"/>
                  </w:tcBorders>
                  <w:noWrap/>
                  <w:vAlign w:val="center"/>
                </w:tcPr>
                <w:p w14:paraId="2ED4768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574" w:type="pct"/>
                  <w:tcBorders>
                    <w:tl2br w:val="nil"/>
                    <w:tr2bl w:val="nil"/>
                  </w:tcBorders>
                  <w:noWrap/>
                  <w:vAlign w:val="center"/>
                </w:tcPr>
                <w:p w14:paraId="27D4724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509" w:type="pct"/>
                  <w:tcBorders>
                    <w:tl2br w:val="nil"/>
                    <w:tr2bl w:val="nil"/>
                  </w:tcBorders>
                  <w:noWrap/>
                  <w:vAlign w:val="center"/>
                </w:tcPr>
                <w:p w14:paraId="1C303DE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656" w:type="pct"/>
                  <w:tcBorders>
                    <w:tl2br w:val="nil"/>
                    <w:tr2bl w:val="nil"/>
                  </w:tcBorders>
                  <w:noWrap/>
                  <w:vAlign w:val="center"/>
                </w:tcPr>
                <w:p w14:paraId="01C44873">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684164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restart"/>
                  <w:tcBorders>
                    <w:tl2br w:val="nil"/>
                    <w:tr2bl w:val="nil"/>
                  </w:tcBorders>
                  <w:vAlign w:val="center"/>
                </w:tcPr>
                <w:p w14:paraId="6C6CB68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锰</w:t>
                  </w:r>
                </w:p>
              </w:tc>
              <w:tc>
                <w:tcPr>
                  <w:tcW w:w="580" w:type="pct"/>
                  <w:tcBorders>
                    <w:tl2br w:val="nil"/>
                    <w:tr2bl w:val="nil"/>
                  </w:tcBorders>
                  <w:vAlign w:val="center"/>
                </w:tcPr>
                <w:p w14:paraId="21A22C3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0.01L</w:t>
                  </w:r>
                </w:p>
              </w:tc>
              <w:tc>
                <w:tcPr>
                  <w:tcW w:w="581" w:type="pct"/>
                  <w:tcBorders>
                    <w:tl2br w:val="nil"/>
                    <w:tr2bl w:val="nil"/>
                  </w:tcBorders>
                  <w:vAlign w:val="center"/>
                </w:tcPr>
                <w:p w14:paraId="6585DF4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0.01L</w:t>
                  </w:r>
                </w:p>
              </w:tc>
              <w:tc>
                <w:tcPr>
                  <w:tcW w:w="565" w:type="pct"/>
                  <w:tcBorders>
                    <w:tl2br w:val="nil"/>
                    <w:tr2bl w:val="nil"/>
                  </w:tcBorders>
                  <w:vAlign w:val="center"/>
                </w:tcPr>
                <w:p w14:paraId="5BD3058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0.01L</w:t>
                  </w:r>
                </w:p>
              </w:tc>
              <w:tc>
                <w:tcPr>
                  <w:tcW w:w="449" w:type="pct"/>
                  <w:tcBorders>
                    <w:tl2br w:val="nil"/>
                    <w:tr2bl w:val="nil"/>
                  </w:tcBorders>
                  <w:noWrap/>
                  <w:vAlign w:val="center"/>
                </w:tcPr>
                <w:p w14:paraId="4987CD0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w:t>
                  </w:r>
                </w:p>
              </w:tc>
              <w:tc>
                <w:tcPr>
                  <w:tcW w:w="483" w:type="pct"/>
                  <w:tcBorders>
                    <w:tl2br w:val="nil"/>
                    <w:tr2bl w:val="nil"/>
                  </w:tcBorders>
                  <w:noWrap/>
                  <w:vAlign w:val="center"/>
                </w:tcPr>
                <w:p w14:paraId="79D08BB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574" w:type="pct"/>
                  <w:tcBorders>
                    <w:tl2br w:val="nil"/>
                    <w:tr2bl w:val="nil"/>
                  </w:tcBorders>
                  <w:noWrap/>
                  <w:vAlign w:val="center"/>
                </w:tcPr>
                <w:p w14:paraId="508C919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509" w:type="pct"/>
                  <w:tcBorders>
                    <w:tl2br w:val="nil"/>
                    <w:tr2bl w:val="nil"/>
                  </w:tcBorders>
                  <w:noWrap/>
                  <w:vAlign w:val="center"/>
                </w:tcPr>
                <w:p w14:paraId="3BBB45C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656" w:type="pct"/>
                  <w:tcBorders>
                    <w:tl2br w:val="nil"/>
                    <w:tr2bl w:val="nil"/>
                  </w:tcBorders>
                  <w:noWrap/>
                  <w:vAlign w:val="center"/>
                </w:tcPr>
                <w:p w14:paraId="1A707B93">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4851DE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2FAD383D">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23535BD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0.01L</w:t>
                  </w:r>
                </w:p>
              </w:tc>
              <w:tc>
                <w:tcPr>
                  <w:tcW w:w="581" w:type="pct"/>
                  <w:tcBorders>
                    <w:tl2br w:val="nil"/>
                    <w:tr2bl w:val="nil"/>
                  </w:tcBorders>
                  <w:vAlign w:val="center"/>
                </w:tcPr>
                <w:p w14:paraId="4FF7459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0.01L</w:t>
                  </w:r>
                </w:p>
              </w:tc>
              <w:tc>
                <w:tcPr>
                  <w:tcW w:w="565" w:type="pct"/>
                  <w:tcBorders>
                    <w:tl2br w:val="nil"/>
                    <w:tr2bl w:val="nil"/>
                  </w:tcBorders>
                  <w:vAlign w:val="center"/>
                </w:tcPr>
                <w:p w14:paraId="5C35565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0.01L</w:t>
                  </w:r>
                </w:p>
              </w:tc>
              <w:tc>
                <w:tcPr>
                  <w:tcW w:w="449" w:type="pct"/>
                  <w:tcBorders>
                    <w:tl2br w:val="nil"/>
                    <w:tr2bl w:val="nil"/>
                  </w:tcBorders>
                  <w:noWrap/>
                  <w:vAlign w:val="center"/>
                </w:tcPr>
                <w:p w14:paraId="053E596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w:t>
                  </w:r>
                </w:p>
              </w:tc>
              <w:tc>
                <w:tcPr>
                  <w:tcW w:w="483" w:type="pct"/>
                  <w:tcBorders>
                    <w:tl2br w:val="nil"/>
                    <w:tr2bl w:val="nil"/>
                  </w:tcBorders>
                  <w:noWrap/>
                  <w:vAlign w:val="center"/>
                </w:tcPr>
                <w:p w14:paraId="43F9237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574" w:type="pct"/>
                  <w:tcBorders>
                    <w:tl2br w:val="nil"/>
                    <w:tr2bl w:val="nil"/>
                  </w:tcBorders>
                  <w:noWrap/>
                  <w:vAlign w:val="center"/>
                </w:tcPr>
                <w:p w14:paraId="47D2F5B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509" w:type="pct"/>
                  <w:tcBorders>
                    <w:tl2br w:val="nil"/>
                    <w:tr2bl w:val="nil"/>
                  </w:tcBorders>
                  <w:noWrap/>
                  <w:vAlign w:val="center"/>
                </w:tcPr>
                <w:p w14:paraId="0328FA4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656" w:type="pct"/>
                  <w:tcBorders>
                    <w:tl2br w:val="nil"/>
                    <w:tr2bl w:val="nil"/>
                  </w:tcBorders>
                  <w:noWrap/>
                  <w:vAlign w:val="center"/>
                </w:tcPr>
                <w:p w14:paraId="5616EB68">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455154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07D7B6C4">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798B279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0.01L</w:t>
                  </w:r>
                </w:p>
              </w:tc>
              <w:tc>
                <w:tcPr>
                  <w:tcW w:w="581" w:type="pct"/>
                  <w:tcBorders>
                    <w:tl2br w:val="nil"/>
                    <w:tr2bl w:val="nil"/>
                  </w:tcBorders>
                  <w:vAlign w:val="center"/>
                </w:tcPr>
                <w:p w14:paraId="6A7B848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0.01L</w:t>
                  </w:r>
                </w:p>
              </w:tc>
              <w:tc>
                <w:tcPr>
                  <w:tcW w:w="565" w:type="pct"/>
                  <w:tcBorders>
                    <w:tl2br w:val="nil"/>
                    <w:tr2bl w:val="nil"/>
                  </w:tcBorders>
                  <w:vAlign w:val="center"/>
                </w:tcPr>
                <w:p w14:paraId="1F982EC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0.01L</w:t>
                  </w:r>
                </w:p>
              </w:tc>
              <w:tc>
                <w:tcPr>
                  <w:tcW w:w="449" w:type="pct"/>
                  <w:tcBorders>
                    <w:tl2br w:val="nil"/>
                    <w:tr2bl w:val="nil"/>
                  </w:tcBorders>
                  <w:noWrap/>
                  <w:vAlign w:val="center"/>
                </w:tcPr>
                <w:p w14:paraId="2C48165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w:t>
                  </w:r>
                </w:p>
              </w:tc>
              <w:tc>
                <w:tcPr>
                  <w:tcW w:w="483" w:type="pct"/>
                  <w:tcBorders>
                    <w:tl2br w:val="nil"/>
                    <w:tr2bl w:val="nil"/>
                  </w:tcBorders>
                  <w:noWrap/>
                  <w:vAlign w:val="center"/>
                </w:tcPr>
                <w:p w14:paraId="648DACF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574" w:type="pct"/>
                  <w:tcBorders>
                    <w:tl2br w:val="nil"/>
                    <w:tr2bl w:val="nil"/>
                  </w:tcBorders>
                  <w:noWrap/>
                  <w:vAlign w:val="center"/>
                </w:tcPr>
                <w:p w14:paraId="2A327E9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509" w:type="pct"/>
                  <w:tcBorders>
                    <w:tl2br w:val="nil"/>
                    <w:tr2bl w:val="nil"/>
                  </w:tcBorders>
                  <w:noWrap/>
                  <w:vAlign w:val="center"/>
                </w:tcPr>
                <w:p w14:paraId="6E302DE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656" w:type="pct"/>
                  <w:tcBorders>
                    <w:tl2br w:val="nil"/>
                    <w:tr2bl w:val="nil"/>
                  </w:tcBorders>
                  <w:noWrap/>
                  <w:vAlign w:val="center"/>
                </w:tcPr>
                <w:p w14:paraId="495E64E4">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3B48E4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restart"/>
                  <w:tcBorders>
                    <w:tl2br w:val="nil"/>
                    <w:tr2bl w:val="nil"/>
                  </w:tcBorders>
                  <w:vAlign w:val="center"/>
                </w:tcPr>
                <w:p w14:paraId="5C22710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六价铬</w:t>
                  </w:r>
                </w:p>
              </w:tc>
              <w:tc>
                <w:tcPr>
                  <w:tcW w:w="580" w:type="pct"/>
                  <w:tcBorders>
                    <w:tl2br w:val="nil"/>
                    <w:tr2bl w:val="nil"/>
                  </w:tcBorders>
                  <w:vAlign w:val="center"/>
                </w:tcPr>
                <w:p w14:paraId="3057404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0.004</w:t>
                  </w:r>
                </w:p>
              </w:tc>
              <w:tc>
                <w:tcPr>
                  <w:tcW w:w="581" w:type="pct"/>
                  <w:tcBorders>
                    <w:tl2br w:val="nil"/>
                    <w:tr2bl w:val="nil"/>
                  </w:tcBorders>
                  <w:vAlign w:val="center"/>
                </w:tcPr>
                <w:p w14:paraId="1E49039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0.004</w:t>
                  </w:r>
                </w:p>
              </w:tc>
              <w:tc>
                <w:tcPr>
                  <w:tcW w:w="565" w:type="pct"/>
                  <w:tcBorders>
                    <w:tl2br w:val="nil"/>
                    <w:tr2bl w:val="nil"/>
                  </w:tcBorders>
                  <w:vAlign w:val="center"/>
                </w:tcPr>
                <w:p w14:paraId="721B62A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0.004</w:t>
                  </w:r>
                </w:p>
              </w:tc>
              <w:tc>
                <w:tcPr>
                  <w:tcW w:w="449" w:type="pct"/>
                  <w:tcBorders>
                    <w:tl2br w:val="nil"/>
                    <w:tr2bl w:val="nil"/>
                  </w:tcBorders>
                  <w:noWrap/>
                  <w:vAlign w:val="center"/>
                </w:tcPr>
                <w:p w14:paraId="1FA3FC8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483" w:type="pct"/>
                  <w:tcBorders>
                    <w:tl2br w:val="nil"/>
                    <w:tr2bl w:val="nil"/>
                  </w:tcBorders>
                  <w:noWrap/>
                  <w:vAlign w:val="center"/>
                </w:tcPr>
                <w:p w14:paraId="711C987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0.08</w:t>
                  </w:r>
                </w:p>
              </w:tc>
              <w:tc>
                <w:tcPr>
                  <w:tcW w:w="574" w:type="pct"/>
                  <w:tcBorders>
                    <w:tl2br w:val="nil"/>
                    <w:tr2bl w:val="nil"/>
                  </w:tcBorders>
                  <w:noWrap/>
                  <w:vAlign w:val="center"/>
                </w:tcPr>
                <w:p w14:paraId="7111247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0.08</w:t>
                  </w:r>
                </w:p>
              </w:tc>
              <w:tc>
                <w:tcPr>
                  <w:tcW w:w="509" w:type="pct"/>
                  <w:tcBorders>
                    <w:tl2br w:val="nil"/>
                    <w:tr2bl w:val="nil"/>
                  </w:tcBorders>
                  <w:noWrap/>
                  <w:vAlign w:val="center"/>
                </w:tcPr>
                <w:p w14:paraId="39B15F3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0.08</w:t>
                  </w:r>
                </w:p>
              </w:tc>
              <w:tc>
                <w:tcPr>
                  <w:tcW w:w="656" w:type="pct"/>
                  <w:tcBorders>
                    <w:tl2br w:val="nil"/>
                    <w:tr2bl w:val="nil"/>
                  </w:tcBorders>
                  <w:noWrap/>
                  <w:vAlign w:val="center"/>
                </w:tcPr>
                <w:p w14:paraId="649ECDC5">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5FDA69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76606B68">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6C055B9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0.005</w:t>
                  </w:r>
                </w:p>
              </w:tc>
              <w:tc>
                <w:tcPr>
                  <w:tcW w:w="581" w:type="pct"/>
                  <w:tcBorders>
                    <w:tl2br w:val="nil"/>
                    <w:tr2bl w:val="nil"/>
                  </w:tcBorders>
                  <w:vAlign w:val="center"/>
                </w:tcPr>
                <w:p w14:paraId="2497451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0.004</w:t>
                  </w:r>
                </w:p>
              </w:tc>
              <w:tc>
                <w:tcPr>
                  <w:tcW w:w="565" w:type="pct"/>
                  <w:tcBorders>
                    <w:tl2br w:val="nil"/>
                    <w:tr2bl w:val="nil"/>
                  </w:tcBorders>
                  <w:vAlign w:val="center"/>
                </w:tcPr>
                <w:p w14:paraId="5A4139D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0.005</w:t>
                  </w:r>
                </w:p>
              </w:tc>
              <w:tc>
                <w:tcPr>
                  <w:tcW w:w="449" w:type="pct"/>
                  <w:tcBorders>
                    <w:tl2br w:val="nil"/>
                    <w:tr2bl w:val="nil"/>
                  </w:tcBorders>
                  <w:noWrap/>
                  <w:vAlign w:val="center"/>
                </w:tcPr>
                <w:p w14:paraId="13560FA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483" w:type="pct"/>
                  <w:tcBorders>
                    <w:tl2br w:val="nil"/>
                    <w:tr2bl w:val="nil"/>
                  </w:tcBorders>
                  <w:noWrap/>
                  <w:vAlign w:val="center"/>
                </w:tcPr>
                <w:p w14:paraId="67A36C3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0.10</w:t>
                  </w:r>
                </w:p>
              </w:tc>
              <w:tc>
                <w:tcPr>
                  <w:tcW w:w="574" w:type="pct"/>
                  <w:tcBorders>
                    <w:tl2br w:val="nil"/>
                    <w:tr2bl w:val="nil"/>
                  </w:tcBorders>
                  <w:noWrap/>
                  <w:vAlign w:val="center"/>
                </w:tcPr>
                <w:p w14:paraId="037C093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0.08</w:t>
                  </w:r>
                </w:p>
              </w:tc>
              <w:tc>
                <w:tcPr>
                  <w:tcW w:w="509" w:type="pct"/>
                  <w:tcBorders>
                    <w:tl2br w:val="nil"/>
                    <w:tr2bl w:val="nil"/>
                  </w:tcBorders>
                  <w:noWrap/>
                  <w:vAlign w:val="center"/>
                </w:tcPr>
                <w:p w14:paraId="487A97D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0.10</w:t>
                  </w:r>
                </w:p>
              </w:tc>
              <w:tc>
                <w:tcPr>
                  <w:tcW w:w="656" w:type="pct"/>
                  <w:tcBorders>
                    <w:tl2br w:val="nil"/>
                    <w:tr2bl w:val="nil"/>
                  </w:tcBorders>
                  <w:noWrap/>
                  <w:vAlign w:val="center"/>
                </w:tcPr>
                <w:p w14:paraId="2220D00E">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5A0624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5911FB7B">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21E982E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0.005</w:t>
                  </w:r>
                </w:p>
              </w:tc>
              <w:tc>
                <w:tcPr>
                  <w:tcW w:w="581" w:type="pct"/>
                  <w:tcBorders>
                    <w:tl2br w:val="nil"/>
                    <w:tr2bl w:val="nil"/>
                  </w:tcBorders>
                  <w:vAlign w:val="center"/>
                </w:tcPr>
                <w:p w14:paraId="16500DB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0.004</w:t>
                  </w:r>
                </w:p>
              </w:tc>
              <w:tc>
                <w:tcPr>
                  <w:tcW w:w="565" w:type="pct"/>
                  <w:tcBorders>
                    <w:tl2br w:val="nil"/>
                    <w:tr2bl w:val="nil"/>
                  </w:tcBorders>
                  <w:vAlign w:val="center"/>
                </w:tcPr>
                <w:p w14:paraId="182A327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0.004</w:t>
                  </w:r>
                </w:p>
              </w:tc>
              <w:tc>
                <w:tcPr>
                  <w:tcW w:w="449" w:type="pct"/>
                  <w:tcBorders>
                    <w:tl2br w:val="nil"/>
                    <w:tr2bl w:val="nil"/>
                  </w:tcBorders>
                  <w:noWrap/>
                  <w:vAlign w:val="center"/>
                </w:tcPr>
                <w:p w14:paraId="25DEE00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483" w:type="pct"/>
                  <w:tcBorders>
                    <w:tl2br w:val="nil"/>
                    <w:tr2bl w:val="nil"/>
                  </w:tcBorders>
                  <w:noWrap/>
                  <w:vAlign w:val="center"/>
                </w:tcPr>
                <w:p w14:paraId="7245AD2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0.10</w:t>
                  </w:r>
                </w:p>
              </w:tc>
              <w:tc>
                <w:tcPr>
                  <w:tcW w:w="574" w:type="pct"/>
                  <w:tcBorders>
                    <w:tl2br w:val="nil"/>
                    <w:tr2bl w:val="nil"/>
                  </w:tcBorders>
                  <w:noWrap/>
                  <w:vAlign w:val="center"/>
                </w:tcPr>
                <w:p w14:paraId="7611BDD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0.08</w:t>
                  </w:r>
                </w:p>
              </w:tc>
              <w:tc>
                <w:tcPr>
                  <w:tcW w:w="509" w:type="pct"/>
                  <w:tcBorders>
                    <w:tl2br w:val="nil"/>
                    <w:tr2bl w:val="nil"/>
                  </w:tcBorders>
                  <w:noWrap/>
                  <w:vAlign w:val="center"/>
                </w:tcPr>
                <w:p w14:paraId="21ACABF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0.08</w:t>
                  </w:r>
                </w:p>
              </w:tc>
              <w:tc>
                <w:tcPr>
                  <w:tcW w:w="656" w:type="pct"/>
                  <w:tcBorders>
                    <w:tl2br w:val="nil"/>
                    <w:tr2bl w:val="nil"/>
                  </w:tcBorders>
                  <w:noWrap/>
                  <w:vAlign w:val="center"/>
                </w:tcPr>
                <w:p w14:paraId="784DC186">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7F0315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restart"/>
                  <w:tcBorders>
                    <w:tl2br w:val="nil"/>
                    <w:tr2bl w:val="nil"/>
                  </w:tcBorders>
                  <w:vAlign w:val="center"/>
                </w:tcPr>
                <w:p w14:paraId="38B7B3D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镉</w:t>
                  </w:r>
                </w:p>
              </w:tc>
              <w:tc>
                <w:tcPr>
                  <w:tcW w:w="580" w:type="pct"/>
                  <w:tcBorders>
                    <w:tl2br w:val="nil"/>
                    <w:tr2bl w:val="nil"/>
                  </w:tcBorders>
                  <w:vAlign w:val="center"/>
                </w:tcPr>
                <w:p w14:paraId="7A7A1A6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0.0017</w:t>
                  </w:r>
                </w:p>
              </w:tc>
              <w:tc>
                <w:tcPr>
                  <w:tcW w:w="581" w:type="pct"/>
                  <w:tcBorders>
                    <w:tl2br w:val="nil"/>
                    <w:tr2bl w:val="nil"/>
                  </w:tcBorders>
                  <w:vAlign w:val="center"/>
                </w:tcPr>
                <w:p w14:paraId="395424E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0.0033</w:t>
                  </w:r>
                </w:p>
              </w:tc>
              <w:tc>
                <w:tcPr>
                  <w:tcW w:w="565" w:type="pct"/>
                  <w:tcBorders>
                    <w:tl2br w:val="nil"/>
                    <w:tr2bl w:val="nil"/>
                  </w:tcBorders>
                  <w:vAlign w:val="center"/>
                </w:tcPr>
                <w:p w14:paraId="6C18AE5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0.003</w:t>
                  </w:r>
                </w:p>
              </w:tc>
              <w:tc>
                <w:tcPr>
                  <w:tcW w:w="449" w:type="pct"/>
                  <w:tcBorders>
                    <w:tl2br w:val="nil"/>
                    <w:tr2bl w:val="nil"/>
                  </w:tcBorders>
                  <w:noWrap/>
                  <w:vAlign w:val="center"/>
                </w:tcPr>
                <w:p w14:paraId="09E6676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0.005</w:t>
                  </w:r>
                </w:p>
              </w:tc>
              <w:tc>
                <w:tcPr>
                  <w:tcW w:w="483" w:type="pct"/>
                  <w:tcBorders>
                    <w:tl2br w:val="nil"/>
                    <w:tr2bl w:val="nil"/>
                  </w:tcBorders>
                  <w:noWrap/>
                  <w:vAlign w:val="center"/>
                </w:tcPr>
                <w:p w14:paraId="67199BA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0.34</w:t>
                  </w:r>
                </w:p>
              </w:tc>
              <w:tc>
                <w:tcPr>
                  <w:tcW w:w="574" w:type="pct"/>
                  <w:tcBorders>
                    <w:tl2br w:val="nil"/>
                    <w:tr2bl w:val="nil"/>
                  </w:tcBorders>
                  <w:noWrap/>
                  <w:vAlign w:val="center"/>
                </w:tcPr>
                <w:p w14:paraId="5C76441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0.66</w:t>
                  </w:r>
                </w:p>
              </w:tc>
              <w:tc>
                <w:tcPr>
                  <w:tcW w:w="509" w:type="pct"/>
                  <w:tcBorders>
                    <w:tl2br w:val="nil"/>
                    <w:tr2bl w:val="nil"/>
                  </w:tcBorders>
                  <w:noWrap/>
                  <w:vAlign w:val="center"/>
                </w:tcPr>
                <w:p w14:paraId="401E228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0.60</w:t>
                  </w:r>
                </w:p>
              </w:tc>
              <w:tc>
                <w:tcPr>
                  <w:tcW w:w="656" w:type="pct"/>
                  <w:tcBorders>
                    <w:tl2br w:val="nil"/>
                    <w:tr2bl w:val="nil"/>
                  </w:tcBorders>
                  <w:noWrap/>
                  <w:vAlign w:val="center"/>
                </w:tcPr>
                <w:p w14:paraId="5F208E61">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51D93B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345E94CB">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2B7F102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0.0015</w:t>
                  </w:r>
                </w:p>
              </w:tc>
              <w:tc>
                <w:tcPr>
                  <w:tcW w:w="581" w:type="pct"/>
                  <w:tcBorders>
                    <w:tl2br w:val="nil"/>
                    <w:tr2bl w:val="nil"/>
                  </w:tcBorders>
                  <w:vAlign w:val="center"/>
                </w:tcPr>
                <w:p w14:paraId="449C85C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0.0019</w:t>
                  </w:r>
                </w:p>
              </w:tc>
              <w:tc>
                <w:tcPr>
                  <w:tcW w:w="565" w:type="pct"/>
                  <w:tcBorders>
                    <w:tl2br w:val="nil"/>
                    <w:tr2bl w:val="nil"/>
                  </w:tcBorders>
                  <w:vAlign w:val="center"/>
                </w:tcPr>
                <w:p w14:paraId="43C5380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0.0028</w:t>
                  </w:r>
                </w:p>
              </w:tc>
              <w:tc>
                <w:tcPr>
                  <w:tcW w:w="449" w:type="pct"/>
                  <w:tcBorders>
                    <w:tl2br w:val="nil"/>
                    <w:tr2bl w:val="nil"/>
                  </w:tcBorders>
                  <w:noWrap/>
                  <w:vAlign w:val="center"/>
                </w:tcPr>
                <w:p w14:paraId="00032D6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0.005</w:t>
                  </w:r>
                </w:p>
              </w:tc>
              <w:tc>
                <w:tcPr>
                  <w:tcW w:w="483" w:type="pct"/>
                  <w:tcBorders>
                    <w:tl2br w:val="nil"/>
                    <w:tr2bl w:val="nil"/>
                  </w:tcBorders>
                  <w:noWrap/>
                  <w:vAlign w:val="center"/>
                </w:tcPr>
                <w:p w14:paraId="14F084A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0.30</w:t>
                  </w:r>
                </w:p>
              </w:tc>
              <w:tc>
                <w:tcPr>
                  <w:tcW w:w="574" w:type="pct"/>
                  <w:tcBorders>
                    <w:tl2br w:val="nil"/>
                    <w:tr2bl w:val="nil"/>
                  </w:tcBorders>
                  <w:noWrap/>
                  <w:vAlign w:val="center"/>
                </w:tcPr>
                <w:p w14:paraId="6A1CFCA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0.38</w:t>
                  </w:r>
                </w:p>
              </w:tc>
              <w:tc>
                <w:tcPr>
                  <w:tcW w:w="509" w:type="pct"/>
                  <w:tcBorders>
                    <w:tl2br w:val="nil"/>
                    <w:tr2bl w:val="nil"/>
                  </w:tcBorders>
                  <w:noWrap/>
                  <w:vAlign w:val="center"/>
                </w:tcPr>
                <w:p w14:paraId="7514F34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0.56</w:t>
                  </w:r>
                </w:p>
              </w:tc>
              <w:tc>
                <w:tcPr>
                  <w:tcW w:w="656" w:type="pct"/>
                  <w:tcBorders>
                    <w:tl2br w:val="nil"/>
                    <w:tr2bl w:val="nil"/>
                  </w:tcBorders>
                  <w:noWrap/>
                  <w:vAlign w:val="center"/>
                </w:tcPr>
                <w:p w14:paraId="3FC70A0C">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11916F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15B9B4F7">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1060172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0.0017</w:t>
                  </w:r>
                </w:p>
              </w:tc>
              <w:tc>
                <w:tcPr>
                  <w:tcW w:w="581" w:type="pct"/>
                  <w:tcBorders>
                    <w:tl2br w:val="nil"/>
                    <w:tr2bl w:val="nil"/>
                  </w:tcBorders>
                  <w:vAlign w:val="center"/>
                </w:tcPr>
                <w:p w14:paraId="516558E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0.0033</w:t>
                  </w:r>
                </w:p>
              </w:tc>
              <w:tc>
                <w:tcPr>
                  <w:tcW w:w="565" w:type="pct"/>
                  <w:tcBorders>
                    <w:tl2br w:val="nil"/>
                    <w:tr2bl w:val="nil"/>
                  </w:tcBorders>
                  <w:vAlign w:val="center"/>
                </w:tcPr>
                <w:p w14:paraId="3810B46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0.0029</w:t>
                  </w:r>
                </w:p>
              </w:tc>
              <w:tc>
                <w:tcPr>
                  <w:tcW w:w="449" w:type="pct"/>
                  <w:tcBorders>
                    <w:tl2br w:val="nil"/>
                    <w:tr2bl w:val="nil"/>
                  </w:tcBorders>
                  <w:noWrap/>
                  <w:vAlign w:val="center"/>
                </w:tcPr>
                <w:p w14:paraId="73E540A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0.005</w:t>
                  </w:r>
                </w:p>
              </w:tc>
              <w:tc>
                <w:tcPr>
                  <w:tcW w:w="483" w:type="pct"/>
                  <w:tcBorders>
                    <w:tl2br w:val="nil"/>
                    <w:tr2bl w:val="nil"/>
                  </w:tcBorders>
                  <w:noWrap/>
                  <w:vAlign w:val="center"/>
                </w:tcPr>
                <w:p w14:paraId="3CEF6A0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0.34</w:t>
                  </w:r>
                </w:p>
              </w:tc>
              <w:tc>
                <w:tcPr>
                  <w:tcW w:w="574" w:type="pct"/>
                  <w:tcBorders>
                    <w:tl2br w:val="nil"/>
                    <w:tr2bl w:val="nil"/>
                  </w:tcBorders>
                  <w:noWrap/>
                  <w:vAlign w:val="center"/>
                </w:tcPr>
                <w:p w14:paraId="47C3F43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0.66</w:t>
                  </w:r>
                </w:p>
              </w:tc>
              <w:tc>
                <w:tcPr>
                  <w:tcW w:w="509" w:type="pct"/>
                  <w:tcBorders>
                    <w:tl2br w:val="nil"/>
                    <w:tr2bl w:val="nil"/>
                  </w:tcBorders>
                  <w:noWrap/>
                  <w:vAlign w:val="center"/>
                </w:tcPr>
                <w:p w14:paraId="437C17F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0.58</w:t>
                  </w:r>
                </w:p>
              </w:tc>
              <w:tc>
                <w:tcPr>
                  <w:tcW w:w="656" w:type="pct"/>
                  <w:tcBorders>
                    <w:tl2br w:val="nil"/>
                    <w:tr2bl w:val="nil"/>
                  </w:tcBorders>
                  <w:noWrap/>
                  <w:vAlign w:val="center"/>
                </w:tcPr>
                <w:p w14:paraId="0AAFB3CD">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60435E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restart"/>
                  <w:tcBorders>
                    <w:tl2br w:val="nil"/>
                    <w:tr2bl w:val="nil"/>
                  </w:tcBorders>
                  <w:vAlign w:val="center"/>
                </w:tcPr>
                <w:p w14:paraId="137DCB4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铅</w:t>
                  </w:r>
                </w:p>
              </w:tc>
              <w:tc>
                <w:tcPr>
                  <w:tcW w:w="580" w:type="pct"/>
                  <w:tcBorders>
                    <w:tl2br w:val="nil"/>
                    <w:tr2bl w:val="nil"/>
                  </w:tcBorders>
                  <w:vAlign w:val="center"/>
                </w:tcPr>
                <w:p w14:paraId="5BEB3F2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0.005</w:t>
                  </w:r>
                </w:p>
              </w:tc>
              <w:tc>
                <w:tcPr>
                  <w:tcW w:w="581" w:type="pct"/>
                  <w:tcBorders>
                    <w:tl2br w:val="nil"/>
                    <w:tr2bl w:val="nil"/>
                  </w:tcBorders>
                  <w:vAlign w:val="center"/>
                </w:tcPr>
                <w:p w14:paraId="6AE27A0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0.001L</w:t>
                  </w:r>
                </w:p>
              </w:tc>
              <w:tc>
                <w:tcPr>
                  <w:tcW w:w="565" w:type="pct"/>
                  <w:tcBorders>
                    <w:tl2br w:val="nil"/>
                    <w:tr2bl w:val="nil"/>
                  </w:tcBorders>
                  <w:vAlign w:val="center"/>
                </w:tcPr>
                <w:p w14:paraId="0D706DF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0.004</w:t>
                  </w:r>
                </w:p>
              </w:tc>
              <w:tc>
                <w:tcPr>
                  <w:tcW w:w="449" w:type="pct"/>
                  <w:tcBorders>
                    <w:tl2br w:val="nil"/>
                    <w:tr2bl w:val="nil"/>
                  </w:tcBorders>
                  <w:noWrap/>
                  <w:vAlign w:val="center"/>
                </w:tcPr>
                <w:p w14:paraId="2D371CF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483" w:type="pct"/>
                  <w:tcBorders>
                    <w:tl2br w:val="nil"/>
                    <w:tr2bl w:val="nil"/>
                  </w:tcBorders>
                  <w:noWrap/>
                  <w:vAlign w:val="center"/>
                </w:tcPr>
                <w:p w14:paraId="365EAB6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0.10</w:t>
                  </w:r>
                </w:p>
              </w:tc>
              <w:tc>
                <w:tcPr>
                  <w:tcW w:w="574" w:type="pct"/>
                  <w:tcBorders>
                    <w:tl2br w:val="nil"/>
                    <w:tr2bl w:val="nil"/>
                  </w:tcBorders>
                  <w:noWrap/>
                  <w:vAlign w:val="center"/>
                </w:tcPr>
                <w:p w14:paraId="68E1BA4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509" w:type="pct"/>
                  <w:tcBorders>
                    <w:tl2br w:val="nil"/>
                    <w:tr2bl w:val="nil"/>
                  </w:tcBorders>
                  <w:noWrap/>
                  <w:vAlign w:val="center"/>
                </w:tcPr>
                <w:p w14:paraId="36B3E9F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0.08</w:t>
                  </w:r>
                </w:p>
              </w:tc>
              <w:tc>
                <w:tcPr>
                  <w:tcW w:w="656" w:type="pct"/>
                  <w:tcBorders>
                    <w:tl2br w:val="nil"/>
                    <w:tr2bl w:val="nil"/>
                  </w:tcBorders>
                  <w:noWrap/>
                  <w:vAlign w:val="center"/>
                </w:tcPr>
                <w:p w14:paraId="2F22AC93">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1611A0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137C83C7">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2AD8155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0.006</w:t>
                  </w:r>
                </w:p>
              </w:tc>
              <w:tc>
                <w:tcPr>
                  <w:tcW w:w="581" w:type="pct"/>
                  <w:tcBorders>
                    <w:tl2br w:val="nil"/>
                    <w:tr2bl w:val="nil"/>
                  </w:tcBorders>
                  <w:vAlign w:val="center"/>
                </w:tcPr>
                <w:p w14:paraId="3EB7F00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0.007</w:t>
                  </w:r>
                </w:p>
              </w:tc>
              <w:tc>
                <w:tcPr>
                  <w:tcW w:w="565" w:type="pct"/>
                  <w:tcBorders>
                    <w:tl2br w:val="nil"/>
                    <w:tr2bl w:val="nil"/>
                  </w:tcBorders>
                  <w:vAlign w:val="center"/>
                </w:tcPr>
                <w:p w14:paraId="3180A16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0.005</w:t>
                  </w:r>
                </w:p>
              </w:tc>
              <w:tc>
                <w:tcPr>
                  <w:tcW w:w="449" w:type="pct"/>
                  <w:tcBorders>
                    <w:tl2br w:val="nil"/>
                    <w:tr2bl w:val="nil"/>
                  </w:tcBorders>
                  <w:noWrap/>
                  <w:vAlign w:val="center"/>
                </w:tcPr>
                <w:p w14:paraId="2EBBAF6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483" w:type="pct"/>
                  <w:tcBorders>
                    <w:tl2br w:val="nil"/>
                    <w:tr2bl w:val="nil"/>
                  </w:tcBorders>
                  <w:noWrap/>
                  <w:vAlign w:val="center"/>
                </w:tcPr>
                <w:p w14:paraId="7143C4F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0.12</w:t>
                  </w:r>
                </w:p>
              </w:tc>
              <w:tc>
                <w:tcPr>
                  <w:tcW w:w="574" w:type="pct"/>
                  <w:tcBorders>
                    <w:tl2br w:val="nil"/>
                    <w:tr2bl w:val="nil"/>
                  </w:tcBorders>
                  <w:noWrap/>
                  <w:vAlign w:val="center"/>
                </w:tcPr>
                <w:p w14:paraId="4FE963A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0.14</w:t>
                  </w:r>
                </w:p>
              </w:tc>
              <w:tc>
                <w:tcPr>
                  <w:tcW w:w="509" w:type="pct"/>
                  <w:tcBorders>
                    <w:tl2br w:val="nil"/>
                    <w:tr2bl w:val="nil"/>
                  </w:tcBorders>
                  <w:noWrap/>
                  <w:vAlign w:val="center"/>
                </w:tcPr>
                <w:p w14:paraId="47A0984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0.10</w:t>
                  </w:r>
                </w:p>
              </w:tc>
              <w:tc>
                <w:tcPr>
                  <w:tcW w:w="656" w:type="pct"/>
                  <w:tcBorders>
                    <w:tl2br w:val="nil"/>
                    <w:tr2bl w:val="nil"/>
                  </w:tcBorders>
                  <w:noWrap/>
                  <w:vAlign w:val="center"/>
                </w:tcPr>
                <w:p w14:paraId="76FE550C">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114B14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3D3C9614">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5856624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0.006</w:t>
                  </w:r>
                </w:p>
              </w:tc>
              <w:tc>
                <w:tcPr>
                  <w:tcW w:w="581" w:type="pct"/>
                  <w:tcBorders>
                    <w:tl2br w:val="nil"/>
                    <w:tr2bl w:val="nil"/>
                  </w:tcBorders>
                  <w:vAlign w:val="center"/>
                </w:tcPr>
                <w:p w14:paraId="0504C53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0.005</w:t>
                  </w:r>
                </w:p>
              </w:tc>
              <w:tc>
                <w:tcPr>
                  <w:tcW w:w="565" w:type="pct"/>
                  <w:tcBorders>
                    <w:tl2br w:val="nil"/>
                    <w:tr2bl w:val="nil"/>
                  </w:tcBorders>
                  <w:vAlign w:val="center"/>
                </w:tcPr>
                <w:p w14:paraId="230E81C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0.006</w:t>
                  </w:r>
                </w:p>
              </w:tc>
              <w:tc>
                <w:tcPr>
                  <w:tcW w:w="449" w:type="pct"/>
                  <w:tcBorders>
                    <w:tl2br w:val="nil"/>
                    <w:tr2bl w:val="nil"/>
                  </w:tcBorders>
                  <w:noWrap/>
                  <w:vAlign w:val="center"/>
                </w:tcPr>
                <w:p w14:paraId="7E95B55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483" w:type="pct"/>
                  <w:tcBorders>
                    <w:tl2br w:val="nil"/>
                    <w:tr2bl w:val="nil"/>
                  </w:tcBorders>
                  <w:noWrap/>
                  <w:vAlign w:val="center"/>
                </w:tcPr>
                <w:p w14:paraId="505AA2B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0.12</w:t>
                  </w:r>
                </w:p>
              </w:tc>
              <w:tc>
                <w:tcPr>
                  <w:tcW w:w="574" w:type="pct"/>
                  <w:tcBorders>
                    <w:tl2br w:val="nil"/>
                    <w:tr2bl w:val="nil"/>
                  </w:tcBorders>
                  <w:noWrap/>
                  <w:vAlign w:val="center"/>
                </w:tcPr>
                <w:p w14:paraId="40215E1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0.10</w:t>
                  </w:r>
                </w:p>
              </w:tc>
              <w:tc>
                <w:tcPr>
                  <w:tcW w:w="509" w:type="pct"/>
                  <w:tcBorders>
                    <w:tl2br w:val="nil"/>
                    <w:tr2bl w:val="nil"/>
                  </w:tcBorders>
                  <w:noWrap/>
                  <w:vAlign w:val="center"/>
                </w:tcPr>
                <w:p w14:paraId="5B2250E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0.12</w:t>
                  </w:r>
                </w:p>
              </w:tc>
              <w:tc>
                <w:tcPr>
                  <w:tcW w:w="656" w:type="pct"/>
                  <w:tcBorders>
                    <w:tl2br w:val="nil"/>
                    <w:tr2bl w:val="nil"/>
                  </w:tcBorders>
                  <w:noWrap/>
                  <w:vAlign w:val="center"/>
                </w:tcPr>
                <w:p w14:paraId="4E864D2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5EDC3C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restart"/>
                  <w:tcBorders>
                    <w:tl2br w:val="nil"/>
                    <w:tr2bl w:val="nil"/>
                  </w:tcBorders>
                  <w:vAlign w:val="center"/>
                </w:tcPr>
                <w:p w14:paraId="0855E7B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汞</w:t>
                  </w:r>
                </w:p>
              </w:tc>
              <w:tc>
                <w:tcPr>
                  <w:tcW w:w="580" w:type="pct"/>
                  <w:tcBorders>
                    <w:tl2br w:val="nil"/>
                    <w:tr2bl w:val="nil"/>
                  </w:tcBorders>
                  <w:vAlign w:val="center"/>
                </w:tcPr>
                <w:p w14:paraId="62A673D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0.00004L</w:t>
                  </w:r>
                </w:p>
              </w:tc>
              <w:tc>
                <w:tcPr>
                  <w:tcW w:w="581" w:type="pct"/>
                  <w:tcBorders>
                    <w:tl2br w:val="nil"/>
                    <w:tr2bl w:val="nil"/>
                  </w:tcBorders>
                  <w:vAlign w:val="center"/>
                </w:tcPr>
                <w:p w14:paraId="26B64F8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0.00004L</w:t>
                  </w:r>
                </w:p>
              </w:tc>
              <w:tc>
                <w:tcPr>
                  <w:tcW w:w="565" w:type="pct"/>
                  <w:tcBorders>
                    <w:tl2br w:val="nil"/>
                    <w:tr2bl w:val="nil"/>
                  </w:tcBorders>
                  <w:vAlign w:val="center"/>
                </w:tcPr>
                <w:p w14:paraId="3B15BAC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0.00004L</w:t>
                  </w:r>
                </w:p>
              </w:tc>
              <w:tc>
                <w:tcPr>
                  <w:tcW w:w="449" w:type="pct"/>
                  <w:tcBorders>
                    <w:tl2br w:val="nil"/>
                    <w:tr2bl w:val="nil"/>
                  </w:tcBorders>
                  <w:noWrap/>
                  <w:vAlign w:val="center"/>
                </w:tcPr>
                <w:p w14:paraId="4BAAF16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0.0001</w:t>
                  </w:r>
                </w:p>
              </w:tc>
              <w:tc>
                <w:tcPr>
                  <w:tcW w:w="483" w:type="pct"/>
                  <w:tcBorders>
                    <w:tl2br w:val="nil"/>
                    <w:tr2bl w:val="nil"/>
                  </w:tcBorders>
                  <w:noWrap/>
                  <w:vAlign w:val="center"/>
                </w:tcPr>
                <w:p w14:paraId="77FBF47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0.20</w:t>
                  </w:r>
                </w:p>
              </w:tc>
              <w:tc>
                <w:tcPr>
                  <w:tcW w:w="574" w:type="pct"/>
                  <w:tcBorders>
                    <w:tl2br w:val="nil"/>
                    <w:tr2bl w:val="nil"/>
                  </w:tcBorders>
                  <w:noWrap/>
                  <w:vAlign w:val="center"/>
                </w:tcPr>
                <w:p w14:paraId="17DDDF8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0.20</w:t>
                  </w:r>
                </w:p>
              </w:tc>
              <w:tc>
                <w:tcPr>
                  <w:tcW w:w="509" w:type="pct"/>
                  <w:tcBorders>
                    <w:tl2br w:val="nil"/>
                    <w:tr2bl w:val="nil"/>
                  </w:tcBorders>
                  <w:noWrap/>
                  <w:vAlign w:val="center"/>
                </w:tcPr>
                <w:p w14:paraId="35D532B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0.20</w:t>
                  </w:r>
                </w:p>
              </w:tc>
              <w:tc>
                <w:tcPr>
                  <w:tcW w:w="656" w:type="pct"/>
                  <w:tcBorders>
                    <w:tl2br w:val="nil"/>
                    <w:tr2bl w:val="nil"/>
                  </w:tcBorders>
                  <w:noWrap/>
                  <w:vAlign w:val="center"/>
                </w:tcPr>
                <w:p w14:paraId="4F071C79">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5A64D3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41FD6B9B">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3215EA4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0.00004L</w:t>
                  </w:r>
                </w:p>
              </w:tc>
              <w:tc>
                <w:tcPr>
                  <w:tcW w:w="581" w:type="pct"/>
                  <w:tcBorders>
                    <w:tl2br w:val="nil"/>
                    <w:tr2bl w:val="nil"/>
                  </w:tcBorders>
                  <w:vAlign w:val="center"/>
                </w:tcPr>
                <w:p w14:paraId="0DCA99B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0.00004L</w:t>
                  </w:r>
                </w:p>
              </w:tc>
              <w:tc>
                <w:tcPr>
                  <w:tcW w:w="565" w:type="pct"/>
                  <w:tcBorders>
                    <w:tl2br w:val="nil"/>
                    <w:tr2bl w:val="nil"/>
                  </w:tcBorders>
                  <w:vAlign w:val="center"/>
                </w:tcPr>
                <w:p w14:paraId="3078B49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0.00004L</w:t>
                  </w:r>
                </w:p>
              </w:tc>
              <w:tc>
                <w:tcPr>
                  <w:tcW w:w="449" w:type="pct"/>
                  <w:tcBorders>
                    <w:tl2br w:val="nil"/>
                    <w:tr2bl w:val="nil"/>
                  </w:tcBorders>
                  <w:noWrap/>
                  <w:vAlign w:val="center"/>
                </w:tcPr>
                <w:p w14:paraId="21B5B36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0.0001</w:t>
                  </w:r>
                </w:p>
              </w:tc>
              <w:tc>
                <w:tcPr>
                  <w:tcW w:w="483" w:type="pct"/>
                  <w:tcBorders>
                    <w:tl2br w:val="nil"/>
                    <w:tr2bl w:val="nil"/>
                  </w:tcBorders>
                  <w:noWrap/>
                  <w:vAlign w:val="center"/>
                </w:tcPr>
                <w:p w14:paraId="52B0D52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0.20</w:t>
                  </w:r>
                </w:p>
              </w:tc>
              <w:tc>
                <w:tcPr>
                  <w:tcW w:w="574" w:type="pct"/>
                  <w:tcBorders>
                    <w:tl2br w:val="nil"/>
                    <w:tr2bl w:val="nil"/>
                  </w:tcBorders>
                  <w:noWrap/>
                  <w:vAlign w:val="center"/>
                </w:tcPr>
                <w:p w14:paraId="64EF203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0.20</w:t>
                  </w:r>
                </w:p>
              </w:tc>
              <w:tc>
                <w:tcPr>
                  <w:tcW w:w="509" w:type="pct"/>
                  <w:tcBorders>
                    <w:tl2br w:val="nil"/>
                    <w:tr2bl w:val="nil"/>
                  </w:tcBorders>
                  <w:noWrap/>
                  <w:vAlign w:val="center"/>
                </w:tcPr>
                <w:p w14:paraId="44B414B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0.20</w:t>
                  </w:r>
                </w:p>
              </w:tc>
              <w:tc>
                <w:tcPr>
                  <w:tcW w:w="656" w:type="pct"/>
                  <w:tcBorders>
                    <w:tl2br w:val="nil"/>
                    <w:tr2bl w:val="nil"/>
                  </w:tcBorders>
                  <w:noWrap/>
                  <w:vAlign w:val="center"/>
                </w:tcPr>
                <w:p w14:paraId="4B8C2499">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50588F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69065E21">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345610B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0.00004L</w:t>
                  </w:r>
                </w:p>
              </w:tc>
              <w:tc>
                <w:tcPr>
                  <w:tcW w:w="581" w:type="pct"/>
                  <w:tcBorders>
                    <w:tl2br w:val="nil"/>
                    <w:tr2bl w:val="nil"/>
                  </w:tcBorders>
                  <w:vAlign w:val="center"/>
                </w:tcPr>
                <w:p w14:paraId="64CB6E6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0.00004L</w:t>
                  </w:r>
                </w:p>
              </w:tc>
              <w:tc>
                <w:tcPr>
                  <w:tcW w:w="565" w:type="pct"/>
                  <w:tcBorders>
                    <w:tl2br w:val="nil"/>
                    <w:tr2bl w:val="nil"/>
                  </w:tcBorders>
                  <w:vAlign w:val="center"/>
                </w:tcPr>
                <w:p w14:paraId="6B575B4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0.00004L</w:t>
                  </w:r>
                </w:p>
              </w:tc>
              <w:tc>
                <w:tcPr>
                  <w:tcW w:w="449" w:type="pct"/>
                  <w:tcBorders>
                    <w:tl2br w:val="nil"/>
                    <w:tr2bl w:val="nil"/>
                  </w:tcBorders>
                  <w:noWrap/>
                  <w:vAlign w:val="center"/>
                </w:tcPr>
                <w:p w14:paraId="1155A84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0.0001</w:t>
                  </w:r>
                </w:p>
              </w:tc>
              <w:tc>
                <w:tcPr>
                  <w:tcW w:w="483" w:type="pct"/>
                  <w:tcBorders>
                    <w:tl2br w:val="nil"/>
                    <w:tr2bl w:val="nil"/>
                  </w:tcBorders>
                  <w:noWrap/>
                  <w:vAlign w:val="center"/>
                </w:tcPr>
                <w:p w14:paraId="1E25A4C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0.20</w:t>
                  </w:r>
                </w:p>
              </w:tc>
              <w:tc>
                <w:tcPr>
                  <w:tcW w:w="574" w:type="pct"/>
                  <w:tcBorders>
                    <w:tl2br w:val="nil"/>
                    <w:tr2bl w:val="nil"/>
                  </w:tcBorders>
                  <w:noWrap/>
                  <w:vAlign w:val="center"/>
                </w:tcPr>
                <w:p w14:paraId="253033B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0.20</w:t>
                  </w:r>
                </w:p>
              </w:tc>
              <w:tc>
                <w:tcPr>
                  <w:tcW w:w="509" w:type="pct"/>
                  <w:tcBorders>
                    <w:tl2br w:val="nil"/>
                    <w:tr2bl w:val="nil"/>
                  </w:tcBorders>
                  <w:noWrap/>
                  <w:vAlign w:val="center"/>
                </w:tcPr>
                <w:p w14:paraId="453D259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0.20</w:t>
                  </w:r>
                </w:p>
              </w:tc>
              <w:tc>
                <w:tcPr>
                  <w:tcW w:w="656" w:type="pct"/>
                  <w:tcBorders>
                    <w:tl2br w:val="nil"/>
                    <w:tr2bl w:val="nil"/>
                  </w:tcBorders>
                  <w:noWrap/>
                  <w:vAlign w:val="center"/>
                </w:tcPr>
                <w:p w14:paraId="55D7BC1D">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2EAF32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restart"/>
                  <w:tcBorders>
                    <w:tl2br w:val="nil"/>
                    <w:tr2bl w:val="nil"/>
                  </w:tcBorders>
                  <w:vAlign w:val="center"/>
                </w:tcPr>
                <w:p w14:paraId="70845D0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砷</w:t>
                  </w:r>
                </w:p>
              </w:tc>
              <w:tc>
                <w:tcPr>
                  <w:tcW w:w="580" w:type="pct"/>
                  <w:tcBorders>
                    <w:tl2br w:val="nil"/>
                    <w:tr2bl w:val="nil"/>
                  </w:tcBorders>
                  <w:vAlign w:val="center"/>
                </w:tcPr>
                <w:p w14:paraId="20F2F55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0.0027</w:t>
                  </w:r>
                </w:p>
              </w:tc>
              <w:tc>
                <w:tcPr>
                  <w:tcW w:w="581" w:type="pct"/>
                  <w:tcBorders>
                    <w:tl2br w:val="nil"/>
                    <w:tr2bl w:val="nil"/>
                  </w:tcBorders>
                  <w:vAlign w:val="center"/>
                </w:tcPr>
                <w:p w14:paraId="23BA21C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0.0028</w:t>
                  </w:r>
                </w:p>
              </w:tc>
              <w:tc>
                <w:tcPr>
                  <w:tcW w:w="565" w:type="pct"/>
                  <w:tcBorders>
                    <w:tl2br w:val="nil"/>
                    <w:tr2bl w:val="nil"/>
                  </w:tcBorders>
                  <w:vAlign w:val="center"/>
                </w:tcPr>
                <w:p w14:paraId="36AECB1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0.0029</w:t>
                  </w:r>
                </w:p>
              </w:tc>
              <w:tc>
                <w:tcPr>
                  <w:tcW w:w="449" w:type="pct"/>
                  <w:tcBorders>
                    <w:tl2br w:val="nil"/>
                    <w:tr2bl w:val="nil"/>
                  </w:tcBorders>
                  <w:noWrap/>
                  <w:vAlign w:val="center"/>
                </w:tcPr>
                <w:p w14:paraId="6AB1747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483" w:type="pct"/>
                  <w:tcBorders>
                    <w:tl2br w:val="nil"/>
                    <w:tr2bl w:val="nil"/>
                  </w:tcBorders>
                  <w:noWrap/>
                  <w:vAlign w:val="center"/>
                </w:tcPr>
                <w:p w14:paraId="34CCD30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574" w:type="pct"/>
                  <w:tcBorders>
                    <w:tl2br w:val="nil"/>
                    <w:tr2bl w:val="nil"/>
                  </w:tcBorders>
                  <w:noWrap/>
                  <w:vAlign w:val="center"/>
                </w:tcPr>
                <w:p w14:paraId="30C9051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0.06</w:t>
                  </w:r>
                </w:p>
              </w:tc>
              <w:tc>
                <w:tcPr>
                  <w:tcW w:w="509" w:type="pct"/>
                  <w:tcBorders>
                    <w:tl2br w:val="nil"/>
                    <w:tr2bl w:val="nil"/>
                  </w:tcBorders>
                  <w:noWrap/>
                  <w:vAlign w:val="center"/>
                </w:tcPr>
                <w:p w14:paraId="2AD62B9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0.06</w:t>
                  </w:r>
                </w:p>
              </w:tc>
              <w:tc>
                <w:tcPr>
                  <w:tcW w:w="656" w:type="pct"/>
                  <w:tcBorders>
                    <w:tl2br w:val="nil"/>
                    <w:tr2bl w:val="nil"/>
                  </w:tcBorders>
                  <w:noWrap/>
                  <w:vAlign w:val="center"/>
                </w:tcPr>
                <w:p w14:paraId="7553E619">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1EF362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12328984">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37D234F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0.0028</w:t>
                  </w:r>
                </w:p>
              </w:tc>
              <w:tc>
                <w:tcPr>
                  <w:tcW w:w="581" w:type="pct"/>
                  <w:tcBorders>
                    <w:tl2br w:val="nil"/>
                    <w:tr2bl w:val="nil"/>
                  </w:tcBorders>
                  <w:vAlign w:val="center"/>
                </w:tcPr>
                <w:p w14:paraId="1646C16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0.0028</w:t>
                  </w:r>
                </w:p>
              </w:tc>
              <w:tc>
                <w:tcPr>
                  <w:tcW w:w="565" w:type="pct"/>
                  <w:tcBorders>
                    <w:tl2br w:val="nil"/>
                    <w:tr2bl w:val="nil"/>
                  </w:tcBorders>
                  <w:vAlign w:val="center"/>
                </w:tcPr>
                <w:p w14:paraId="33770FF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0.0024</w:t>
                  </w:r>
                </w:p>
              </w:tc>
              <w:tc>
                <w:tcPr>
                  <w:tcW w:w="449" w:type="pct"/>
                  <w:tcBorders>
                    <w:tl2br w:val="nil"/>
                    <w:tr2bl w:val="nil"/>
                  </w:tcBorders>
                  <w:noWrap/>
                  <w:vAlign w:val="center"/>
                </w:tcPr>
                <w:p w14:paraId="79AC7EB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483" w:type="pct"/>
                  <w:tcBorders>
                    <w:tl2br w:val="nil"/>
                    <w:tr2bl w:val="nil"/>
                  </w:tcBorders>
                  <w:noWrap/>
                  <w:vAlign w:val="center"/>
                </w:tcPr>
                <w:p w14:paraId="6986730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0.06</w:t>
                  </w:r>
                </w:p>
              </w:tc>
              <w:tc>
                <w:tcPr>
                  <w:tcW w:w="574" w:type="pct"/>
                  <w:tcBorders>
                    <w:tl2br w:val="nil"/>
                    <w:tr2bl w:val="nil"/>
                  </w:tcBorders>
                  <w:noWrap/>
                  <w:vAlign w:val="center"/>
                </w:tcPr>
                <w:p w14:paraId="65F8664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0.06</w:t>
                  </w:r>
                </w:p>
              </w:tc>
              <w:tc>
                <w:tcPr>
                  <w:tcW w:w="509" w:type="pct"/>
                  <w:tcBorders>
                    <w:tl2br w:val="nil"/>
                    <w:tr2bl w:val="nil"/>
                  </w:tcBorders>
                  <w:noWrap/>
                  <w:vAlign w:val="center"/>
                </w:tcPr>
                <w:p w14:paraId="05799B1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656" w:type="pct"/>
                  <w:tcBorders>
                    <w:tl2br w:val="nil"/>
                    <w:tr2bl w:val="nil"/>
                  </w:tcBorders>
                  <w:noWrap/>
                  <w:vAlign w:val="center"/>
                </w:tcPr>
                <w:p w14:paraId="253FE2F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1086FF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7A279462">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5B7475D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0.0024</w:t>
                  </w:r>
                </w:p>
              </w:tc>
              <w:tc>
                <w:tcPr>
                  <w:tcW w:w="581" w:type="pct"/>
                  <w:tcBorders>
                    <w:tl2br w:val="nil"/>
                    <w:tr2bl w:val="nil"/>
                  </w:tcBorders>
                  <w:vAlign w:val="center"/>
                </w:tcPr>
                <w:p w14:paraId="1DD9142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0.0022</w:t>
                  </w:r>
                </w:p>
              </w:tc>
              <w:tc>
                <w:tcPr>
                  <w:tcW w:w="565" w:type="pct"/>
                  <w:tcBorders>
                    <w:tl2br w:val="nil"/>
                    <w:tr2bl w:val="nil"/>
                  </w:tcBorders>
                  <w:vAlign w:val="center"/>
                </w:tcPr>
                <w:p w14:paraId="2BE77A6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0.0026</w:t>
                  </w:r>
                </w:p>
              </w:tc>
              <w:tc>
                <w:tcPr>
                  <w:tcW w:w="449" w:type="pct"/>
                  <w:tcBorders>
                    <w:tl2br w:val="nil"/>
                    <w:tr2bl w:val="nil"/>
                  </w:tcBorders>
                  <w:noWrap/>
                  <w:vAlign w:val="center"/>
                </w:tcPr>
                <w:p w14:paraId="6A4FB7E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483" w:type="pct"/>
                  <w:tcBorders>
                    <w:tl2br w:val="nil"/>
                    <w:tr2bl w:val="nil"/>
                  </w:tcBorders>
                  <w:noWrap/>
                  <w:vAlign w:val="center"/>
                </w:tcPr>
                <w:p w14:paraId="0F4E134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574" w:type="pct"/>
                  <w:tcBorders>
                    <w:tl2br w:val="nil"/>
                    <w:tr2bl w:val="nil"/>
                  </w:tcBorders>
                  <w:noWrap/>
                  <w:vAlign w:val="center"/>
                </w:tcPr>
                <w:p w14:paraId="41452FE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0.04</w:t>
                  </w:r>
                </w:p>
              </w:tc>
              <w:tc>
                <w:tcPr>
                  <w:tcW w:w="509" w:type="pct"/>
                  <w:tcBorders>
                    <w:tl2br w:val="nil"/>
                    <w:tr2bl w:val="nil"/>
                  </w:tcBorders>
                  <w:noWrap/>
                  <w:vAlign w:val="center"/>
                </w:tcPr>
                <w:p w14:paraId="164C815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656" w:type="pct"/>
                  <w:tcBorders>
                    <w:tl2br w:val="nil"/>
                    <w:tr2bl w:val="nil"/>
                  </w:tcBorders>
                  <w:noWrap/>
                  <w:vAlign w:val="center"/>
                </w:tcPr>
                <w:p w14:paraId="100AFC8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1AAF3A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restart"/>
                  <w:tcBorders>
                    <w:tl2br w:val="nil"/>
                    <w:tr2bl w:val="nil"/>
                  </w:tcBorders>
                  <w:vAlign w:val="center"/>
                </w:tcPr>
                <w:p w14:paraId="25FF8CB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铜</w:t>
                  </w:r>
                </w:p>
              </w:tc>
              <w:tc>
                <w:tcPr>
                  <w:tcW w:w="580" w:type="pct"/>
                  <w:tcBorders>
                    <w:tl2br w:val="nil"/>
                    <w:tr2bl w:val="nil"/>
                  </w:tcBorders>
                  <w:vAlign w:val="center"/>
                </w:tcPr>
                <w:p w14:paraId="57C5507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0.05L</w:t>
                  </w:r>
                </w:p>
              </w:tc>
              <w:tc>
                <w:tcPr>
                  <w:tcW w:w="581" w:type="pct"/>
                  <w:tcBorders>
                    <w:tl2br w:val="nil"/>
                    <w:tr2bl w:val="nil"/>
                  </w:tcBorders>
                  <w:vAlign w:val="center"/>
                </w:tcPr>
                <w:p w14:paraId="47ABFFB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0.05L</w:t>
                  </w:r>
                </w:p>
              </w:tc>
              <w:tc>
                <w:tcPr>
                  <w:tcW w:w="565" w:type="pct"/>
                  <w:tcBorders>
                    <w:tl2br w:val="nil"/>
                    <w:tr2bl w:val="nil"/>
                  </w:tcBorders>
                  <w:vAlign w:val="center"/>
                </w:tcPr>
                <w:p w14:paraId="2C7D718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0.05L</w:t>
                  </w:r>
                </w:p>
              </w:tc>
              <w:tc>
                <w:tcPr>
                  <w:tcW w:w="449" w:type="pct"/>
                  <w:tcBorders>
                    <w:tl2br w:val="nil"/>
                    <w:tr2bl w:val="nil"/>
                  </w:tcBorders>
                  <w:noWrap/>
                  <w:vAlign w:val="center"/>
                </w:tcPr>
                <w:p w14:paraId="63786F4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w:t>
                  </w:r>
                </w:p>
              </w:tc>
              <w:tc>
                <w:tcPr>
                  <w:tcW w:w="483" w:type="pct"/>
                  <w:tcBorders>
                    <w:tl2br w:val="nil"/>
                    <w:tr2bl w:val="nil"/>
                  </w:tcBorders>
                  <w:noWrap/>
                  <w:vAlign w:val="center"/>
                </w:tcPr>
                <w:p w14:paraId="1E50E11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574" w:type="pct"/>
                  <w:tcBorders>
                    <w:tl2br w:val="nil"/>
                    <w:tr2bl w:val="nil"/>
                  </w:tcBorders>
                  <w:noWrap/>
                  <w:vAlign w:val="center"/>
                </w:tcPr>
                <w:p w14:paraId="1FD7E5F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509" w:type="pct"/>
                  <w:tcBorders>
                    <w:tl2br w:val="nil"/>
                    <w:tr2bl w:val="nil"/>
                  </w:tcBorders>
                  <w:noWrap/>
                  <w:vAlign w:val="center"/>
                </w:tcPr>
                <w:p w14:paraId="389E919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656" w:type="pct"/>
                  <w:tcBorders>
                    <w:tl2br w:val="nil"/>
                    <w:tr2bl w:val="nil"/>
                  </w:tcBorders>
                  <w:noWrap/>
                  <w:vAlign w:val="center"/>
                </w:tcPr>
                <w:p w14:paraId="36454685">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621DF5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4F5B8717">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055A5A4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0.05L</w:t>
                  </w:r>
                </w:p>
              </w:tc>
              <w:tc>
                <w:tcPr>
                  <w:tcW w:w="581" w:type="pct"/>
                  <w:tcBorders>
                    <w:tl2br w:val="nil"/>
                    <w:tr2bl w:val="nil"/>
                  </w:tcBorders>
                  <w:vAlign w:val="center"/>
                </w:tcPr>
                <w:p w14:paraId="7645C58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0.05L</w:t>
                  </w:r>
                </w:p>
              </w:tc>
              <w:tc>
                <w:tcPr>
                  <w:tcW w:w="565" w:type="pct"/>
                  <w:tcBorders>
                    <w:tl2br w:val="nil"/>
                    <w:tr2bl w:val="nil"/>
                  </w:tcBorders>
                  <w:vAlign w:val="center"/>
                </w:tcPr>
                <w:p w14:paraId="6DB7E2A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0.05L</w:t>
                  </w:r>
                </w:p>
              </w:tc>
              <w:tc>
                <w:tcPr>
                  <w:tcW w:w="449" w:type="pct"/>
                  <w:tcBorders>
                    <w:tl2br w:val="nil"/>
                    <w:tr2bl w:val="nil"/>
                  </w:tcBorders>
                  <w:noWrap/>
                  <w:vAlign w:val="center"/>
                </w:tcPr>
                <w:p w14:paraId="427ED80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w:t>
                  </w:r>
                </w:p>
              </w:tc>
              <w:tc>
                <w:tcPr>
                  <w:tcW w:w="483" w:type="pct"/>
                  <w:tcBorders>
                    <w:tl2br w:val="nil"/>
                    <w:tr2bl w:val="nil"/>
                  </w:tcBorders>
                  <w:noWrap/>
                  <w:vAlign w:val="center"/>
                </w:tcPr>
                <w:p w14:paraId="1732DA7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574" w:type="pct"/>
                  <w:tcBorders>
                    <w:tl2br w:val="nil"/>
                    <w:tr2bl w:val="nil"/>
                  </w:tcBorders>
                  <w:noWrap/>
                  <w:vAlign w:val="center"/>
                </w:tcPr>
                <w:p w14:paraId="14F3D11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509" w:type="pct"/>
                  <w:tcBorders>
                    <w:tl2br w:val="nil"/>
                    <w:tr2bl w:val="nil"/>
                  </w:tcBorders>
                  <w:noWrap/>
                  <w:vAlign w:val="center"/>
                </w:tcPr>
                <w:p w14:paraId="68A9FCC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656" w:type="pct"/>
                  <w:tcBorders>
                    <w:tl2br w:val="nil"/>
                    <w:tr2bl w:val="nil"/>
                  </w:tcBorders>
                  <w:noWrap/>
                  <w:vAlign w:val="center"/>
                </w:tcPr>
                <w:p w14:paraId="5C52734B">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6F2421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326A1ACC">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2B92DF9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0.05L</w:t>
                  </w:r>
                </w:p>
              </w:tc>
              <w:tc>
                <w:tcPr>
                  <w:tcW w:w="581" w:type="pct"/>
                  <w:tcBorders>
                    <w:tl2br w:val="nil"/>
                    <w:tr2bl w:val="nil"/>
                  </w:tcBorders>
                  <w:vAlign w:val="center"/>
                </w:tcPr>
                <w:p w14:paraId="3C98C21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0.05L</w:t>
                  </w:r>
                </w:p>
              </w:tc>
              <w:tc>
                <w:tcPr>
                  <w:tcW w:w="565" w:type="pct"/>
                  <w:tcBorders>
                    <w:tl2br w:val="nil"/>
                    <w:tr2bl w:val="nil"/>
                  </w:tcBorders>
                  <w:vAlign w:val="center"/>
                </w:tcPr>
                <w:p w14:paraId="4B5B514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0.05L</w:t>
                  </w:r>
                </w:p>
              </w:tc>
              <w:tc>
                <w:tcPr>
                  <w:tcW w:w="449" w:type="pct"/>
                  <w:tcBorders>
                    <w:tl2br w:val="nil"/>
                    <w:tr2bl w:val="nil"/>
                  </w:tcBorders>
                  <w:noWrap/>
                  <w:vAlign w:val="center"/>
                </w:tcPr>
                <w:p w14:paraId="09494DD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w:t>
                  </w:r>
                </w:p>
              </w:tc>
              <w:tc>
                <w:tcPr>
                  <w:tcW w:w="483" w:type="pct"/>
                  <w:tcBorders>
                    <w:tl2br w:val="nil"/>
                    <w:tr2bl w:val="nil"/>
                  </w:tcBorders>
                  <w:noWrap/>
                  <w:vAlign w:val="center"/>
                </w:tcPr>
                <w:p w14:paraId="5C3AC93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574" w:type="pct"/>
                  <w:tcBorders>
                    <w:tl2br w:val="nil"/>
                    <w:tr2bl w:val="nil"/>
                  </w:tcBorders>
                  <w:noWrap/>
                  <w:vAlign w:val="center"/>
                </w:tcPr>
                <w:p w14:paraId="5645A2E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509" w:type="pct"/>
                  <w:tcBorders>
                    <w:tl2br w:val="nil"/>
                    <w:tr2bl w:val="nil"/>
                  </w:tcBorders>
                  <w:noWrap/>
                  <w:vAlign w:val="center"/>
                </w:tcPr>
                <w:p w14:paraId="4887A86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656" w:type="pct"/>
                  <w:tcBorders>
                    <w:tl2br w:val="nil"/>
                    <w:tr2bl w:val="nil"/>
                  </w:tcBorders>
                  <w:noWrap/>
                  <w:vAlign w:val="center"/>
                </w:tcPr>
                <w:p w14:paraId="17533BA7">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74D4B5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restart"/>
                  <w:tcBorders>
                    <w:tl2br w:val="nil"/>
                    <w:tr2bl w:val="nil"/>
                  </w:tcBorders>
                  <w:vAlign w:val="center"/>
                </w:tcPr>
                <w:p w14:paraId="58318EC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锌</w:t>
                  </w:r>
                </w:p>
              </w:tc>
              <w:tc>
                <w:tcPr>
                  <w:tcW w:w="580" w:type="pct"/>
                  <w:tcBorders>
                    <w:tl2br w:val="nil"/>
                    <w:tr2bl w:val="nil"/>
                  </w:tcBorders>
                  <w:vAlign w:val="center"/>
                </w:tcPr>
                <w:p w14:paraId="003FA2A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0.05L</w:t>
                  </w:r>
                </w:p>
              </w:tc>
              <w:tc>
                <w:tcPr>
                  <w:tcW w:w="581" w:type="pct"/>
                  <w:tcBorders>
                    <w:tl2br w:val="nil"/>
                    <w:tr2bl w:val="nil"/>
                  </w:tcBorders>
                  <w:vAlign w:val="center"/>
                </w:tcPr>
                <w:p w14:paraId="244F3D7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0.05L</w:t>
                  </w:r>
                </w:p>
              </w:tc>
              <w:tc>
                <w:tcPr>
                  <w:tcW w:w="565" w:type="pct"/>
                  <w:tcBorders>
                    <w:tl2br w:val="nil"/>
                    <w:tr2bl w:val="nil"/>
                  </w:tcBorders>
                  <w:vAlign w:val="center"/>
                </w:tcPr>
                <w:p w14:paraId="0EF556C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0.05L</w:t>
                  </w:r>
                </w:p>
              </w:tc>
              <w:tc>
                <w:tcPr>
                  <w:tcW w:w="449" w:type="pct"/>
                  <w:tcBorders>
                    <w:tl2br w:val="nil"/>
                    <w:tr2bl w:val="nil"/>
                  </w:tcBorders>
                  <w:noWrap/>
                  <w:vAlign w:val="center"/>
                </w:tcPr>
                <w:p w14:paraId="750DA9D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w:t>
                  </w:r>
                </w:p>
              </w:tc>
              <w:tc>
                <w:tcPr>
                  <w:tcW w:w="483" w:type="pct"/>
                  <w:tcBorders>
                    <w:tl2br w:val="nil"/>
                    <w:tr2bl w:val="nil"/>
                  </w:tcBorders>
                  <w:noWrap/>
                  <w:vAlign w:val="center"/>
                </w:tcPr>
                <w:p w14:paraId="283874E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574" w:type="pct"/>
                  <w:tcBorders>
                    <w:tl2br w:val="nil"/>
                    <w:tr2bl w:val="nil"/>
                  </w:tcBorders>
                  <w:noWrap/>
                  <w:vAlign w:val="center"/>
                </w:tcPr>
                <w:p w14:paraId="18E9311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509" w:type="pct"/>
                  <w:tcBorders>
                    <w:tl2br w:val="nil"/>
                    <w:tr2bl w:val="nil"/>
                  </w:tcBorders>
                  <w:noWrap/>
                  <w:vAlign w:val="center"/>
                </w:tcPr>
                <w:p w14:paraId="450BEB4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656" w:type="pct"/>
                  <w:tcBorders>
                    <w:tl2br w:val="nil"/>
                    <w:tr2bl w:val="nil"/>
                  </w:tcBorders>
                  <w:noWrap/>
                  <w:vAlign w:val="center"/>
                </w:tcPr>
                <w:p w14:paraId="754F0DE3">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485D19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1F4988A2">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630B74E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0.05L</w:t>
                  </w:r>
                </w:p>
              </w:tc>
              <w:tc>
                <w:tcPr>
                  <w:tcW w:w="581" w:type="pct"/>
                  <w:tcBorders>
                    <w:tl2br w:val="nil"/>
                    <w:tr2bl w:val="nil"/>
                  </w:tcBorders>
                  <w:vAlign w:val="center"/>
                </w:tcPr>
                <w:p w14:paraId="4990E21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0.05L</w:t>
                  </w:r>
                </w:p>
              </w:tc>
              <w:tc>
                <w:tcPr>
                  <w:tcW w:w="565" w:type="pct"/>
                  <w:tcBorders>
                    <w:tl2br w:val="nil"/>
                    <w:tr2bl w:val="nil"/>
                  </w:tcBorders>
                  <w:vAlign w:val="center"/>
                </w:tcPr>
                <w:p w14:paraId="563F59B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0.05L</w:t>
                  </w:r>
                </w:p>
              </w:tc>
              <w:tc>
                <w:tcPr>
                  <w:tcW w:w="449" w:type="pct"/>
                  <w:tcBorders>
                    <w:tl2br w:val="nil"/>
                    <w:tr2bl w:val="nil"/>
                  </w:tcBorders>
                  <w:noWrap/>
                  <w:vAlign w:val="center"/>
                </w:tcPr>
                <w:p w14:paraId="5761798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w:t>
                  </w:r>
                </w:p>
              </w:tc>
              <w:tc>
                <w:tcPr>
                  <w:tcW w:w="483" w:type="pct"/>
                  <w:tcBorders>
                    <w:tl2br w:val="nil"/>
                    <w:tr2bl w:val="nil"/>
                  </w:tcBorders>
                  <w:noWrap/>
                  <w:vAlign w:val="center"/>
                </w:tcPr>
                <w:p w14:paraId="518004C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574" w:type="pct"/>
                  <w:tcBorders>
                    <w:tl2br w:val="nil"/>
                    <w:tr2bl w:val="nil"/>
                  </w:tcBorders>
                  <w:noWrap/>
                  <w:vAlign w:val="center"/>
                </w:tcPr>
                <w:p w14:paraId="37447D9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509" w:type="pct"/>
                  <w:tcBorders>
                    <w:tl2br w:val="nil"/>
                    <w:tr2bl w:val="nil"/>
                  </w:tcBorders>
                  <w:noWrap/>
                  <w:vAlign w:val="center"/>
                </w:tcPr>
                <w:p w14:paraId="599208C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656" w:type="pct"/>
                  <w:tcBorders>
                    <w:tl2br w:val="nil"/>
                    <w:tr2bl w:val="nil"/>
                  </w:tcBorders>
                  <w:noWrap/>
                  <w:vAlign w:val="center"/>
                </w:tcPr>
                <w:p w14:paraId="5266AF3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72BA7A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36994D98">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324294D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0.05L</w:t>
                  </w:r>
                </w:p>
              </w:tc>
              <w:tc>
                <w:tcPr>
                  <w:tcW w:w="581" w:type="pct"/>
                  <w:tcBorders>
                    <w:tl2br w:val="nil"/>
                    <w:tr2bl w:val="nil"/>
                  </w:tcBorders>
                  <w:vAlign w:val="center"/>
                </w:tcPr>
                <w:p w14:paraId="3F53CC2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0.05L</w:t>
                  </w:r>
                </w:p>
              </w:tc>
              <w:tc>
                <w:tcPr>
                  <w:tcW w:w="565" w:type="pct"/>
                  <w:tcBorders>
                    <w:tl2br w:val="nil"/>
                    <w:tr2bl w:val="nil"/>
                  </w:tcBorders>
                  <w:vAlign w:val="center"/>
                </w:tcPr>
                <w:p w14:paraId="0CCCA14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0.05L</w:t>
                  </w:r>
                </w:p>
              </w:tc>
              <w:tc>
                <w:tcPr>
                  <w:tcW w:w="449" w:type="pct"/>
                  <w:tcBorders>
                    <w:tl2br w:val="nil"/>
                    <w:tr2bl w:val="nil"/>
                  </w:tcBorders>
                  <w:noWrap/>
                  <w:vAlign w:val="center"/>
                </w:tcPr>
                <w:p w14:paraId="215507B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w:t>
                  </w:r>
                </w:p>
              </w:tc>
              <w:tc>
                <w:tcPr>
                  <w:tcW w:w="483" w:type="pct"/>
                  <w:tcBorders>
                    <w:tl2br w:val="nil"/>
                    <w:tr2bl w:val="nil"/>
                  </w:tcBorders>
                  <w:noWrap/>
                  <w:vAlign w:val="center"/>
                </w:tcPr>
                <w:p w14:paraId="56153A1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574" w:type="pct"/>
                  <w:tcBorders>
                    <w:tl2br w:val="nil"/>
                    <w:tr2bl w:val="nil"/>
                  </w:tcBorders>
                  <w:noWrap/>
                  <w:vAlign w:val="center"/>
                </w:tcPr>
                <w:p w14:paraId="07634D7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509" w:type="pct"/>
                  <w:tcBorders>
                    <w:tl2br w:val="nil"/>
                    <w:tr2bl w:val="nil"/>
                  </w:tcBorders>
                  <w:noWrap/>
                  <w:vAlign w:val="center"/>
                </w:tcPr>
                <w:p w14:paraId="079EB8E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656" w:type="pct"/>
                  <w:tcBorders>
                    <w:tl2br w:val="nil"/>
                    <w:tr2bl w:val="nil"/>
                  </w:tcBorders>
                  <w:noWrap/>
                  <w:vAlign w:val="center"/>
                </w:tcPr>
                <w:p w14:paraId="6F282904">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45F386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restart"/>
                  <w:tcBorders>
                    <w:tl2br w:val="nil"/>
                    <w:tr2bl w:val="nil"/>
                  </w:tcBorders>
                  <w:vAlign w:val="center"/>
                </w:tcPr>
                <w:p w14:paraId="76E78CC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挥发酚</w:t>
                  </w:r>
                </w:p>
              </w:tc>
              <w:tc>
                <w:tcPr>
                  <w:tcW w:w="580" w:type="pct"/>
                  <w:tcBorders>
                    <w:tl2br w:val="nil"/>
                    <w:tr2bl w:val="nil"/>
                  </w:tcBorders>
                  <w:vAlign w:val="center"/>
                </w:tcPr>
                <w:p w14:paraId="2C11418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0.001</w:t>
                  </w:r>
                </w:p>
              </w:tc>
              <w:tc>
                <w:tcPr>
                  <w:tcW w:w="581" w:type="pct"/>
                  <w:tcBorders>
                    <w:tl2br w:val="nil"/>
                    <w:tr2bl w:val="nil"/>
                  </w:tcBorders>
                  <w:vAlign w:val="center"/>
                </w:tcPr>
                <w:p w14:paraId="2D0AD22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0.0003L</w:t>
                  </w:r>
                </w:p>
              </w:tc>
              <w:tc>
                <w:tcPr>
                  <w:tcW w:w="565" w:type="pct"/>
                  <w:tcBorders>
                    <w:tl2br w:val="nil"/>
                    <w:tr2bl w:val="nil"/>
                  </w:tcBorders>
                  <w:vAlign w:val="center"/>
                </w:tcPr>
                <w:p w14:paraId="132CBEF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0.0003L</w:t>
                  </w:r>
                </w:p>
              </w:tc>
              <w:tc>
                <w:tcPr>
                  <w:tcW w:w="449" w:type="pct"/>
                  <w:tcBorders>
                    <w:tl2br w:val="nil"/>
                    <w:tr2bl w:val="nil"/>
                  </w:tcBorders>
                  <w:noWrap/>
                  <w:vAlign w:val="center"/>
                </w:tcPr>
                <w:p w14:paraId="36A5F3C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0.005</w:t>
                  </w:r>
                </w:p>
              </w:tc>
              <w:tc>
                <w:tcPr>
                  <w:tcW w:w="483" w:type="pct"/>
                  <w:tcBorders>
                    <w:tl2br w:val="nil"/>
                    <w:tr2bl w:val="nil"/>
                  </w:tcBorders>
                  <w:noWrap/>
                  <w:vAlign w:val="center"/>
                </w:tcPr>
                <w:p w14:paraId="1786C78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0.20</w:t>
                  </w:r>
                </w:p>
              </w:tc>
              <w:tc>
                <w:tcPr>
                  <w:tcW w:w="574" w:type="pct"/>
                  <w:tcBorders>
                    <w:tl2br w:val="nil"/>
                    <w:tr2bl w:val="nil"/>
                  </w:tcBorders>
                  <w:noWrap/>
                  <w:vAlign w:val="center"/>
                </w:tcPr>
                <w:p w14:paraId="28A2626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509" w:type="pct"/>
                  <w:tcBorders>
                    <w:tl2br w:val="nil"/>
                    <w:tr2bl w:val="nil"/>
                  </w:tcBorders>
                  <w:noWrap/>
                  <w:vAlign w:val="center"/>
                </w:tcPr>
                <w:p w14:paraId="78A5349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656" w:type="pct"/>
                  <w:tcBorders>
                    <w:tl2br w:val="nil"/>
                    <w:tr2bl w:val="nil"/>
                  </w:tcBorders>
                  <w:noWrap/>
                  <w:vAlign w:val="center"/>
                </w:tcPr>
                <w:p w14:paraId="74DFBA1B">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2733E6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2A80D330">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2B32A63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0.0009</w:t>
                  </w:r>
                </w:p>
              </w:tc>
              <w:tc>
                <w:tcPr>
                  <w:tcW w:w="581" w:type="pct"/>
                  <w:tcBorders>
                    <w:tl2br w:val="nil"/>
                    <w:tr2bl w:val="nil"/>
                  </w:tcBorders>
                  <w:vAlign w:val="center"/>
                </w:tcPr>
                <w:p w14:paraId="511F544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0.0003L</w:t>
                  </w:r>
                </w:p>
              </w:tc>
              <w:tc>
                <w:tcPr>
                  <w:tcW w:w="565" w:type="pct"/>
                  <w:tcBorders>
                    <w:tl2br w:val="nil"/>
                    <w:tr2bl w:val="nil"/>
                  </w:tcBorders>
                  <w:vAlign w:val="center"/>
                </w:tcPr>
                <w:p w14:paraId="39F1593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0.0003L</w:t>
                  </w:r>
                </w:p>
              </w:tc>
              <w:tc>
                <w:tcPr>
                  <w:tcW w:w="449" w:type="pct"/>
                  <w:tcBorders>
                    <w:tl2br w:val="nil"/>
                    <w:tr2bl w:val="nil"/>
                  </w:tcBorders>
                  <w:noWrap/>
                  <w:vAlign w:val="center"/>
                </w:tcPr>
                <w:p w14:paraId="7AF8BE5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0.005</w:t>
                  </w:r>
                </w:p>
              </w:tc>
              <w:tc>
                <w:tcPr>
                  <w:tcW w:w="483" w:type="pct"/>
                  <w:tcBorders>
                    <w:tl2br w:val="nil"/>
                    <w:tr2bl w:val="nil"/>
                  </w:tcBorders>
                  <w:noWrap/>
                  <w:vAlign w:val="center"/>
                </w:tcPr>
                <w:p w14:paraId="33AAF94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0.18</w:t>
                  </w:r>
                </w:p>
              </w:tc>
              <w:tc>
                <w:tcPr>
                  <w:tcW w:w="574" w:type="pct"/>
                  <w:tcBorders>
                    <w:tl2br w:val="nil"/>
                    <w:tr2bl w:val="nil"/>
                  </w:tcBorders>
                  <w:noWrap/>
                  <w:vAlign w:val="center"/>
                </w:tcPr>
                <w:p w14:paraId="412910F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509" w:type="pct"/>
                  <w:tcBorders>
                    <w:tl2br w:val="nil"/>
                    <w:tr2bl w:val="nil"/>
                  </w:tcBorders>
                  <w:noWrap/>
                  <w:vAlign w:val="center"/>
                </w:tcPr>
                <w:p w14:paraId="5F7C080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656" w:type="pct"/>
                  <w:tcBorders>
                    <w:tl2br w:val="nil"/>
                    <w:tr2bl w:val="nil"/>
                  </w:tcBorders>
                  <w:noWrap/>
                  <w:vAlign w:val="center"/>
                </w:tcPr>
                <w:p w14:paraId="344DC965">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2AD5D4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0D0C9F8B">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38515AC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0.001</w:t>
                  </w:r>
                </w:p>
              </w:tc>
              <w:tc>
                <w:tcPr>
                  <w:tcW w:w="581" w:type="pct"/>
                  <w:tcBorders>
                    <w:tl2br w:val="nil"/>
                    <w:tr2bl w:val="nil"/>
                  </w:tcBorders>
                  <w:vAlign w:val="center"/>
                </w:tcPr>
                <w:p w14:paraId="241488D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0.0003L</w:t>
                  </w:r>
                </w:p>
              </w:tc>
              <w:tc>
                <w:tcPr>
                  <w:tcW w:w="565" w:type="pct"/>
                  <w:tcBorders>
                    <w:tl2br w:val="nil"/>
                    <w:tr2bl w:val="nil"/>
                  </w:tcBorders>
                  <w:vAlign w:val="center"/>
                </w:tcPr>
                <w:p w14:paraId="42D2864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0.0003L</w:t>
                  </w:r>
                </w:p>
              </w:tc>
              <w:tc>
                <w:tcPr>
                  <w:tcW w:w="449" w:type="pct"/>
                  <w:tcBorders>
                    <w:tl2br w:val="nil"/>
                    <w:tr2bl w:val="nil"/>
                  </w:tcBorders>
                  <w:noWrap/>
                  <w:vAlign w:val="center"/>
                </w:tcPr>
                <w:p w14:paraId="2177554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0.005</w:t>
                  </w:r>
                </w:p>
              </w:tc>
              <w:tc>
                <w:tcPr>
                  <w:tcW w:w="483" w:type="pct"/>
                  <w:tcBorders>
                    <w:tl2br w:val="nil"/>
                    <w:tr2bl w:val="nil"/>
                  </w:tcBorders>
                  <w:noWrap/>
                  <w:vAlign w:val="center"/>
                </w:tcPr>
                <w:p w14:paraId="7A0E35D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0.20</w:t>
                  </w:r>
                </w:p>
              </w:tc>
              <w:tc>
                <w:tcPr>
                  <w:tcW w:w="574" w:type="pct"/>
                  <w:tcBorders>
                    <w:tl2br w:val="nil"/>
                    <w:tr2bl w:val="nil"/>
                  </w:tcBorders>
                  <w:noWrap/>
                  <w:vAlign w:val="center"/>
                </w:tcPr>
                <w:p w14:paraId="0E345EC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509" w:type="pct"/>
                  <w:tcBorders>
                    <w:tl2br w:val="nil"/>
                    <w:tr2bl w:val="nil"/>
                  </w:tcBorders>
                  <w:noWrap/>
                  <w:vAlign w:val="center"/>
                </w:tcPr>
                <w:p w14:paraId="0A250B3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0.03</w:t>
                  </w:r>
                </w:p>
              </w:tc>
              <w:tc>
                <w:tcPr>
                  <w:tcW w:w="656" w:type="pct"/>
                  <w:tcBorders>
                    <w:tl2br w:val="nil"/>
                    <w:tr2bl w:val="nil"/>
                  </w:tcBorders>
                  <w:noWrap/>
                  <w:vAlign w:val="center"/>
                </w:tcPr>
                <w:p w14:paraId="4A2C917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1E4122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restart"/>
                  <w:tcBorders>
                    <w:tl2br w:val="nil"/>
                    <w:tr2bl w:val="nil"/>
                  </w:tcBorders>
                  <w:vAlign w:val="center"/>
                </w:tcPr>
                <w:p w14:paraId="683CA0C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氰化物</w:t>
                  </w:r>
                </w:p>
              </w:tc>
              <w:tc>
                <w:tcPr>
                  <w:tcW w:w="580" w:type="pct"/>
                  <w:tcBorders>
                    <w:tl2br w:val="nil"/>
                    <w:tr2bl w:val="nil"/>
                  </w:tcBorders>
                  <w:vAlign w:val="center"/>
                </w:tcPr>
                <w:p w14:paraId="78F099A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0.004L</w:t>
                  </w:r>
                </w:p>
              </w:tc>
              <w:tc>
                <w:tcPr>
                  <w:tcW w:w="581" w:type="pct"/>
                  <w:tcBorders>
                    <w:tl2br w:val="nil"/>
                    <w:tr2bl w:val="nil"/>
                  </w:tcBorders>
                  <w:vAlign w:val="center"/>
                </w:tcPr>
                <w:p w14:paraId="41429D3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0.004L</w:t>
                  </w:r>
                </w:p>
              </w:tc>
              <w:tc>
                <w:tcPr>
                  <w:tcW w:w="565" w:type="pct"/>
                  <w:tcBorders>
                    <w:tl2br w:val="nil"/>
                    <w:tr2bl w:val="nil"/>
                  </w:tcBorders>
                  <w:vAlign w:val="center"/>
                </w:tcPr>
                <w:p w14:paraId="3395234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0.004L</w:t>
                  </w:r>
                </w:p>
              </w:tc>
              <w:tc>
                <w:tcPr>
                  <w:tcW w:w="449" w:type="pct"/>
                  <w:tcBorders>
                    <w:tl2br w:val="nil"/>
                    <w:tr2bl w:val="nil"/>
                  </w:tcBorders>
                  <w:noWrap/>
                  <w:vAlign w:val="center"/>
                </w:tcPr>
                <w:p w14:paraId="7B769F9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w:t>
                  </w:r>
                </w:p>
              </w:tc>
              <w:tc>
                <w:tcPr>
                  <w:tcW w:w="483" w:type="pct"/>
                  <w:tcBorders>
                    <w:tl2br w:val="nil"/>
                    <w:tr2bl w:val="nil"/>
                  </w:tcBorders>
                  <w:noWrap/>
                  <w:vAlign w:val="center"/>
                </w:tcPr>
                <w:p w14:paraId="10D59DC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574" w:type="pct"/>
                  <w:tcBorders>
                    <w:tl2br w:val="nil"/>
                    <w:tr2bl w:val="nil"/>
                  </w:tcBorders>
                  <w:noWrap/>
                  <w:vAlign w:val="center"/>
                </w:tcPr>
                <w:p w14:paraId="6E11C19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509" w:type="pct"/>
                  <w:tcBorders>
                    <w:tl2br w:val="nil"/>
                    <w:tr2bl w:val="nil"/>
                  </w:tcBorders>
                  <w:noWrap/>
                  <w:vAlign w:val="center"/>
                </w:tcPr>
                <w:p w14:paraId="3A3D8F5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656" w:type="pct"/>
                  <w:tcBorders>
                    <w:tl2br w:val="nil"/>
                    <w:tr2bl w:val="nil"/>
                  </w:tcBorders>
                  <w:noWrap/>
                  <w:vAlign w:val="center"/>
                </w:tcPr>
                <w:p w14:paraId="66B08DE9">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4D2B93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43CCB038">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1E91378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0.004L</w:t>
                  </w:r>
                </w:p>
              </w:tc>
              <w:tc>
                <w:tcPr>
                  <w:tcW w:w="581" w:type="pct"/>
                  <w:tcBorders>
                    <w:tl2br w:val="nil"/>
                    <w:tr2bl w:val="nil"/>
                  </w:tcBorders>
                  <w:vAlign w:val="center"/>
                </w:tcPr>
                <w:p w14:paraId="440CE29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0.004L</w:t>
                  </w:r>
                </w:p>
              </w:tc>
              <w:tc>
                <w:tcPr>
                  <w:tcW w:w="565" w:type="pct"/>
                  <w:tcBorders>
                    <w:tl2br w:val="nil"/>
                    <w:tr2bl w:val="nil"/>
                  </w:tcBorders>
                  <w:vAlign w:val="center"/>
                </w:tcPr>
                <w:p w14:paraId="3D5D371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0.004L</w:t>
                  </w:r>
                </w:p>
              </w:tc>
              <w:tc>
                <w:tcPr>
                  <w:tcW w:w="449" w:type="pct"/>
                  <w:tcBorders>
                    <w:tl2br w:val="nil"/>
                    <w:tr2bl w:val="nil"/>
                  </w:tcBorders>
                  <w:noWrap/>
                  <w:vAlign w:val="center"/>
                </w:tcPr>
                <w:p w14:paraId="3C1803D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w:t>
                  </w:r>
                </w:p>
              </w:tc>
              <w:tc>
                <w:tcPr>
                  <w:tcW w:w="483" w:type="pct"/>
                  <w:tcBorders>
                    <w:tl2br w:val="nil"/>
                    <w:tr2bl w:val="nil"/>
                  </w:tcBorders>
                  <w:noWrap/>
                  <w:vAlign w:val="center"/>
                </w:tcPr>
                <w:p w14:paraId="0059153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574" w:type="pct"/>
                  <w:tcBorders>
                    <w:tl2br w:val="nil"/>
                    <w:tr2bl w:val="nil"/>
                  </w:tcBorders>
                  <w:noWrap/>
                  <w:vAlign w:val="center"/>
                </w:tcPr>
                <w:p w14:paraId="748EE5D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509" w:type="pct"/>
                  <w:tcBorders>
                    <w:tl2br w:val="nil"/>
                    <w:tr2bl w:val="nil"/>
                  </w:tcBorders>
                  <w:noWrap/>
                  <w:vAlign w:val="center"/>
                </w:tcPr>
                <w:p w14:paraId="29138E2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656" w:type="pct"/>
                  <w:tcBorders>
                    <w:tl2br w:val="nil"/>
                    <w:tr2bl w:val="nil"/>
                  </w:tcBorders>
                  <w:noWrap/>
                  <w:vAlign w:val="center"/>
                </w:tcPr>
                <w:p w14:paraId="6E40F608">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5B2496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1BD50C10">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573C75D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0.004L</w:t>
                  </w:r>
                </w:p>
              </w:tc>
              <w:tc>
                <w:tcPr>
                  <w:tcW w:w="581" w:type="pct"/>
                  <w:tcBorders>
                    <w:tl2br w:val="nil"/>
                    <w:tr2bl w:val="nil"/>
                  </w:tcBorders>
                  <w:vAlign w:val="center"/>
                </w:tcPr>
                <w:p w14:paraId="458088A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0.004L</w:t>
                  </w:r>
                </w:p>
              </w:tc>
              <w:tc>
                <w:tcPr>
                  <w:tcW w:w="565" w:type="pct"/>
                  <w:tcBorders>
                    <w:tl2br w:val="nil"/>
                    <w:tr2bl w:val="nil"/>
                  </w:tcBorders>
                  <w:vAlign w:val="center"/>
                </w:tcPr>
                <w:p w14:paraId="6F072B3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0.004L</w:t>
                  </w:r>
                </w:p>
              </w:tc>
              <w:tc>
                <w:tcPr>
                  <w:tcW w:w="449" w:type="pct"/>
                  <w:tcBorders>
                    <w:tl2br w:val="nil"/>
                    <w:tr2bl w:val="nil"/>
                  </w:tcBorders>
                  <w:noWrap/>
                  <w:vAlign w:val="center"/>
                </w:tcPr>
                <w:p w14:paraId="0111877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w:t>
                  </w:r>
                </w:p>
              </w:tc>
              <w:tc>
                <w:tcPr>
                  <w:tcW w:w="483" w:type="pct"/>
                  <w:tcBorders>
                    <w:tl2br w:val="nil"/>
                    <w:tr2bl w:val="nil"/>
                  </w:tcBorders>
                  <w:noWrap/>
                  <w:vAlign w:val="center"/>
                </w:tcPr>
                <w:p w14:paraId="1886B9C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574" w:type="pct"/>
                  <w:tcBorders>
                    <w:tl2br w:val="nil"/>
                    <w:tr2bl w:val="nil"/>
                  </w:tcBorders>
                  <w:noWrap/>
                  <w:vAlign w:val="center"/>
                </w:tcPr>
                <w:p w14:paraId="039196B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509" w:type="pct"/>
                  <w:tcBorders>
                    <w:tl2br w:val="nil"/>
                    <w:tr2bl w:val="nil"/>
                  </w:tcBorders>
                  <w:noWrap/>
                  <w:vAlign w:val="center"/>
                </w:tcPr>
                <w:p w14:paraId="035052F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656" w:type="pct"/>
                  <w:tcBorders>
                    <w:tl2br w:val="nil"/>
                    <w:tr2bl w:val="nil"/>
                  </w:tcBorders>
                  <w:noWrap/>
                  <w:vAlign w:val="center"/>
                </w:tcPr>
                <w:p w14:paraId="3B8AE94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23DE07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restart"/>
                  <w:tcBorders>
                    <w:tl2br w:val="nil"/>
                    <w:tr2bl w:val="nil"/>
                  </w:tcBorders>
                  <w:vAlign w:val="center"/>
                </w:tcPr>
                <w:p w14:paraId="25A0922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氟化物</w:t>
                  </w:r>
                </w:p>
              </w:tc>
              <w:tc>
                <w:tcPr>
                  <w:tcW w:w="580" w:type="pct"/>
                  <w:tcBorders>
                    <w:tl2br w:val="nil"/>
                    <w:tr2bl w:val="nil"/>
                  </w:tcBorders>
                  <w:vAlign w:val="center"/>
                </w:tcPr>
                <w:p w14:paraId="1C12FEE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0.73</w:t>
                  </w:r>
                </w:p>
              </w:tc>
              <w:tc>
                <w:tcPr>
                  <w:tcW w:w="581" w:type="pct"/>
                  <w:tcBorders>
                    <w:tl2br w:val="nil"/>
                    <w:tr2bl w:val="nil"/>
                  </w:tcBorders>
                  <w:vAlign w:val="center"/>
                </w:tcPr>
                <w:p w14:paraId="1FC930D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0.9</w:t>
                  </w:r>
                </w:p>
              </w:tc>
              <w:tc>
                <w:tcPr>
                  <w:tcW w:w="565" w:type="pct"/>
                  <w:tcBorders>
                    <w:tl2br w:val="nil"/>
                    <w:tr2bl w:val="nil"/>
                  </w:tcBorders>
                  <w:vAlign w:val="center"/>
                </w:tcPr>
                <w:p w14:paraId="0462A06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0.83</w:t>
                  </w:r>
                </w:p>
              </w:tc>
              <w:tc>
                <w:tcPr>
                  <w:tcW w:w="449" w:type="pct"/>
                  <w:tcBorders>
                    <w:tl2br w:val="nil"/>
                    <w:tr2bl w:val="nil"/>
                  </w:tcBorders>
                  <w:noWrap/>
                  <w:vAlign w:val="center"/>
                </w:tcPr>
                <w:p w14:paraId="56B0B7D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w:t>
                  </w:r>
                </w:p>
              </w:tc>
              <w:tc>
                <w:tcPr>
                  <w:tcW w:w="483" w:type="pct"/>
                  <w:tcBorders>
                    <w:tl2br w:val="nil"/>
                    <w:tr2bl w:val="nil"/>
                  </w:tcBorders>
                  <w:noWrap/>
                  <w:vAlign w:val="center"/>
                </w:tcPr>
                <w:p w14:paraId="548A32F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0.73</w:t>
                  </w:r>
                </w:p>
              </w:tc>
              <w:tc>
                <w:tcPr>
                  <w:tcW w:w="574" w:type="pct"/>
                  <w:tcBorders>
                    <w:tl2br w:val="nil"/>
                    <w:tr2bl w:val="nil"/>
                  </w:tcBorders>
                  <w:noWrap/>
                  <w:vAlign w:val="center"/>
                </w:tcPr>
                <w:p w14:paraId="54D2D30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0.90</w:t>
                  </w:r>
                </w:p>
              </w:tc>
              <w:tc>
                <w:tcPr>
                  <w:tcW w:w="509" w:type="pct"/>
                  <w:tcBorders>
                    <w:tl2br w:val="nil"/>
                    <w:tr2bl w:val="nil"/>
                  </w:tcBorders>
                  <w:noWrap/>
                  <w:vAlign w:val="center"/>
                </w:tcPr>
                <w:p w14:paraId="36F57E9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0.83</w:t>
                  </w:r>
                </w:p>
              </w:tc>
              <w:tc>
                <w:tcPr>
                  <w:tcW w:w="656" w:type="pct"/>
                  <w:tcBorders>
                    <w:tl2br w:val="nil"/>
                    <w:tr2bl w:val="nil"/>
                  </w:tcBorders>
                  <w:noWrap/>
                  <w:vAlign w:val="center"/>
                </w:tcPr>
                <w:p w14:paraId="03064DA9">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6310CA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17E451B9">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2D1FD92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0.79</w:t>
                  </w:r>
                </w:p>
              </w:tc>
              <w:tc>
                <w:tcPr>
                  <w:tcW w:w="581" w:type="pct"/>
                  <w:tcBorders>
                    <w:tl2br w:val="nil"/>
                    <w:tr2bl w:val="nil"/>
                  </w:tcBorders>
                  <w:vAlign w:val="center"/>
                </w:tcPr>
                <w:p w14:paraId="39DAC12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0.96</w:t>
                  </w:r>
                </w:p>
              </w:tc>
              <w:tc>
                <w:tcPr>
                  <w:tcW w:w="565" w:type="pct"/>
                  <w:tcBorders>
                    <w:tl2br w:val="nil"/>
                    <w:tr2bl w:val="nil"/>
                  </w:tcBorders>
                  <w:vAlign w:val="center"/>
                </w:tcPr>
                <w:p w14:paraId="1830C50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0.79</w:t>
                  </w:r>
                </w:p>
              </w:tc>
              <w:tc>
                <w:tcPr>
                  <w:tcW w:w="449" w:type="pct"/>
                  <w:tcBorders>
                    <w:tl2br w:val="nil"/>
                    <w:tr2bl w:val="nil"/>
                  </w:tcBorders>
                  <w:noWrap/>
                  <w:vAlign w:val="center"/>
                </w:tcPr>
                <w:p w14:paraId="2204029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w:t>
                  </w:r>
                </w:p>
              </w:tc>
              <w:tc>
                <w:tcPr>
                  <w:tcW w:w="483" w:type="pct"/>
                  <w:tcBorders>
                    <w:tl2br w:val="nil"/>
                    <w:tr2bl w:val="nil"/>
                  </w:tcBorders>
                  <w:noWrap/>
                  <w:vAlign w:val="center"/>
                </w:tcPr>
                <w:p w14:paraId="0EE48BF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0.79</w:t>
                  </w:r>
                </w:p>
              </w:tc>
              <w:tc>
                <w:tcPr>
                  <w:tcW w:w="574" w:type="pct"/>
                  <w:tcBorders>
                    <w:tl2br w:val="nil"/>
                    <w:tr2bl w:val="nil"/>
                  </w:tcBorders>
                  <w:noWrap/>
                  <w:vAlign w:val="center"/>
                </w:tcPr>
                <w:p w14:paraId="70DB2BA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0.96</w:t>
                  </w:r>
                </w:p>
              </w:tc>
              <w:tc>
                <w:tcPr>
                  <w:tcW w:w="509" w:type="pct"/>
                  <w:tcBorders>
                    <w:tl2br w:val="nil"/>
                    <w:tr2bl w:val="nil"/>
                  </w:tcBorders>
                  <w:noWrap/>
                  <w:vAlign w:val="center"/>
                </w:tcPr>
                <w:p w14:paraId="2327394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0.79</w:t>
                  </w:r>
                </w:p>
              </w:tc>
              <w:tc>
                <w:tcPr>
                  <w:tcW w:w="656" w:type="pct"/>
                  <w:tcBorders>
                    <w:tl2br w:val="nil"/>
                    <w:tr2bl w:val="nil"/>
                  </w:tcBorders>
                  <w:noWrap/>
                  <w:vAlign w:val="center"/>
                </w:tcPr>
                <w:p w14:paraId="32CC4F73">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2FFA76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163AC395">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676DE1F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0.76</w:t>
                  </w:r>
                </w:p>
              </w:tc>
              <w:tc>
                <w:tcPr>
                  <w:tcW w:w="581" w:type="pct"/>
                  <w:tcBorders>
                    <w:tl2br w:val="nil"/>
                    <w:tr2bl w:val="nil"/>
                  </w:tcBorders>
                  <w:vAlign w:val="center"/>
                </w:tcPr>
                <w:p w14:paraId="7D830C2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0.83</w:t>
                  </w:r>
                </w:p>
              </w:tc>
              <w:tc>
                <w:tcPr>
                  <w:tcW w:w="565" w:type="pct"/>
                  <w:tcBorders>
                    <w:tl2br w:val="nil"/>
                    <w:tr2bl w:val="nil"/>
                  </w:tcBorders>
                  <w:vAlign w:val="center"/>
                </w:tcPr>
                <w:p w14:paraId="277660A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0.81</w:t>
                  </w:r>
                </w:p>
              </w:tc>
              <w:tc>
                <w:tcPr>
                  <w:tcW w:w="449" w:type="pct"/>
                  <w:tcBorders>
                    <w:tl2br w:val="nil"/>
                    <w:tr2bl w:val="nil"/>
                  </w:tcBorders>
                  <w:noWrap/>
                  <w:vAlign w:val="center"/>
                </w:tcPr>
                <w:p w14:paraId="0366C5E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w:t>
                  </w:r>
                </w:p>
              </w:tc>
              <w:tc>
                <w:tcPr>
                  <w:tcW w:w="483" w:type="pct"/>
                  <w:tcBorders>
                    <w:tl2br w:val="nil"/>
                    <w:tr2bl w:val="nil"/>
                  </w:tcBorders>
                  <w:noWrap/>
                  <w:vAlign w:val="center"/>
                </w:tcPr>
                <w:p w14:paraId="18C3039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0.76</w:t>
                  </w:r>
                </w:p>
              </w:tc>
              <w:tc>
                <w:tcPr>
                  <w:tcW w:w="574" w:type="pct"/>
                  <w:tcBorders>
                    <w:tl2br w:val="nil"/>
                    <w:tr2bl w:val="nil"/>
                  </w:tcBorders>
                  <w:noWrap/>
                  <w:vAlign w:val="center"/>
                </w:tcPr>
                <w:p w14:paraId="0C6D751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0.83</w:t>
                  </w:r>
                </w:p>
              </w:tc>
              <w:tc>
                <w:tcPr>
                  <w:tcW w:w="509" w:type="pct"/>
                  <w:tcBorders>
                    <w:tl2br w:val="nil"/>
                    <w:tr2bl w:val="nil"/>
                  </w:tcBorders>
                  <w:noWrap/>
                  <w:vAlign w:val="center"/>
                </w:tcPr>
                <w:p w14:paraId="5E311CB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0.81</w:t>
                  </w:r>
                </w:p>
              </w:tc>
              <w:tc>
                <w:tcPr>
                  <w:tcW w:w="656" w:type="pct"/>
                  <w:tcBorders>
                    <w:tl2br w:val="nil"/>
                    <w:tr2bl w:val="nil"/>
                  </w:tcBorders>
                  <w:noWrap/>
                  <w:vAlign w:val="center"/>
                </w:tcPr>
                <w:p w14:paraId="1D285967">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010257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restart"/>
                  <w:tcBorders>
                    <w:tl2br w:val="nil"/>
                    <w:tr2bl w:val="nil"/>
                  </w:tcBorders>
                  <w:vAlign w:val="center"/>
                </w:tcPr>
                <w:p w14:paraId="36A5801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铊</w:t>
                  </w:r>
                </w:p>
              </w:tc>
              <w:tc>
                <w:tcPr>
                  <w:tcW w:w="580" w:type="pct"/>
                  <w:tcBorders>
                    <w:tl2br w:val="nil"/>
                    <w:tr2bl w:val="nil"/>
                  </w:tcBorders>
                  <w:vAlign w:val="center"/>
                </w:tcPr>
                <w:p w14:paraId="062EB88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0.00001L</w:t>
                  </w:r>
                </w:p>
              </w:tc>
              <w:tc>
                <w:tcPr>
                  <w:tcW w:w="581" w:type="pct"/>
                  <w:tcBorders>
                    <w:tl2br w:val="nil"/>
                    <w:tr2bl w:val="nil"/>
                  </w:tcBorders>
                  <w:vAlign w:val="center"/>
                </w:tcPr>
                <w:p w14:paraId="496A27A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0.00001L</w:t>
                  </w:r>
                </w:p>
              </w:tc>
              <w:tc>
                <w:tcPr>
                  <w:tcW w:w="565" w:type="pct"/>
                  <w:tcBorders>
                    <w:tl2br w:val="nil"/>
                    <w:tr2bl w:val="nil"/>
                  </w:tcBorders>
                  <w:vAlign w:val="center"/>
                </w:tcPr>
                <w:p w14:paraId="087F066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0.00001L</w:t>
                  </w:r>
                </w:p>
              </w:tc>
              <w:tc>
                <w:tcPr>
                  <w:tcW w:w="449" w:type="pct"/>
                  <w:tcBorders>
                    <w:tl2br w:val="nil"/>
                    <w:tr2bl w:val="nil"/>
                  </w:tcBorders>
                  <w:noWrap/>
                  <w:vAlign w:val="center"/>
                </w:tcPr>
                <w:p w14:paraId="0C24AE9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0.0001</w:t>
                  </w:r>
                </w:p>
              </w:tc>
              <w:tc>
                <w:tcPr>
                  <w:tcW w:w="483" w:type="pct"/>
                  <w:tcBorders>
                    <w:tl2br w:val="nil"/>
                    <w:tr2bl w:val="nil"/>
                  </w:tcBorders>
                  <w:noWrap/>
                  <w:vAlign w:val="center"/>
                </w:tcPr>
                <w:p w14:paraId="764B0AF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574" w:type="pct"/>
                  <w:tcBorders>
                    <w:tl2br w:val="nil"/>
                    <w:tr2bl w:val="nil"/>
                  </w:tcBorders>
                  <w:noWrap/>
                  <w:vAlign w:val="center"/>
                </w:tcPr>
                <w:p w14:paraId="37F1328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509" w:type="pct"/>
                  <w:tcBorders>
                    <w:tl2br w:val="nil"/>
                    <w:tr2bl w:val="nil"/>
                  </w:tcBorders>
                  <w:noWrap/>
                  <w:vAlign w:val="center"/>
                </w:tcPr>
                <w:p w14:paraId="3B2B20F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656" w:type="pct"/>
                  <w:tcBorders>
                    <w:tl2br w:val="nil"/>
                    <w:tr2bl w:val="nil"/>
                  </w:tcBorders>
                  <w:noWrap/>
                  <w:vAlign w:val="center"/>
                </w:tcPr>
                <w:p w14:paraId="009C2349">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40AF8D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51E58042">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6C76469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0.00001L</w:t>
                  </w:r>
                </w:p>
              </w:tc>
              <w:tc>
                <w:tcPr>
                  <w:tcW w:w="581" w:type="pct"/>
                  <w:tcBorders>
                    <w:tl2br w:val="nil"/>
                    <w:tr2bl w:val="nil"/>
                  </w:tcBorders>
                  <w:vAlign w:val="center"/>
                </w:tcPr>
                <w:p w14:paraId="107FF67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0.00001L</w:t>
                  </w:r>
                </w:p>
              </w:tc>
              <w:tc>
                <w:tcPr>
                  <w:tcW w:w="565" w:type="pct"/>
                  <w:tcBorders>
                    <w:tl2br w:val="nil"/>
                    <w:tr2bl w:val="nil"/>
                  </w:tcBorders>
                  <w:vAlign w:val="center"/>
                </w:tcPr>
                <w:p w14:paraId="181DF4D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0.00001L</w:t>
                  </w:r>
                </w:p>
              </w:tc>
              <w:tc>
                <w:tcPr>
                  <w:tcW w:w="449" w:type="pct"/>
                  <w:tcBorders>
                    <w:tl2br w:val="nil"/>
                    <w:tr2bl w:val="nil"/>
                  </w:tcBorders>
                  <w:noWrap/>
                  <w:vAlign w:val="center"/>
                </w:tcPr>
                <w:p w14:paraId="5046A0E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0.0001</w:t>
                  </w:r>
                </w:p>
              </w:tc>
              <w:tc>
                <w:tcPr>
                  <w:tcW w:w="483" w:type="pct"/>
                  <w:tcBorders>
                    <w:tl2br w:val="nil"/>
                    <w:tr2bl w:val="nil"/>
                  </w:tcBorders>
                  <w:noWrap/>
                  <w:vAlign w:val="center"/>
                </w:tcPr>
                <w:p w14:paraId="40971AE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574" w:type="pct"/>
                  <w:tcBorders>
                    <w:tl2br w:val="nil"/>
                    <w:tr2bl w:val="nil"/>
                  </w:tcBorders>
                  <w:noWrap/>
                  <w:vAlign w:val="center"/>
                </w:tcPr>
                <w:p w14:paraId="7FF0D69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509" w:type="pct"/>
                  <w:tcBorders>
                    <w:tl2br w:val="nil"/>
                    <w:tr2bl w:val="nil"/>
                  </w:tcBorders>
                  <w:noWrap/>
                  <w:vAlign w:val="center"/>
                </w:tcPr>
                <w:p w14:paraId="5565D05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656" w:type="pct"/>
                  <w:tcBorders>
                    <w:tl2br w:val="nil"/>
                    <w:tr2bl w:val="nil"/>
                  </w:tcBorders>
                  <w:noWrap/>
                  <w:vAlign w:val="center"/>
                </w:tcPr>
                <w:p w14:paraId="3DF6D0A8">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64D35C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9" w:type="pct"/>
                  <w:vMerge w:val="continue"/>
                  <w:tcBorders>
                    <w:tl2br w:val="nil"/>
                    <w:tr2bl w:val="nil"/>
                  </w:tcBorders>
                  <w:vAlign w:val="center"/>
                </w:tcPr>
                <w:p w14:paraId="29C8EB5E">
                  <w:pPr>
                    <w:jc w:val="center"/>
                    <w:rPr>
                      <w:rFonts w:hint="default" w:ascii="Times New Roman" w:hAnsi="Times New Roman" w:cs="Times New Roman"/>
                      <w:color w:val="auto"/>
                      <w:sz w:val="18"/>
                      <w:szCs w:val="18"/>
                    </w:rPr>
                  </w:pPr>
                </w:p>
              </w:tc>
              <w:tc>
                <w:tcPr>
                  <w:tcW w:w="580" w:type="pct"/>
                  <w:tcBorders>
                    <w:tl2br w:val="nil"/>
                    <w:tr2bl w:val="nil"/>
                  </w:tcBorders>
                  <w:vAlign w:val="center"/>
                </w:tcPr>
                <w:p w14:paraId="1BFA491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0.00001L</w:t>
                  </w:r>
                </w:p>
              </w:tc>
              <w:tc>
                <w:tcPr>
                  <w:tcW w:w="581" w:type="pct"/>
                  <w:tcBorders>
                    <w:tl2br w:val="nil"/>
                    <w:tr2bl w:val="nil"/>
                  </w:tcBorders>
                  <w:vAlign w:val="center"/>
                </w:tcPr>
                <w:p w14:paraId="6BD1FBC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0.00001L</w:t>
                  </w:r>
                </w:p>
              </w:tc>
              <w:tc>
                <w:tcPr>
                  <w:tcW w:w="565" w:type="pct"/>
                  <w:tcBorders>
                    <w:tl2br w:val="nil"/>
                    <w:tr2bl w:val="nil"/>
                  </w:tcBorders>
                  <w:vAlign w:val="center"/>
                </w:tcPr>
                <w:p w14:paraId="71B5AD2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0.00001L</w:t>
                  </w:r>
                </w:p>
              </w:tc>
              <w:tc>
                <w:tcPr>
                  <w:tcW w:w="449" w:type="pct"/>
                  <w:tcBorders>
                    <w:tl2br w:val="nil"/>
                    <w:tr2bl w:val="nil"/>
                  </w:tcBorders>
                  <w:noWrap/>
                  <w:vAlign w:val="center"/>
                </w:tcPr>
                <w:p w14:paraId="61C0AEA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0.0001</w:t>
                  </w:r>
                </w:p>
              </w:tc>
              <w:tc>
                <w:tcPr>
                  <w:tcW w:w="483" w:type="pct"/>
                  <w:tcBorders>
                    <w:tl2br w:val="nil"/>
                    <w:tr2bl w:val="nil"/>
                  </w:tcBorders>
                  <w:noWrap/>
                  <w:vAlign w:val="center"/>
                </w:tcPr>
                <w:p w14:paraId="37F9DFE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574" w:type="pct"/>
                  <w:tcBorders>
                    <w:tl2br w:val="nil"/>
                    <w:tr2bl w:val="nil"/>
                  </w:tcBorders>
                  <w:noWrap/>
                  <w:vAlign w:val="center"/>
                </w:tcPr>
                <w:p w14:paraId="080FEF4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509" w:type="pct"/>
                  <w:tcBorders>
                    <w:tl2br w:val="nil"/>
                    <w:tr2bl w:val="nil"/>
                  </w:tcBorders>
                  <w:noWrap/>
                  <w:vAlign w:val="center"/>
                </w:tcPr>
                <w:p w14:paraId="665B0D0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656" w:type="pct"/>
                  <w:tcBorders>
                    <w:tl2br w:val="nil"/>
                    <w:tr2bl w:val="nil"/>
                  </w:tcBorders>
                  <w:noWrap/>
                  <w:vAlign w:val="center"/>
                </w:tcPr>
                <w:p w14:paraId="4E105D2D">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bl>
          <w:p w14:paraId="1B97C7DF">
            <w:pPr>
              <w:spacing w:line="360" w:lineRule="auto"/>
              <w:ind w:firstLine="480" w:firstLineChars="200"/>
              <w:rPr>
                <w:rFonts w:hint="default" w:ascii="Times New Roman" w:hAnsi="Times New Roman" w:cs="Times New Roman"/>
                <w:b/>
                <w:color w:val="auto"/>
                <w:sz w:val="24"/>
              </w:rPr>
            </w:pPr>
            <w:r>
              <w:rPr>
                <w:rFonts w:hint="default" w:ascii="Times New Roman" w:hAnsi="Times New Roman" w:cs="Times New Roman"/>
                <w:color w:val="auto"/>
                <w:sz w:val="24"/>
              </w:rPr>
              <w:t>由上表可知</w:t>
            </w:r>
            <w:bookmarkStart w:id="108" w:name="_Hlk220330956"/>
            <w:r>
              <w:rPr>
                <w:rFonts w:hint="default" w:ascii="Times New Roman" w:hAnsi="Times New Roman" w:cs="Times New Roman"/>
                <w:color w:val="auto"/>
                <w:sz w:val="24"/>
              </w:rPr>
              <w:t>，监测断面监测指标中的化学需氧量、五日生化需氧量、氨氮均超出《地表水环境质量标准》（GB3838-2002）Ⅲ类标准要求，其余因子均满足《地表水环境质量标准》（GB3838-2002）Ⅲ类标准要求。</w:t>
            </w:r>
            <w:bookmarkEnd w:id="108"/>
            <w:r>
              <w:rPr>
                <w:rFonts w:hint="default" w:ascii="Times New Roman" w:hAnsi="Times New Roman" w:cs="Times New Roman"/>
                <w:color w:val="auto"/>
                <w:sz w:val="24"/>
              </w:rPr>
              <w:t>超标的主要原因为监测断面周边存在村庄，村落污水排放较集中，排放后污染物大部分直接进入到里山大沟，对其水质造成不利影响，因此里山大沟现状水质超标主要是由于农业面源污染和城镇生活污水未设置集中治理措施，随意排放导致，本项目生产过程中废水全部回用不外排，生活污水进入园区污水管网，因此不会对周边地表水体水质造成影响，故地表水质超标与本项目无关，主要原因为周边农村面源污染影响。</w:t>
            </w:r>
          </w:p>
          <w:p w14:paraId="28DB7A20">
            <w:pPr>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3、声环境现状</w:t>
            </w:r>
          </w:p>
          <w:p w14:paraId="06E8D56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位于云南通海产业园区里山片区，且项目区东北面紧邻高速公路（通建高速支线），属于交通干线道路两侧区域，因此本次评价项目区东北面30m范围内噪声执行《声环境质量标准》（GB3096-2008）中的4类标准；其余区域噪声执行《声环境质量标准》（GB3096-2008）3类标准，周围关心点执行2类标准。</w:t>
            </w:r>
          </w:p>
          <w:p w14:paraId="673F3097">
            <w:pPr>
              <w:spacing w:line="360" w:lineRule="auto"/>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表3-7  声环境质量标准   单位：dB(A)</w:t>
            </w:r>
          </w:p>
          <w:tbl>
            <w:tblPr>
              <w:tblStyle w:val="3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2"/>
              <w:gridCol w:w="3119"/>
              <w:gridCol w:w="3047"/>
            </w:tblGrid>
            <w:tr w14:paraId="402E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7" w:type="pct"/>
                  <w:vAlign w:val="center"/>
                </w:tcPr>
                <w:p w14:paraId="2984FEF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类别</w:t>
                  </w:r>
                </w:p>
              </w:tc>
              <w:tc>
                <w:tcPr>
                  <w:tcW w:w="1989" w:type="pct"/>
                  <w:vAlign w:val="center"/>
                </w:tcPr>
                <w:p w14:paraId="549E3C0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昼间</w:t>
                  </w:r>
                </w:p>
              </w:tc>
              <w:tc>
                <w:tcPr>
                  <w:tcW w:w="1943" w:type="pct"/>
                  <w:tcBorders>
                    <w:right w:val="nil"/>
                  </w:tcBorders>
                  <w:vAlign w:val="center"/>
                </w:tcPr>
                <w:p w14:paraId="4B02629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夜间</w:t>
                  </w:r>
                </w:p>
              </w:tc>
            </w:tr>
            <w:tr w14:paraId="0CA3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7" w:type="pct"/>
                  <w:tcBorders>
                    <w:left w:val="nil"/>
                  </w:tcBorders>
                  <w:vAlign w:val="center"/>
                </w:tcPr>
                <w:p w14:paraId="3D50CCB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3类</w:t>
                  </w:r>
                </w:p>
              </w:tc>
              <w:tc>
                <w:tcPr>
                  <w:tcW w:w="1989" w:type="pct"/>
                  <w:vAlign w:val="center"/>
                </w:tcPr>
                <w:p w14:paraId="2714F73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w:t>
                  </w:r>
                </w:p>
              </w:tc>
              <w:tc>
                <w:tcPr>
                  <w:tcW w:w="1943" w:type="pct"/>
                  <w:tcBorders>
                    <w:right w:val="nil"/>
                  </w:tcBorders>
                  <w:vAlign w:val="center"/>
                </w:tcPr>
                <w:p w14:paraId="14B6EF7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55</w:t>
                  </w:r>
                </w:p>
              </w:tc>
            </w:tr>
            <w:tr w14:paraId="6F7B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7" w:type="pct"/>
                  <w:tcBorders>
                    <w:left w:val="nil"/>
                  </w:tcBorders>
                  <w:vAlign w:val="center"/>
                </w:tcPr>
                <w:p w14:paraId="5BF813C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4a类</w:t>
                  </w:r>
                </w:p>
              </w:tc>
              <w:tc>
                <w:tcPr>
                  <w:tcW w:w="1989" w:type="pct"/>
                  <w:vAlign w:val="center"/>
                </w:tcPr>
                <w:p w14:paraId="33E26EF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w:t>
                  </w:r>
                </w:p>
              </w:tc>
              <w:tc>
                <w:tcPr>
                  <w:tcW w:w="1943" w:type="pct"/>
                  <w:tcBorders>
                    <w:right w:val="nil"/>
                  </w:tcBorders>
                  <w:vAlign w:val="center"/>
                </w:tcPr>
                <w:p w14:paraId="0833F69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55</w:t>
                  </w:r>
                </w:p>
              </w:tc>
            </w:tr>
            <w:tr w14:paraId="63B0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7" w:type="pct"/>
                  <w:tcBorders>
                    <w:left w:val="nil"/>
                  </w:tcBorders>
                  <w:vAlign w:val="center"/>
                </w:tcPr>
                <w:p w14:paraId="7D69C8B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2类</w:t>
                  </w:r>
                </w:p>
              </w:tc>
              <w:tc>
                <w:tcPr>
                  <w:tcW w:w="1989" w:type="pct"/>
                  <w:vAlign w:val="center"/>
                </w:tcPr>
                <w:p w14:paraId="37D4ED7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1943" w:type="pct"/>
                  <w:tcBorders>
                    <w:right w:val="nil"/>
                  </w:tcBorders>
                  <w:vAlign w:val="center"/>
                </w:tcPr>
                <w:p w14:paraId="77BB672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w:t>
                  </w:r>
                </w:p>
              </w:tc>
            </w:tr>
          </w:tbl>
          <w:p w14:paraId="2D4E7CB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项目区周边50m范围内无关心点分布，距离项目最近的关心点为项目区西南面695m处的象坪村；因此无需进行声环境质量现状监测。</w:t>
            </w:r>
          </w:p>
          <w:p w14:paraId="3714800E">
            <w:pPr>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4、地下水环境现状</w:t>
            </w:r>
          </w:p>
          <w:p w14:paraId="28817CAB">
            <w:pPr>
              <w:pStyle w:val="13"/>
              <w:widowControl w:val="0"/>
              <w:snapToGrid/>
              <w:spacing w:after="0"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rPr>
              <w:t>项目所在区域地下水执行《地下水质量标准》（GB/T14848-2017）中的Ⅲ类标</w:t>
            </w:r>
            <w:r>
              <w:rPr>
                <w:rFonts w:hint="default" w:ascii="Times New Roman" w:hAnsi="Times New Roman" w:cs="Times New Roman"/>
                <w:color w:val="auto"/>
                <w:sz w:val="24"/>
                <w:szCs w:val="24"/>
              </w:rPr>
              <w:t>准。</w:t>
            </w:r>
          </w:p>
          <w:p w14:paraId="0FD7EE98">
            <w:pPr>
              <w:spacing w:line="360" w:lineRule="auto"/>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表3-8   地下水质量标准   单位：mg/L</w:t>
            </w:r>
          </w:p>
          <w:tbl>
            <w:tblPr>
              <w:tblStyle w:val="35"/>
              <w:tblW w:w="4996"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90"/>
              <w:gridCol w:w="610"/>
              <w:gridCol w:w="618"/>
              <w:gridCol w:w="618"/>
              <w:gridCol w:w="706"/>
              <w:gridCol w:w="706"/>
              <w:gridCol w:w="618"/>
              <w:gridCol w:w="662"/>
              <w:gridCol w:w="1461"/>
              <w:gridCol w:w="1461"/>
            </w:tblGrid>
            <w:tr w14:paraId="3C83532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87" w:type="pct"/>
                  <w:tcBorders>
                    <w:tl2br w:val="nil"/>
                    <w:tr2bl w:val="nil"/>
                  </w:tcBorders>
                  <w:vAlign w:val="center"/>
                </w:tcPr>
                <w:p w14:paraId="1D1CCAE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指标名称</w:t>
                  </w:r>
                </w:p>
              </w:tc>
              <w:tc>
                <w:tcPr>
                  <w:tcW w:w="333" w:type="pct"/>
                  <w:tcBorders>
                    <w:tl2br w:val="nil"/>
                    <w:tr2bl w:val="nil"/>
                  </w:tcBorders>
                  <w:vAlign w:val="center"/>
                </w:tcPr>
                <w:p w14:paraId="4A3602D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pH</w:t>
                  </w:r>
                </w:p>
              </w:tc>
              <w:tc>
                <w:tcPr>
                  <w:tcW w:w="385" w:type="pct"/>
                  <w:tcBorders>
                    <w:tl2br w:val="nil"/>
                    <w:tr2bl w:val="nil"/>
                  </w:tcBorders>
                  <w:vAlign w:val="center"/>
                </w:tcPr>
                <w:p w14:paraId="6566A1C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氨氮</w:t>
                  </w:r>
                </w:p>
              </w:tc>
              <w:tc>
                <w:tcPr>
                  <w:tcW w:w="386" w:type="pct"/>
                  <w:tcBorders>
                    <w:tl2br w:val="nil"/>
                    <w:tr2bl w:val="nil"/>
                  </w:tcBorders>
                  <w:vAlign w:val="center"/>
                </w:tcPr>
                <w:p w14:paraId="2929565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耗氧量</w:t>
                  </w:r>
                </w:p>
              </w:tc>
              <w:tc>
                <w:tcPr>
                  <w:tcW w:w="492" w:type="pct"/>
                  <w:tcBorders>
                    <w:tl2br w:val="nil"/>
                    <w:tr2bl w:val="nil"/>
                  </w:tcBorders>
                  <w:vAlign w:val="center"/>
                </w:tcPr>
                <w:p w14:paraId="510D2A5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As</w:t>
                  </w:r>
                </w:p>
              </w:tc>
              <w:tc>
                <w:tcPr>
                  <w:tcW w:w="459" w:type="pct"/>
                  <w:tcBorders>
                    <w:tl2br w:val="nil"/>
                    <w:tr2bl w:val="nil"/>
                  </w:tcBorders>
                  <w:vAlign w:val="center"/>
                </w:tcPr>
                <w:p w14:paraId="75857B8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Hg</w:t>
                  </w:r>
                </w:p>
              </w:tc>
              <w:tc>
                <w:tcPr>
                  <w:tcW w:w="452" w:type="pct"/>
                  <w:tcBorders>
                    <w:tl2br w:val="nil"/>
                    <w:tr2bl w:val="nil"/>
                  </w:tcBorders>
                  <w:vAlign w:val="center"/>
                </w:tcPr>
                <w:p w14:paraId="3ECB78A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Pb</w:t>
                  </w:r>
                </w:p>
              </w:tc>
              <w:tc>
                <w:tcPr>
                  <w:tcW w:w="492" w:type="pct"/>
                  <w:tcBorders>
                    <w:tl2br w:val="nil"/>
                    <w:tr2bl w:val="nil"/>
                  </w:tcBorders>
                  <w:vAlign w:val="center"/>
                </w:tcPr>
                <w:p w14:paraId="6F8CC05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Fe</w:t>
                  </w:r>
                </w:p>
              </w:tc>
              <w:tc>
                <w:tcPr>
                  <w:tcW w:w="832" w:type="pct"/>
                  <w:tcBorders>
                    <w:tl2br w:val="nil"/>
                    <w:tr2bl w:val="nil"/>
                  </w:tcBorders>
                  <w:vAlign w:val="center"/>
                </w:tcPr>
                <w:p w14:paraId="5646ECC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Mn</w:t>
                  </w:r>
                </w:p>
              </w:tc>
              <w:tc>
                <w:tcPr>
                  <w:tcW w:w="778" w:type="pct"/>
                  <w:tcBorders>
                    <w:tl2br w:val="nil"/>
                    <w:tr2bl w:val="nil"/>
                  </w:tcBorders>
                  <w:vAlign w:val="center"/>
                </w:tcPr>
                <w:p w14:paraId="561CB2C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Ni</w:t>
                  </w:r>
                </w:p>
              </w:tc>
            </w:tr>
            <w:tr w14:paraId="542B2FC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87" w:type="pct"/>
                  <w:tcBorders>
                    <w:tl2br w:val="nil"/>
                    <w:tr2bl w:val="nil"/>
                  </w:tcBorders>
                  <w:vAlign w:val="center"/>
                </w:tcPr>
                <w:p w14:paraId="1A0D167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Ⅲ类标准</w:t>
                  </w:r>
                </w:p>
              </w:tc>
              <w:tc>
                <w:tcPr>
                  <w:tcW w:w="333" w:type="pct"/>
                  <w:tcBorders>
                    <w:tl2br w:val="nil"/>
                    <w:tr2bl w:val="nil"/>
                  </w:tcBorders>
                  <w:vAlign w:val="center"/>
                </w:tcPr>
                <w:p w14:paraId="501C647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6.5～8.5</w:t>
                  </w:r>
                </w:p>
              </w:tc>
              <w:tc>
                <w:tcPr>
                  <w:tcW w:w="385" w:type="pct"/>
                  <w:tcBorders>
                    <w:tl2br w:val="nil"/>
                    <w:tr2bl w:val="nil"/>
                  </w:tcBorders>
                  <w:vAlign w:val="center"/>
                </w:tcPr>
                <w:p w14:paraId="4671BA8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≤0.50</w:t>
                  </w:r>
                </w:p>
              </w:tc>
              <w:tc>
                <w:tcPr>
                  <w:tcW w:w="386" w:type="pct"/>
                  <w:tcBorders>
                    <w:tl2br w:val="nil"/>
                    <w:tr2bl w:val="nil"/>
                  </w:tcBorders>
                  <w:vAlign w:val="center"/>
                </w:tcPr>
                <w:p w14:paraId="484C071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≤3.0</w:t>
                  </w:r>
                </w:p>
              </w:tc>
              <w:tc>
                <w:tcPr>
                  <w:tcW w:w="492" w:type="pct"/>
                  <w:tcBorders>
                    <w:tl2br w:val="nil"/>
                    <w:tr2bl w:val="nil"/>
                  </w:tcBorders>
                  <w:vAlign w:val="center"/>
                </w:tcPr>
                <w:p w14:paraId="7724670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459" w:type="pct"/>
                  <w:tcBorders>
                    <w:tl2br w:val="nil"/>
                    <w:tr2bl w:val="nil"/>
                  </w:tcBorders>
                  <w:vAlign w:val="center"/>
                </w:tcPr>
                <w:p w14:paraId="5B4A717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≤0.001</w:t>
                  </w:r>
                </w:p>
              </w:tc>
              <w:tc>
                <w:tcPr>
                  <w:tcW w:w="452" w:type="pct"/>
                  <w:tcBorders>
                    <w:tl2br w:val="nil"/>
                    <w:tr2bl w:val="nil"/>
                  </w:tcBorders>
                  <w:vAlign w:val="center"/>
                </w:tcPr>
                <w:p w14:paraId="498F952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≤0.01</w:t>
                  </w:r>
                </w:p>
              </w:tc>
              <w:tc>
                <w:tcPr>
                  <w:tcW w:w="492" w:type="pct"/>
                  <w:tcBorders>
                    <w:tl2br w:val="nil"/>
                    <w:tr2bl w:val="nil"/>
                  </w:tcBorders>
                  <w:vAlign w:val="center"/>
                </w:tcPr>
                <w:p w14:paraId="2DFCD48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≤0.3</w:t>
                  </w:r>
                </w:p>
              </w:tc>
              <w:tc>
                <w:tcPr>
                  <w:tcW w:w="832" w:type="pct"/>
                  <w:tcBorders>
                    <w:tl2br w:val="nil"/>
                    <w:tr2bl w:val="nil"/>
                  </w:tcBorders>
                  <w:vAlign w:val="center"/>
                </w:tcPr>
                <w:p w14:paraId="5ED15DB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≤0.10</w:t>
                  </w:r>
                </w:p>
              </w:tc>
              <w:tc>
                <w:tcPr>
                  <w:tcW w:w="778" w:type="pct"/>
                  <w:tcBorders>
                    <w:tl2br w:val="nil"/>
                    <w:tr2bl w:val="nil"/>
                  </w:tcBorders>
                  <w:vAlign w:val="center"/>
                </w:tcPr>
                <w:p w14:paraId="734714E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≤0.02</w:t>
                  </w:r>
                </w:p>
              </w:tc>
            </w:tr>
            <w:tr w14:paraId="439CEBD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87" w:type="pct"/>
                  <w:tcBorders>
                    <w:tl2br w:val="nil"/>
                    <w:tr2bl w:val="nil"/>
                  </w:tcBorders>
                  <w:vAlign w:val="center"/>
                </w:tcPr>
                <w:p w14:paraId="3D12654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指标名称</w:t>
                  </w:r>
                </w:p>
              </w:tc>
              <w:tc>
                <w:tcPr>
                  <w:tcW w:w="333" w:type="pct"/>
                  <w:tcBorders>
                    <w:tl2br w:val="nil"/>
                    <w:tr2bl w:val="nil"/>
                  </w:tcBorders>
                  <w:vAlign w:val="center"/>
                </w:tcPr>
                <w:p w14:paraId="0EFF711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Al</w:t>
                  </w:r>
                </w:p>
              </w:tc>
              <w:tc>
                <w:tcPr>
                  <w:tcW w:w="385" w:type="pct"/>
                  <w:tcBorders>
                    <w:tl2br w:val="nil"/>
                    <w:tr2bl w:val="nil"/>
                  </w:tcBorders>
                  <w:vAlign w:val="center"/>
                </w:tcPr>
                <w:p w14:paraId="2F81266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Zn</w:t>
                  </w:r>
                </w:p>
              </w:tc>
              <w:tc>
                <w:tcPr>
                  <w:tcW w:w="386" w:type="pct"/>
                  <w:tcBorders>
                    <w:tl2br w:val="nil"/>
                    <w:tr2bl w:val="nil"/>
                  </w:tcBorders>
                  <w:vAlign w:val="center"/>
                </w:tcPr>
                <w:p w14:paraId="0A3977A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Cu</w:t>
                  </w:r>
                </w:p>
              </w:tc>
              <w:tc>
                <w:tcPr>
                  <w:tcW w:w="492" w:type="pct"/>
                  <w:tcBorders>
                    <w:tl2br w:val="nil"/>
                    <w:tr2bl w:val="nil"/>
                  </w:tcBorders>
                  <w:vAlign w:val="center"/>
                </w:tcPr>
                <w:p w14:paraId="08E478E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Cd</w:t>
                  </w:r>
                </w:p>
              </w:tc>
              <w:tc>
                <w:tcPr>
                  <w:tcW w:w="459" w:type="pct"/>
                  <w:tcBorders>
                    <w:tl2br w:val="nil"/>
                    <w:tr2bl w:val="nil"/>
                  </w:tcBorders>
                  <w:vAlign w:val="center"/>
                </w:tcPr>
                <w:p w14:paraId="7132C00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六价铬</w:t>
                  </w:r>
                </w:p>
              </w:tc>
              <w:tc>
                <w:tcPr>
                  <w:tcW w:w="452" w:type="pct"/>
                  <w:tcBorders>
                    <w:tl2br w:val="nil"/>
                    <w:tr2bl w:val="nil"/>
                  </w:tcBorders>
                  <w:vAlign w:val="center"/>
                </w:tcPr>
                <w:p w14:paraId="40F342A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氟化物</w:t>
                  </w:r>
                </w:p>
              </w:tc>
              <w:tc>
                <w:tcPr>
                  <w:tcW w:w="492" w:type="pct"/>
                  <w:tcBorders>
                    <w:tl2br w:val="nil"/>
                    <w:tr2bl w:val="nil"/>
                  </w:tcBorders>
                  <w:vAlign w:val="center"/>
                </w:tcPr>
                <w:p w14:paraId="6C1AAEF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溶解性总固体</w:t>
                  </w:r>
                </w:p>
              </w:tc>
              <w:tc>
                <w:tcPr>
                  <w:tcW w:w="832" w:type="pct"/>
                  <w:tcBorders>
                    <w:tl2br w:val="nil"/>
                    <w:tr2bl w:val="nil"/>
                  </w:tcBorders>
                  <w:vAlign w:val="center"/>
                </w:tcPr>
                <w:p w14:paraId="6CF3CB0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总大肠</w:t>
                  </w:r>
                </w:p>
                <w:p w14:paraId="5487746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菌群（CFU/100mL）</w:t>
                  </w:r>
                </w:p>
              </w:tc>
              <w:tc>
                <w:tcPr>
                  <w:tcW w:w="778" w:type="pct"/>
                  <w:tcBorders>
                    <w:tl2br w:val="nil"/>
                    <w:tr2bl w:val="nil"/>
                  </w:tcBorders>
                  <w:vAlign w:val="center"/>
                </w:tcPr>
                <w:p w14:paraId="429A3C5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细菌总数（CFU/100mL）</w:t>
                  </w:r>
                </w:p>
              </w:tc>
            </w:tr>
            <w:tr w14:paraId="07E78DA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87" w:type="pct"/>
                  <w:tcBorders>
                    <w:tl2br w:val="nil"/>
                    <w:tr2bl w:val="nil"/>
                  </w:tcBorders>
                  <w:vAlign w:val="center"/>
                </w:tcPr>
                <w:p w14:paraId="2187535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Ⅲ类标准</w:t>
                  </w:r>
                </w:p>
              </w:tc>
              <w:tc>
                <w:tcPr>
                  <w:tcW w:w="333" w:type="pct"/>
                  <w:tcBorders>
                    <w:tl2br w:val="nil"/>
                    <w:tr2bl w:val="nil"/>
                  </w:tcBorders>
                  <w:vAlign w:val="center"/>
                </w:tcPr>
                <w:p w14:paraId="1272004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≤0.2</w:t>
                  </w:r>
                </w:p>
              </w:tc>
              <w:tc>
                <w:tcPr>
                  <w:tcW w:w="385" w:type="pct"/>
                  <w:tcBorders>
                    <w:tl2br w:val="nil"/>
                    <w:tr2bl w:val="nil"/>
                  </w:tcBorders>
                  <w:vAlign w:val="center"/>
                </w:tcPr>
                <w:p w14:paraId="2369044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≤1.00</w:t>
                  </w:r>
                </w:p>
              </w:tc>
              <w:tc>
                <w:tcPr>
                  <w:tcW w:w="386" w:type="pct"/>
                  <w:tcBorders>
                    <w:tl2br w:val="nil"/>
                    <w:tr2bl w:val="nil"/>
                  </w:tcBorders>
                  <w:vAlign w:val="center"/>
                </w:tcPr>
                <w:p w14:paraId="0C2F2D5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≤1.00</w:t>
                  </w:r>
                </w:p>
              </w:tc>
              <w:tc>
                <w:tcPr>
                  <w:tcW w:w="492" w:type="pct"/>
                  <w:tcBorders>
                    <w:tl2br w:val="nil"/>
                    <w:tr2bl w:val="nil"/>
                  </w:tcBorders>
                  <w:vAlign w:val="center"/>
                </w:tcPr>
                <w:p w14:paraId="3B50800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≤0.005</w:t>
                  </w:r>
                </w:p>
              </w:tc>
              <w:tc>
                <w:tcPr>
                  <w:tcW w:w="459" w:type="pct"/>
                  <w:tcBorders>
                    <w:tl2br w:val="nil"/>
                    <w:tr2bl w:val="nil"/>
                  </w:tcBorders>
                  <w:vAlign w:val="center"/>
                </w:tcPr>
                <w:p w14:paraId="51EF532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452" w:type="pct"/>
                  <w:tcBorders>
                    <w:tl2br w:val="nil"/>
                    <w:tr2bl w:val="nil"/>
                  </w:tcBorders>
                  <w:vAlign w:val="center"/>
                </w:tcPr>
                <w:p w14:paraId="6339ED0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≤1.0</w:t>
                  </w:r>
                </w:p>
              </w:tc>
              <w:tc>
                <w:tcPr>
                  <w:tcW w:w="492" w:type="pct"/>
                  <w:tcBorders>
                    <w:tl2br w:val="nil"/>
                    <w:tr2bl w:val="nil"/>
                  </w:tcBorders>
                  <w:vAlign w:val="center"/>
                </w:tcPr>
                <w:p w14:paraId="4849299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≤1000</w:t>
                  </w:r>
                </w:p>
              </w:tc>
              <w:tc>
                <w:tcPr>
                  <w:tcW w:w="832" w:type="pct"/>
                  <w:tcBorders>
                    <w:tl2br w:val="nil"/>
                    <w:tr2bl w:val="nil"/>
                  </w:tcBorders>
                  <w:vAlign w:val="center"/>
                </w:tcPr>
                <w:p w14:paraId="3900BC3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≤3</w:t>
                  </w:r>
                </w:p>
              </w:tc>
              <w:tc>
                <w:tcPr>
                  <w:tcW w:w="778" w:type="pct"/>
                  <w:tcBorders>
                    <w:tl2br w:val="nil"/>
                    <w:tr2bl w:val="nil"/>
                  </w:tcBorders>
                  <w:vAlign w:val="center"/>
                </w:tcPr>
                <w:p w14:paraId="5BAFDEF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≤100</w:t>
                  </w:r>
                </w:p>
              </w:tc>
            </w:tr>
            <w:tr w14:paraId="1021E1D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87" w:type="pct"/>
                  <w:tcBorders>
                    <w:tl2br w:val="nil"/>
                    <w:tr2bl w:val="nil"/>
                  </w:tcBorders>
                  <w:vAlign w:val="center"/>
                </w:tcPr>
                <w:p w14:paraId="6CBC755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指标名称</w:t>
                  </w:r>
                </w:p>
              </w:tc>
              <w:tc>
                <w:tcPr>
                  <w:tcW w:w="333" w:type="pct"/>
                  <w:tcBorders>
                    <w:tl2br w:val="nil"/>
                    <w:tr2bl w:val="nil"/>
                  </w:tcBorders>
                  <w:vAlign w:val="center"/>
                </w:tcPr>
                <w:p w14:paraId="508FE5D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总硬度</w:t>
                  </w:r>
                </w:p>
              </w:tc>
              <w:tc>
                <w:tcPr>
                  <w:tcW w:w="385" w:type="pct"/>
                  <w:tcBorders>
                    <w:tl2br w:val="nil"/>
                    <w:tr2bl w:val="nil"/>
                  </w:tcBorders>
                  <w:vAlign w:val="center"/>
                </w:tcPr>
                <w:p w14:paraId="08FCD33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硝酸盐</w:t>
                  </w:r>
                </w:p>
              </w:tc>
              <w:tc>
                <w:tcPr>
                  <w:tcW w:w="386" w:type="pct"/>
                  <w:tcBorders>
                    <w:tl2br w:val="nil"/>
                    <w:tr2bl w:val="nil"/>
                  </w:tcBorders>
                  <w:vAlign w:val="center"/>
                </w:tcPr>
                <w:p w14:paraId="76FDBD5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亚硝酸盐</w:t>
                  </w:r>
                </w:p>
              </w:tc>
              <w:tc>
                <w:tcPr>
                  <w:tcW w:w="492" w:type="pct"/>
                  <w:tcBorders>
                    <w:tl2br w:val="nil"/>
                    <w:tr2bl w:val="nil"/>
                  </w:tcBorders>
                  <w:vAlign w:val="center"/>
                </w:tcPr>
                <w:p w14:paraId="626910F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挥发性酚类</w:t>
                  </w:r>
                </w:p>
              </w:tc>
              <w:tc>
                <w:tcPr>
                  <w:tcW w:w="459" w:type="pct"/>
                  <w:tcBorders>
                    <w:tl2br w:val="nil"/>
                    <w:tr2bl w:val="nil"/>
                  </w:tcBorders>
                  <w:vAlign w:val="center"/>
                </w:tcPr>
                <w:p w14:paraId="09DB4B0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氰化物</w:t>
                  </w:r>
                </w:p>
              </w:tc>
              <w:tc>
                <w:tcPr>
                  <w:tcW w:w="452" w:type="pct"/>
                  <w:tcBorders>
                    <w:tl2br w:val="nil"/>
                    <w:tr2bl w:val="nil"/>
                  </w:tcBorders>
                  <w:vAlign w:val="center"/>
                </w:tcPr>
                <w:p w14:paraId="7D1C2CF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氯化物</w:t>
                  </w:r>
                </w:p>
              </w:tc>
              <w:tc>
                <w:tcPr>
                  <w:tcW w:w="492" w:type="pct"/>
                  <w:tcBorders>
                    <w:tl2br w:val="nil"/>
                    <w:tr2bl w:val="nil"/>
                  </w:tcBorders>
                  <w:vAlign w:val="center"/>
                </w:tcPr>
                <w:p w14:paraId="7BEDD92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硫酸盐</w:t>
                  </w:r>
                </w:p>
              </w:tc>
              <w:tc>
                <w:tcPr>
                  <w:tcW w:w="832" w:type="pct"/>
                  <w:tcBorders>
                    <w:tl2br w:val="nil"/>
                    <w:tr2bl w:val="nil"/>
                  </w:tcBorders>
                  <w:vAlign w:val="center"/>
                </w:tcPr>
                <w:p w14:paraId="0716F02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铊</w:t>
                  </w:r>
                </w:p>
              </w:tc>
              <w:tc>
                <w:tcPr>
                  <w:tcW w:w="778" w:type="pct"/>
                  <w:tcBorders>
                    <w:tl2br w:val="nil"/>
                    <w:tr2bl w:val="nil"/>
                  </w:tcBorders>
                  <w:vAlign w:val="center"/>
                </w:tcPr>
                <w:p w14:paraId="0C65C088">
                  <w:pPr>
                    <w:jc w:val="center"/>
                    <w:rPr>
                      <w:rFonts w:hint="default" w:ascii="Times New Roman" w:hAnsi="Times New Roman" w:cs="Times New Roman"/>
                      <w:color w:val="auto"/>
                      <w:sz w:val="18"/>
                      <w:szCs w:val="18"/>
                    </w:rPr>
                  </w:pPr>
                </w:p>
              </w:tc>
            </w:tr>
            <w:tr w14:paraId="616A3E8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87" w:type="pct"/>
                  <w:tcBorders>
                    <w:tl2br w:val="nil"/>
                    <w:tr2bl w:val="nil"/>
                  </w:tcBorders>
                  <w:vAlign w:val="center"/>
                </w:tcPr>
                <w:p w14:paraId="0B6F4DB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Ⅲ类标准</w:t>
                  </w:r>
                </w:p>
              </w:tc>
              <w:tc>
                <w:tcPr>
                  <w:tcW w:w="333" w:type="pct"/>
                  <w:tcBorders>
                    <w:tl2br w:val="nil"/>
                    <w:tr2bl w:val="nil"/>
                  </w:tcBorders>
                  <w:vAlign w:val="center"/>
                </w:tcPr>
                <w:p w14:paraId="4D955CE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≤450</w:t>
                  </w:r>
                </w:p>
              </w:tc>
              <w:tc>
                <w:tcPr>
                  <w:tcW w:w="385" w:type="pct"/>
                  <w:tcBorders>
                    <w:tl2br w:val="nil"/>
                    <w:tr2bl w:val="nil"/>
                  </w:tcBorders>
                  <w:vAlign w:val="center"/>
                </w:tcPr>
                <w:p w14:paraId="3D1B5DC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≤20.0</w:t>
                  </w:r>
                </w:p>
              </w:tc>
              <w:tc>
                <w:tcPr>
                  <w:tcW w:w="386" w:type="pct"/>
                  <w:tcBorders>
                    <w:tl2br w:val="nil"/>
                    <w:tr2bl w:val="nil"/>
                  </w:tcBorders>
                  <w:vAlign w:val="center"/>
                </w:tcPr>
                <w:p w14:paraId="5D7BE4D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≤1.00</w:t>
                  </w:r>
                </w:p>
              </w:tc>
              <w:tc>
                <w:tcPr>
                  <w:tcW w:w="492" w:type="pct"/>
                  <w:tcBorders>
                    <w:tl2br w:val="nil"/>
                    <w:tr2bl w:val="nil"/>
                  </w:tcBorders>
                  <w:vAlign w:val="center"/>
                </w:tcPr>
                <w:p w14:paraId="665DA95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≤0.002</w:t>
                  </w:r>
                </w:p>
              </w:tc>
              <w:tc>
                <w:tcPr>
                  <w:tcW w:w="459" w:type="pct"/>
                  <w:tcBorders>
                    <w:tl2br w:val="nil"/>
                    <w:tr2bl w:val="nil"/>
                  </w:tcBorders>
                  <w:vAlign w:val="center"/>
                </w:tcPr>
                <w:p w14:paraId="506AE0D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≤0.05</w:t>
                  </w:r>
                </w:p>
              </w:tc>
              <w:tc>
                <w:tcPr>
                  <w:tcW w:w="452" w:type="pct"/>
                  <w:tcBorders>
                    <w:tl2br w:val="nil"/>
                    <w:tr2bl w:val="nil"/>
                  </w:tcBorders>
                  <w:vAlign w:val="center"/>
                </w:tcPr>
                <w:p w14:paraId="48A8196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≤250</w:t>
                  </w:r>
                </w:p>
              </w:tc>
              <w:tc>
                <w:tcPr>
                  <w:tcW w:w="492" w:type="pct"/>
                  <w:tcBorders>
                    <w:tl2br w:val="nil"/>
                    <w:tr2bl w:val="nil"/>
                  </w:tcBorders>
                  <w:vAlign w:val="center"/>
                </w:tcPr>
                <w:p w14:paraId="7A74F41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≤250</w:t>
                  </w:r>
                </w:p>
              </w:tc>
              <w:tc>
                <w:tcPr>
                  <w:tcW w:w="832" w:type="pct"/>
                  <w:tcBorders>
                    <w:tl2br w:val="nil"/>
                    <w:tr2bl w:val="nil"/>
                  </w:tcBorders>
                  <w:vAlign w:val="center"/>
                </w:tcPr>
                <w:p w14:paraId="470FBE0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≤0.0001</w:t>
                  </w:r>
                </w:p>
              </w:tc>
              <w:tc>
                <w:tcPr>
                  <w:tcW w:w="778" w:type="pct"/>
                  <w:tcBorders>
                    <w:tl2br w:val="nil"/>
                    <w:tr2bl w:val="nil"/>
                  </w:tcBorders>
                  <w:noWrap/>
                  <w:vAlign w:val="center"/>
                </w:tcPr>
                <w:p w14:paraId="4F7A68FE">
                  <w:pPr>
                    <w:rPr>
                      <w:rFonts w:hint="default" w:ascii="Times New Roman" w:hAnsi="Times New Roman" w:cs="Times New Roman"/>
                      <w:color w:val="auto"/>
                      <w:sz w:val="22"/>
                      <w:szCs w:val="22"/>
                    </w:rPr>
                  </w:pPr>
                </w:p>
              </w:tc>
            </w:tr>
          </w:tbl>
          <w:p w14:paraId="58481DAB">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根据《建设项目环境影响报告表编制技术指南》（污染影响类）（试行）“地下水、土壤环境原则上不开展环境质量现状调查。建设项目存在土壤、地下水环境污染途径的，应结合污染源、保护目标分布情况开展现状调查以留作背景值。”</w:t>
            </w:r>
          </w:p>
          <w:p w14:paraId="4D3CE598">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本项目为无缝钢管生产项目，项目生产车间为公司现有标准车间。根据现场踏勘，公司现有标准车间地面及周边运输道路均已进行了水泥硬化处理，地面较为平整。项目产生的生产废水循环回用，不外排，生活污水经化粪池预处理后进入里山片区污水处理厂；运营期产生的危险废物收集后分区暂存于危险废物贮存库内，定期委托有资质的单位清运处置。虽然项目采取分区防渗措施后对周边地下环境的影响在可控范围内，但考虑到项目防渗层破裂可能会对地下水造成影响，因此本环评收集收集周边地下水现状监测数据以留作背景值。</w:t>
            </w:r>
          </w:p>
          <w:p w14:paraId="44955C97">
            <w:pPr>
              <w:pStyle w:val="13"/>
              <w:widowControl w:val="0"/>
              <w:snapToGrid/>
              <w:spacing w:after="0"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根据现场踏勘，本项目厂区范围内无地下水出露，</w:t>
            </w:r>
            <w:r>
              <w:rPr>
                <w:rFonts w:hint="default" w:ascii="Times New Roman" w:hAnsi="Times New Roman" w:cs="Times New Roman"/>
                <w:color w:val="auto"/>
                <w:sz w:val="24"/>
                <w:szCs w:val="24"/>
                <w:lang w:bidi="ar"/>
              </w:rPr>
              <w:t>本环评</w:t>
            </w:r>
            <w:r>
              <w:rPr>
                <w:rFonts w:hint="default" w:ascii="Times New Roman" w:hAnsi="Times New Roman" w:cs="Times New Roman"/>
                <w:color w:val="auto"/>
                <w:kern w:val="10"/>
                <w:sz w:val="24"/>
              </w:rPr>
              <w:t>引用</w:t>
            </w:r>
            <w:r>
              <w:rPr>
                <w:rFonts w:hint="default" w:ascii="Times New Roman" w:hAnsi="Times New Roman" w:cs="Times New Roman"/>
                <w:color w:val="auto"/>
                <w:sz w:val="24"/>
                <w:szCs w:val="24"/>
              </w:rPr>
              <w:t>《云南玉溪钢铁集团振飞钢铁有限公司产能置换升级年产75万吨普钢项目》中的监测数据，该项目编制期间委托</w:t>
            </w:r>
            <w:bookmarkStart w:id="109" w:name="_Hlk220331481"/>
            <w:r>
              <w:rPr>
                <w:rFonts w:hint="default" w:ascii="Times New Roman" w:hAnsi="Times New Roman" w:cs="Times New Roman"/>
                <w:color w:val="auto"/>
                <w:sz w:val="24"/>
                <w:szCs w:val="24"/>
                <w:lang w:bidi="ar"/>
              </w:rPr>
              <w:t>云南浩辰环保科技有限公司于2024年5月对</w:t>
            </w:r>
            <w:r>
              <w:rPr>
                <w:rFonts w:hint="default" w:ascii="Times New Roman" w:hAnsi="Times New Roman" w:cs="Times New Roman"/>
                <w:color w:val="auto"/>
                <w:sz w:val="24"/>
                <w:szCs w:val="24"/>
              </w:rPr>
              <w:t>项目区周边的地下水点位进行了监测，该项目与本项目位于同一水文地质单元，其中1#监测点位于项目区西南侧1.09km处，2#监测点位于项目区西南侧2.22km处，3#监测点位于项目区西南侧2.30km处</w:t>
            </w:r>
            <w:bookmarkEnd w:id="109"/>
            <w:r>
              <w:rPr>
                <w:rFonts w:hint="default" w:ascii="Times New Roman" w:hAnsi="Times New Roman" w:cs="Times New Roman"/>
                <w:color w:val="auto"/>
                <w:sz w:val="24"/>
                <w:szCs w:val="24"/>
              </w:rPr>
              <w:t>，具有一定代表性，其监测结果见下表。</w:t>
            </w:r>
          </w:p>
          <w:p w14:paraId="310DDB28">
            <w:pPr>
              <w:spacing w:line="360" w:lineRule="auto"/>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表3-9   地下水现状监测结果   单位：mg/L，pH：无量纲</w:t>
            </w:r>
          </w:p>
          <w:tbl>
            <w:tblPr>
              <w:tblStyle w:val="35"/>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911"/>
              <w:gridCol w:w="911"/>
              <w:gridCol w:w="911"/>
              <w:gridCol w:w="726"/>
              <w:gridCol w:w="843"/>
              <w:gridCol w:w="843"/>
              <w:gridCol w:w="845"/>
              <w:gridCol w:w="782"/>
            </w:tblGrid>
            <w:tr w14:paraId="6CE9E8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vMerge w:val="restart"/>
                  <w:tcBorders>
                    <w:tl2br w:val="nil"/>
                    <w:tr2bl w:val="nil"/>
                  </w:tcBorders>
                  <w:vAlign w:val="center"/>
                </w:tcPr>
                <w:p w14:paraId="7B9D6040">
                  <w:pPr>
                    <w:widowControl/>
                    <w:adjustRightInd w:val="0"/>
                    <w:snapToGrid w:val="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分析项目</w:t>
                  </w:r>
                </w:p>
              </w:tc>
              <w:tc>
                <w:tcPr>
                  <w:tcW w:w="1702" w:type="pct"/>
                  <w:gridSpan w:val="3"/>
                  <w:tcBorders>
                    <w:tl2br w:val="nil"/>
                    <w:tr2bl w:val="nil"/>
                  </w:tcBorders>
                  <w:vAlign w:val="center"/>
                </w:tcPr>
                <w:p w14:paraId="5F826578">
                  <w:pPr>
                    <w:widowControl/>
                    <w:adjustRightInd w:val="0"/>
                    <w:snapToGrid w:val="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监测值</w:t>
                  </w:r>
                </w:p>
              </w:tc>
              <w:tc>
                <w:tcPr>
                  <w:tcW w:w="450" w:type="pct"/>
                  <w:vMerge w:val="restart"/>
                  <w:tcBorders>
                    <w:tl2br w:val="nil"/>
                    <w:tr2bl w:val="nil"/>
                  </w:tcBorders>
                  <w:vAlign w:val="center"/>
                </w:tcPr>
                <w:p w14:paraId="287B8DED">
                  <w:pPr>
                    <w:widowControl/>
                    <w:adjustRightInd w:val="0"/>
                    <w:snapToGrid w:val="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标准</w:t>
                  </w:r>
                </w:p>
              </w:tc>
              <w:tc>
                <w:tcPr>
                  <w:tcW w:w="1642" w:type="pct"/>
                  <w:gridSpan w:val="3"/>
                  <w:tcBorders>
                    <w:tl2br w:val="nil"/>
                    <w:tr2bl w:val="nil"/>
                  </w:tcBorders>
                  <w:vAlign w:val="center"/>
                </w:tcPr>
                <w:p w14:paraId="27009511">
                  <w:pPr>
                    <w:widowControl/>
                    <w:adjustRightInd w:val="0"/>
                    <w:snapToGrid w:val="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标准指数</w:t>
                  </w:r>
                </w:p>
              </w:tc>
              <w:tc>
                <w:tcPr>
                  <w:tcW w:w="508" w:type="pct"/>
                  <w:vMerge w:val="restart"/>
                  <w:tcBorders>
                    <w:tl2br w:val="nil"/>
                    <w:tr2bl w:val="nil"/>
                  </w:tcBorders>
                  <w:vAlign w:val="center"/>
                </w:tcPr>
                <w:p w14:paraId="5C636A17">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达标情况</w:t>
                  </w:r>
                </w:p>
              </w:tc>
            </w:tr>
            <w:tr w14:paraId="0F850C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vMerge w:val="continue"/>
                  <w:tcBorders>
                    <w:tl2br w:val="nil"/>
                    <w:tr2bl w:val="nil"/>
                  </w:tcBorders>
                  <w:vAlign w:val="center"/>
                </w:tcPr>
                <w:p w14:paraId="6477D937">
                  <w:pPr>
                    <w:widowControl/>
                    <w:adjustRightInd w:val="0"/>
                    <w:snapToGrid w:val="0"/>
                    <w:jc w:val="center"/>
                    <w:textAlignment w:val="center"/>
                    <w:rPr>
                      <w:rFonts w:hint="default" w:ascii="Times New Roman" w:hAnsi="Times New Roman" w:cs="Times New Roman"/>
                      <w:color w:val="auto"/>
                      <w:kern w:val="0"/>
                      <w:sz w:val="18"/>
                      <w:szCs w:val="18"/>
                      <w:lang w:bidi="ar"/>
                    </w:rPr>
                  </w:pPr>
                </w:p>
              </w:tc>
              <w:tc>
                <w:tcPr>
                  <w:tcW w:w="567" w:type="pct"/>
                  <w:tcBorders>
                    <w:tl2br w:val="nil"/>
                    <w:tr2bl w:val="nil"/>
                  </w:tcBorders>
                  <w:vAlign w:val="center"/>
                </w:tcPr>
                <w:p w14:paraId="64D5107C">
                  <w:pPr>
                    <w:widowControl/>
                    <w:adjustRightInd w:val="0"/>
                    <w:snapToGrid w:val="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监测点1#</w:t>
                  </w:r>
                </w:p>
              </w:tc>
              <w:tc>
                <w:tcPr>
                  <w:tcW w:w="567" w:type="pct"/>
                  <w:tcBorders>
                    <w:tl2br w:val="nil"/>
                    <w:tr2bl w:val="nil"/>
                  </w:tcBorders>
                  <w:vAlign w:val="center"/>
                </w:tcPr>
                <w:p w14:paraId="5CE64866">
                  <w:pPr>
                    <w:widowControl/>
                    <w:adjustRightInd w:val="0"/>
                    <w:snapToGrid w:val="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监测点2#</w:t>
                  </w:r>
                </w:p>
              </w:tc>
              <w:tc>
                <w:tcPr>
                  <w:tcW w:w="568" w:type="pct"/>
                  <w:tcBorders>
                    <w:tl2br w:val="nil"/>
                    <w:tr2bl w:val="nil"/>
                  </w:tcBorders>
                  <w:vAlign w:val="center"/>
                </w:tcPr>
                <w:p w14:paraId="09746BB7">
                  <w:pPr>
                    <w:widowControl/>
                    <w:adjustRightInd w:val="0"/>
                    <w:snapToGrid w:val="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监测点3#</w:t>
                  </w:r>
                </w:p>
              </w:tc>
              <w:tc>
                <w:tcPr>
                  <w:tcW w:w="450" w:type="pct"/>
                  <w:vMerge w:val="continue"/>
                  <w:tcBorders>
                    <w:tl2br w:val="nil"/>
                    <w:tr2bl w:val="nil"/>
                  </w:tcBorders>
                  <w:vAlign w:val="center"/>
                </w:tcPr>
                <w:p w14:paraId="52550C38">
                  <w:pPr>
                    <w:widowControl/>
                    <w:adjustRightInd w:val="0"/>
                    <w:snapToGrid w:val="0"/>
                    <w:jc w:val="center"/>
                    <w:textAlignment w:val="center"/>
                    <w:rPr>
                      <w:rFonts w:hint="default" w:ascii="Times New Roman" w:hAnsi="Times New Roman" w:cs="Times New Roman"/>
                      <w:color w:val="auto"/>
                      <w:kern w:val="0"/>
                      <w:sz w:val="18"/>
                      <w:szCs w:val="18"/>
                      <w:lang w:bidi="ar"/>
                    </w:rPr>
                  </w:pPr>
                </w:p>
              </w:tc>
              <w:tc>
                <w:tcPr>
                  <w:tcW w:w="547" w:type="pct"/>
                  <w:tcBorders>
                    <w:tl2br w:val="nil"/>
                    <w:tr2bl w:val="nil"/>
                  </w:tcBorders>
                  <w:vAlign w:val="center"/>
                </w:tcPr>
                <w:p w14:paraId="23C297CA">
                  <w:pPr>
                    <w:widowControl/>
                    <w:adjustRightInd w:val="0"/>
                    <w:snapToGrid w:val="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监测点1#</w:t>
                  </w:r>
                </w:p>
              </w:tc>
              <w:tc>
                <w:tcPr>
                  <w:tcW w:w="547" w:type="pct"/>
                  <w:tcBorders>
                    <w:tl2br w:val="nil"/>
                    <w:tr2bl w:val="nil"/>
                  </w:tcBorders>
                  <w:vAlign w:val="center"/>
                </w:tcPr>
                <w:p w14:paraId="7B45D2E2">
                  <w:pPr>
                    <w:widowControl/>
                    <w:adjustRightInd w:val="0"/>
                    <w:snapToGrid w:val="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监测点2#</w:t>
                  </w:r>
                </w:p>
              </w:tc>
              <w:tc>
                <w:tcPr>
                  <w:tcW w:w="548" w:type="pct"/>
                  <w:tcBorders>
                    <w:tl2br w:val="nil"/>
                    <w:tr2bl w:val="nil"/>
                  </w:tcBorders>
                  <w:vAlign w:val="center"/>
                </w:tcPr>
                <w:p w14:paraId="40B81246">
                  <w:pPr>
                    <w:widowControl/>
                    <w:adjustRightInd w:val="0"/>
                    <w:snapToGrid w:val="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监测点3#</w:t>
                  </w:r>
                </w:p>
              </w:tc>
              <w:tc>
                <w:tcPr>
                  <w:tcW w:w="508" w:type="pct"/>
                  <w:vMerge w:val="continue"/>
                  <w:tcBorders>
                    <w:tl2br w:val="nil"/>
                    <w:tr2bl w:val="nil"/>
                  </w:tcBorders>
                  <w:vAlign w:val="center"/>
                </w:tcPr>
                <w:p w14:paraId="70A1F01A">
                  <w:pPr>
                    <w:widowControl/>
                    <w:adjustRightInd w:val="0"/>
                    <w:snapToGrid w:val="0"/>
                    <w:jc w:val="center"/>
                    <w:textAlignment w:val="center"/>
                    <w:rPr>
                      <w:rFonts w:hint="default" w:ascii="Times New Roman" w:hAnsi="Times New Roman" w:cs="Times New Roman"/>
                      <w:color w:val="auto"/>
                      <w:sz w:val="18"/>
                      <w:szCs w:val="18"/>
                    </w:rPr>
                  </w:pPr>
                </w:p>
              </w:tc>
            </w:tr>
            <w:tr w14:paraId="311390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tcBorders>
                    <w:tl2br w:val="nil"/>
                    <w:tr2bl w:val="nil"/>
                  </w:tcBorders>
                  <w:vAlign w:val="center"/>
                </w:tcPr>
                <w:p w14:paraId="7E2F436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pH</w:t>
                  </w:r>
                </w:p>
              </w:tc>
              <w:tc>
                <w:tcPr>
                  <w:tcW w:w="567" w:type="pct"/>
                  <w:tcBorders>
                    <w:tl2br w:val="nil"/>
                    <w:tr2bl w:val="nil"/>
                  </w:tcBorders>
                  <w:vAlign w:val="center"/>
                </w:tcPr>
                <w:p w14:paraId="7639921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7.24</w:t>
                  </w:r>
                </w:p>
              </w:tc>
              <w:tc>
                <w:tcPr>
                  <w:tcW w:w="567" w:type="pct"/>
                  <w:tcBorders>
                    <w:tl2br w:val="nil"/>
                    <w:tr2bl w:val="nil"/>
                  </w:tcBorders>
                  <w:vAlign w:val="center"/>
                </w:tcPr>
                <w:p w14:paraId="19A68E3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7.63</w:t>
                  </w:r>
                </w:p>
              </w:tc>
              <w:tc>
                <w:tcPr>
                  <w:tcW w:w="568" w:type="pct"/>
                  <w:tcBorders>
                    <w:tl2br w:val="nil"/>
                    <w:tr2bl w:val="nil"/>
                  </w:tcBorders>
                  <w:vAlign w:val="center"/>
                </w:tcPr>
                <w:p w14:paraId="25ABAD2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7.81</w:t>
                  </w:r>
                </w:p>
              </w:tc>
              <w:tc>
                <w:tcPr>
                  <w:tcW w:w="450" w:type="pct"/>
                  <w:tcBorders>
                    <w:tl2br w:val="nil"/>
                    <w:tr2bl w:val="nil"/>
                  </w:tcBorders>
                  <w:vAlign w:val="center"/>
                </w:tcPr>
                <w:p w14:paraId="461F6A3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6.5-8.5</w:t>
                  </w:r>
                </w:p>
              </w:tc>
              <w:tc>
                <w:tcPr>
                  <w:tcW w:w="547" w:type="pct"/>
                  <w:tcBorders>
                    <w:tl2br w:val="nil"/>
                    <w:tr2bl w:val="nil"/>
                  </w:tcBorders>
                  <w:vAlign w:val="center"/>
                </w:tcPr>
                <w:p w14:paraId="3E3ABC2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0.49</w:t>
                  </w:r>
                </w:p>
              </w:tc>
              <w:tc>
                <w:tcPr>
                  <w:tcW w:w="547" w:type="pct"/>
                  <w:tcBorders>
                    <w:tl2br w:val="nil"/>
                    <w:tr2bl w:val="nil"/>
                  </w:tcBorders>
                  <w:vAlign w:val="center"/>
                </w:tcPr>
                <w:p w14:paraId="6E5063B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0.75</w:t>
                  </w:r>
                </w:p>
              </w:tc>
              <w:tc>
                <w:tcPr>
                  <w:tcW w:w="548" w:type="pct"/>
                  <w:tcBorders>
                    <w:tl2br w:val="nil"/>
                    <w:tr2bl w:val="nil"/>
                  </w:tcBorders>
                  <w:vAlign w:val="center"/>
                </w:tcPr>
                <w:p w14:paraId="1D0ECEA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0.87</w:t>
                  </w:r>
                </w:p>
              </w:tc>
              <w:tc>
                <w:tcPr>
                  <w:tcW w:w="508" w:type="pct"/>
                  <w:tcBorders>
                    <w:tl2br w:val="nil"/>
                    <w:tr2bl w:val="nil"/>
                  </w:tcBorders>
                  <w:vAlign w:val="center"/>
                </w:tcPr>
                <w:p w14:paraId="5C1BC9A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5BFB1F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tcBorders>
                    <w:tl2br w:val="nil"/>
                    <w:tr2bl w:val="nil"/>
                  </w:tcBorders>
                  <w:vAlign w:val="center"/>
                </w:tcPr>
                <w:p w14:paraId="5688B17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氨氮</w:t>
                  </w:r>
                </w:p>
              </w:tc>
              <w:tc>
                <w:tcPr>
                  <w:tcW w:w="567" w:type="pct"/>
                  <w:tcBorders>
                    <w:tl2br w:val="nil"/>
                    <w:tr2bl w:val="nil"/>
                  </w:tcBorders>
                  <w:vAlign w:val="center"/>
                </w:tcPr>
                <w:p w14:paraId="550CC4B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0.048</w:t>
                  </w:r>
                </w:p>
              </w:tc>
              <w:tc>
                <w:tcPr>
                  <w:tcW w:w="567" w:type="pct"/>
                  <w:tcBorders>
                    <w:tl2br w:val="nil"/>
                    <w:tr2bl w:val="nil"/>
                  </w:tcBorders>
                  <w:vAlign w:val="center"/>
                </w:tcPr>
                <w:p w14:paraId="65E2CFC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0.105</w:t>
                  </w:r>
                </w:p>
              </w:tc>
              <w:tc>
                <w:tcPr>
                  <w:tcW w:w="568" w:type="pct"/>
                  <w:tcBorders>
                    <w:tl2br w:val="nil"/>
                    <w:tr2bl w:val="nil"/>
                  </w:tcBorders>
                  <w:vAlign w:val="center"/>
                </w:tcPr>
                <w:p w14:paraId="494A13C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0.057</w:t>
                  </w:r>
                </w:p>
              </w:tc>
              <w:tc>
                <w:tcPr>
                  <w:tcW w:w="450" w:type="pct"/>
                  <w:tcBorders>
                    <w:tl2br w:val="nil"/>
                    <w:tr2bl w:val="nil"/>
                  </w:tcBorders>
                  <w:vAlign w:val="center"/>
                </w:tcPr>
                <w:p w14:paraId="39E6B21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547" w:type="pct"/>
                  <w:tcBorders>
                    <w:tl2br w:val="nil"/>
                    <w:tr2bl w:val="nil"/>
                  </w:tcBorders>
                  <w:vAlign w:val="center"/>
                </w:tcPr>
                <w:p w14:paraId="624BA1B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0.096</w:t>
                  </w:r>
                </w:p>
              </w:tc>
              <w:tc>
                <w:tcPr>
                  <w:tcW w:w="547" w:type="pct"/>
                  <w:tcBorders>
                    <w:tl2br w:val="nil"/>
                    <w:tr2bl w:val="nil"/>
                  </w:tcBorders>
                  <w:vAlign w:val="center"/>
                </w:tcPr>
                <w:p w14:paraId="0A8765D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0.21</w:t>
                  </w:r>
                </w:p>
              </w:tc>
              <w:tc>
                <w:tcPr>
                  <w:tcW w:w="548" w:type="pct"/>
                  <w:tcBorders>
                    <w:tl2br w:val="nil"/>
                    <w:tr2bl w:val="nil"/>
                  </w:tcBorders>
                  <w:vAlign w:val="center"/>
                </w:tcPr>
                <w:p w14:paraId="075993D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0.114</w:t>
                  </w:r>
                </w:p>
              </w:tc>
              <w:tc>
                <w:tcPr>
                  <w:tcW w:w="508" w:type="pct"/>
                  <w:tcBorders>
                    <w:tl2br w:val="nil"/>
                    <w:tr2bl w:val="nil"/>
                  </w:tcBorders>
                  <w:vAlign w:val="center"/>
                </w:tcPr>
                <w:p w14:paraId="128A3AB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5F4AD2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tcBorders>
                    <w:tl2br w:val="nil"/>
                    <w:tr2bl w:val="nil"/>
                  </w:tcBorders>
                  <w:vAlign w:val="center"/>
                </w:tcPr>
                <w:p w14:paraId="4BE6D62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耗氧量</w:t>
                  </w:r>
                </w:p>
              </w:tc>
              <w:tc>
                <w:tcPr>
                  <w:tcW w:w="567" w:type="pct"/>
                  <w:tcBorders>
                    <w:tl2br w:val="nil"/>
                    <w:tr2bl w:val="nil"/>
                  </w:tcBorders>
                  <w:vAlign w:val="center"/>
                </w:tcPr>
                <w:p w14:paraId="71B1D4A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0.32</w:t>
                  </w:r>
                </w:p>
              </w:tc>
              <w:tc>
                <w:tcPr>
                  <w:tcW w:w="567" w:type="pct"/>
                  <w:tcBorders>
                    <w:tl2br w:val="nil"/>
                    <w:tr2bl w:val="nil"/>
                  </w:tcBorders>
                  <w:vAlign w:val="center"/>
                </w:tcPr>
                <w:p w14:paraId="4E38FA7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0.4</w:t>
                  </w:r>
                </w:p>
              </w:tc>
              <w:tc>
                <w:tcPr>
                  <w:tcW w:w="568" w:type="pct"/>
                  <w:tcBorders>
                    <w:tl2br w:val="nil"/>
                    <w:tr2bl w:val="nil"/>
                  </w:tcBorders>
                  <w:vAlign w:val="center"/>
                </w:tcPr>
                <w:p w14:paraId="7AEE812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0.49</w:t>
                  </w:r>
                </w:p>
              </w:tc>
              <w:tc>
                <w:tcPr>
                  <w:tcW w:w="450" w:type="pct"/>
                  <w:tcBorders>
                    <w:tl2br w:val="nil"/>
                    <w:tr2bl w:val="nil"/>
                  </w:tcBorders>
                  <w:vAlign w:val="center"/>
                </w:tcPr>
                <w:p w14:paraId="2ADE672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547" w:type="pct"/>
                  <w:tcBorders>
                    <w:tl2br w:val="nil"/>
                    <w:tr2bl w:val="nil"/>
                  </w:tcBorders>
                  <w:vAlign w:val="center"/>
                </w:tcPr>
                <w:p w14:paraId="3128FC4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0.11</w:t>
                  </w:r>
                </w:p>
              </w:tc>
              <w:tc>
                <w:tcPr>
                  <w:tcW w:w="547" w:type="pct"/>
                  <w:tcBorders>
                    <w:tl2br w:val="nil"/>
                    <w:tr2bl w:val="nil"/>
                  </w:tcBorders>
                  <w:vAlign w:val="center"/>
                </w:tcPr>
                <w:p w14:paraId="0C63A60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0.13</w:t>
                  </w:r>
                </w:p>
              </w:tc>
              <w:tc>
                <w:tcPr>
                  <w:tcW w:w="548" w:type="pct"/>
                  <w:tcBorders>
                    <w:tl2br w:val="nil"/>
                    <w:tr2bl w:val="nil"/>
                  </w:tcBorders>
                  <w:vAlign w:val="center"/>
                </w:tcPr>
                <w:p w14:paraId="65E46F9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0.16</w:t>
                  </w:r>
                </w:p>
              </w:tc>
              <w:tc>
                <w:tcPr>
                  <w:tcW w:w="508" w:type="pct"/>
                  <w:tcBorders>
                    <w:tl2br w:val="nil"/>
                    <w:tr2bl w:val="nil"/>
                  </w:tcBorders>
                  <w:vAlign w:val="center"/>
                </w:tcPr>
                <w:p w14:paraId="079AF8E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53D23F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tcBorders>
                    <w:tl2br w:val="nil"/>
                    <w:tr2bl w:val="nil"/>
                  </w:tcBorders>
                  <w:vAlign w:val="center"/>
                </w:tcPr>
                <w:p w14:paraId="548B1D0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砷</w:t>
                  </w:r>
                </w:p>
              </w:tc>
              <w:tc>
                <w:tcPr>
                  <w:tcW w:w="567" w:type="pct"/>
                  <w:tcBorders>
                    <w:tl2br w:val="nil"/>
                    <w:tr2bl w:val="nil"/>
                  </w:tcBorders>
                  <w:vAlign w:val="center"/>
                </w:tcPr>
                <w:p w14:paraId="77E649B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0.0003L</w:t>
                  </w:r>
                </w:p>
              </w:tc>
              <w:tc>
                <w:tcPr>
                  <w:tcW w:w="567" w:type="pct"/>
                  <w:tcBorders>
                    <w:tl2br w:val="nil"/>
                    <w:tr2bl w:val="nil"/>
                  </w:tcBorders>
                  <w:vAlign w:val="center"/>
                </w:tcPr>
                <w:p w14:paraId="58A71B6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0.0003L</w:t>
                  </w:r>
                </w:p>
              </w:tc>
              <w:tc>
                <w:tcPr>
                  <w:tcW w:w="568" w:type="pct"/>
                  <w:tcBorders>
                    <w:tl2br w:val="nil"/>
                    <w:tr2bl w:val="nil"/>
                  </w:tcBorders>
                  <w:vAlign w:val="center"/>
                </w:tcPr>
                <w:p w14:paraId="1DD3B03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0.0003L</w:t>
                  </w:r>
                </w:p>
              </w:tc>
              <w:tc>
                <w:tcPr>
                  <w:tcW w:w="450" w:type="pct"/>
                  <w:tcBorders>
                    <w:tl2br w:val="nil"/>
                    <w:tr2bl w:val="nil"/>
                  </w:tcBorders>
                  <w:vAlign w:val="center"/>
                </w:tcPr>
                <w:p w14:paraId="5D1BE76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0.01</w:t>
                  </w:r>
                </w:p>
              </w:tc>
              <w:tc>
                <w:tcPr>
                  <w:tcW w:w="547" w:type="pct"/>
                  <w:tcBorders>
                    <w:tl2br w:val="nil"/>
                    <w:tr2bl w:val="nil"/>
                  </w:tcBorders>
                  <w:vAlign w:val="center"/>
                </w:tcPr>
                <w:p w14:paraId="12882CF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0.015</w:t>
                  </w:r>
                </w:p>
              </w:tc>
              <w:tc>
                <w:tcPr>
                  <w:tcW w:w="547" w:type="pct"/>
                  <w:tcBorders>
                    <w:tl2br w:val="nil"/>
                    <w:tr2bl w:val="nil"/>
                  </w:tcBorders>
                  <w:vAlign w:val="center"/>
                </w:tcPr>
                <w:p w14:paraId="0D31A01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0.015</w:t>
                  </w:r>
                </w:p>
              </w:tc>
              <w:tc>
                <w:tcPr>
                  <w:tcW w:w="548" w:type="pct"/>
                  <w:tcBorders>
                    <w:tl2br w:val="nil"/>
                    <w:tr2bl w:val="nil"/>
                  </w:tcBorders>
                  <w:vAlign w:val="center"/>
                </w:tcPr>
                <w:p w14:paraId="43D7CAE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0.015</w:t>
                  </w:r>
                </w:p>
              </w:tc>
              <w:tc>
                <w:tcPr>
                  <w:tcW w:w="508" w:type="pct"/>
                  <w:tcBorders>
                    <w:tl2br w:val="nil"/>
                    <w:tr2bl w:val="nil"/>
                  </w:tcBorders>
                  <w:vAlign w:val="center"/>
                </w:tcPr>
                <w:p w14:paraId="488FE85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1D7C43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tcBorders>
                    <w:tl2br w:val="nil"/>
                    <w:tr2bl w:val="nil"/>
                  </w:tcBorders>
                  <w:vAlign w:val="center"/>
                </w:tcPr>
                <w:p w14:paraId="43EB68E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汞</w:t>
                  </w:r>
                </w:p>
              </w:tc>
              <w:tc>
                <w:tcPr>
                  <w:tcW w:w="567" w:type="pct"/>
                  <w:tcBorders>
                    <w:tl2br w:val="nil"/>
                    <w:tr2bl w:val="nil"/>
                  </w:tcBorders>
                  <w:vAlign w:val="center"/>
                </w:tcPr>
                <w:p w14:paraId="392323E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0.00004L</w:t>
                  </w:r>
                </w:p>
              </w:tc>
              <w:tc>
                <w:tcPr>
                  <w:tcW w:w="567" w:type="pct"/>
                  <w:tcBorders>
                    <w:tl2br w:val="nil"/>
                    <w:tr2bl w:val="nil"/>
                  </w:tcBorders>
                  <w:vAlign w:val="center"/>
                </w:tcPr>
                <w:p w14:paraId="1426310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0.00011</w:t>
                  </w:r>
                </w:p>
              </w:tc>
              <w:tc>
                <w:tcPr>
                  <w:tcW w:w="568" w:type="pct"/>
                  <w:tcBorders>
                    <w:tl2br w:val="nil"/>
                    <w:tr2bl w:val="nil"/>
                  </w:tcBorders>
                  <w:vAlign w:val="center"/>
                </w:tcPr>
                <w:p w14:paraId="1833FC5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0.00004L</w:t>
                  </w:r>
                </w:p>
              </w:tc>
              <w:tc>
                <w:tcPr>
                  <w:tcW w:w="450" w:type="pct"/>
                  <w:tcBorders>
                    <w:tl2br w:val="nil"/>
                    <w:tr2bl w:val="nil"/>
                  </w:tcBorders>
                  <w:vAlign w:val="center"/>
                </w:tcPr>
                <w:p w14:paraId="1D654A5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0.001</w:t>
                  </w:r>
                </w:p>
              </w:tc>
              <w:tc>
                <w:tcPr>
                  <w:tcW w:w="547" w:type="pct"/>
                  <w:tcBorders>
                    <w:tl2br w:val="nil"/>
                    <w:tr2bl w:val="nil"/>
                  </w:tcBorders>
                  <w:vAlign w:val="center"/>
                </w:tcPr>
                <w:p w14:paraId="51E0A05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0.02</w:t>
                  </w:r>
                </w:p>
              </w:tc>
              <w:tc>
                <w:tcPr>
                  <w:tcW w:w="547" w:type="pct"/>
                  <w:tcBorders>
                    <w:tl2br w:val="nil"/>
                    <w:tr2bl w:val="nil"/>
                  </w:tcBorders>
                  <w:vAlign w:val="center"/>
                </w:tcPr>
                <w:p w14:paraId="3173720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0.11</w:t>
                  </w:r>
                </w:p>
              </w:tc>
              <w:tc>
                <w:tcPr>
                  <w:tcW w:w="548" w:type="pct"/>
                  <w:tcBorders>
                    <w:tl2br w:val="nil"/>
                    <w:tr2bl w:val="nil"/>
                  </w:tcBorders>
                  <w:vAlign w:val="center"/>
                </w:tcPr>
                <w:p w14:paraId="34E9991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0.02</w:t>
                  </w:r>
                </w:p>
              </w:tc>
              <w:tc>
                <w:tcPr>
                  <w:tcW w:w="508" w:type="pct"/>
                  <w:tcBorders>
                    <w:tl2br w:val="nil"/>
                    <w:tr2bl w:val="nil"/>
                  </w:tcBorders>
                  <w:vAlign w:val="center"/>
                </w:tcPr>
                <w:p w14:paraId="00A38D9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352BD4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tcBorders>
                    <w:tl2br w:val="nil"/>
                    <w:tr2bl w:val="nil"/>
                  </w:tcBorders>
                  <w:vAlign w:val="center"/>
                </w:tcPr>
                <w:p w14:paraId="432D0D8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铅</w:t>
                  </w:r>
                </w:p>
              </w:tc>
              <w:tc>
                <w:tcPr>
                  <w:tcW w:w="567" w:type="pct"/>
                  <w:tcBorders>
                    <w:tl2br w:val="nil"/>
                    <w:tr2bl w:val="nil"/>
                  </w:tcBorders>
                  <w:vAlign w:val="center"/>
                </w:tcPr>
                <w:p w14:paraId="326D9FA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0.001</w:t>
                  </w:r>
                </w:p>
              </w:tc>
              <w:tc>
                <w:tcPr>
                  <w:tcW w:w="567" w:type="pct"/>
                  <w:tcBorders>
                    <w:tl2br w:val="nil"/>
                    <w:tr2bl w:val="nil"/>
                  </w:tcBorders>
                  <w:vAlign w:val="center"/>
                </w:tcPr>
                <w:p w14:paraId="32924EC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0.005</w:t>
                  </w:r>
                </w:p>
              </w:tc>
              <w:tc>
                <w:tcPr>
                  <w:tcW w:w="568" w:type="pct"/>
                  <w:tcBorders>
                    <w:tl2br w:val="nil"/>
                    <w:tr2bl w:val="nil"/>
                  </w:tcBorders>
                  <w:vAlign w:val="center"/>
                </w:tcPr>
                <w:p w14:paraId="31E4762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0.002</w:t>
                  </w:r>
                </w:p>
              </w:tc>
              <w:tc>
                <w:tcPr>
                  <w:tcW w:w="450" w:type="pct"/>
                  <w:tcBorders>
                    <w:tl2br w:val="nil"/>
                    <w:tr2bl w:val="nil"/>
                  </w:tcBorders>
                  <w:vAlign w:val="center"/>
                </w:tcPr>
                <w:p w14:paraId="2496159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0.01</w:t>
                  </w:r>
                </w:p>
              </w:tc>
              <w:tc>
                <w:tcPr>
                  <w:tcW w:w="547" w:type="pct"/>
                  <w:tcBorders>
                    <w:tl2br w:val="nil"/>
                    <w:tr2bl w:val="nil"/>
                  </w:tcBorders>
                  <w:vAlign w:val="center"/>
                </w:tcPr>
                <w:p w14:paraId="2CC7A7D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w:t>
                  </w:r>
                </w:p>
              </w:tc>
              <w:tc>
                <w:tcPr>
                  <w:tcW w:w="547" w:type="pct"/>
                  <w:tcBorders>
                    <w:tl2br w:val="nil"/>
                    <w:tr2bl w:val="nil"/>
                  </w:tcBorders>
                  <w:vAlign w:val="center"/>
                </w:tcPr>
                <w:p w14:paraId="027D9B8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548" w:type="pct"/>
                  <w:tcBorders>
                    <w:tl2br w:val="nil"/>
                    <w:tr2bl w:val="nil"/>
                  </w:tcBorders>
                  <w:vAlign w:val="center"/>
                </w:tcPr>
                <w:p w14:paraId="27C3352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0.2</w:t>
                  </w:r>
                </w:p>
              </w:tc>
              <w:tc>
                <w:tcPr>
                  <w:tcW w:w="508" w:type="pct"/>
                  <w:tcBorders>
                    <w:tl2br w:val="nil"/>
                    <w:tr2bl w:val="nil"/>
                  </w:tcBorders>
                  <w:vAlign w:val="center"/>
                </w:tcPr>
                <w:p w14:paraId="06DBB14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73904F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tcBorders>
                    <w:tl2br w:val="nil"/>
                    <w:tr2bl w:val="nil"/>
                  </w:tcBorders>
                  <w:vAlign w:val="center"/>
                </w:tcPr>
                <w:p w14:paraId="6D72842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铁</w:t>
                  </w:r>
                </w:p>
              </w:tc>
              <w:tc>
                <w:tcPr>
                  <w:tcW w:w="567" w:type="pct"/>
                  <w:tcBorders>
                    <w:tl2br w:val="nil"/>
                    <w:tr2bl w:val="nil"/>
                  </w:tcBorders>
                  <w:vAlign w:val="center"/>
                </w:tcPr>
                <w:p w14:paraId="5D43F9E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0.03L</w:t>
                  </w:r>
                </w:p>
              </w:tc>
              <w:tc>
                <w:tcPr>
                  <w:tcW w:w="567" w:type="pct"/>
                  <w:tcBorders>
                    <w:tl2br w:val="nil"/>
                    <w:tr2bl w:val="nil"/>
                  </w:tcBorders>
                  <w:vAlign w:val="center"/>
                </w:tcPr>
                <w:p w14:paraId="13D6B59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0.03L</w:t>
                  </w:r>
                </w:p>
              </w:tc>
              <w:tc>
                <w:tcPr>
                  <w:tcW w:w="568" w:type="pct"/>
                  <w:tcBorders>
                    <w:tl2br w:val="nil"/>
                    <w:tr2bl w:val="nil"/>
                  </w:tcBorders>
                  <w:vAlign w:val="center"/>
                </w:tcPr>
                <w:p w14:paraId="2F01FF5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0.03L</w:t>
                  </w:r>
                </w:p>
              </w:tc>
              <w:tc>
                <w:tcPr>
                  <w:tcW w:w="450" w:type="pct"/>
                  <w:tcBorders>
                    <w:tl2br w:val="nil"/>
                    <w:tr2bl w:val="nil"/>
                  </w:tcBorders>
                  <w:vAlign w:val="center"/>
                </w:tcPr>
                <w:p w14:paraId="7AAD3BA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0.3</w:t>
                  </w:r>
                </w:p>
              </w:tc>
              <w:tc>
                <w:tcPr>
                  <w:tcW w:w="547" w:type="pct"/>
                  <w:tcBorders>
                    <w:tl2br w:val="nil"/>
                    <w:tr2bl w:val="nil"/>
                  </w:tcBorders>
                  <w:vAlign w:val="center"/>
                </w:tcPr>
                <w:p w14:paraId="62D6D62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w:t>
                  </w:r>
                </w:p>
              </w:tc>
              <w:tc>
                <w:tcPr>
                  <w:tcW w:w="547" w:type="pct"/>
                  <w:tcBorders>
                    <w:tl2br w:val="nil"/>
                    <w:tr2bl w:val="nil"/>
                  </w:tcBorders>
                  <w:vAlign w:val="center"/>
                </w:tcPr>
                <w:p w14:paraId="66E2777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w:t>
                  </w:r>
                </w:p>
              </w:tc>
              <w:tc>
                <w:tcPr>
                  <w:tcW w:w="548" w:type="pct"/>
                  <w:tcBorders>
                    <w:tl2br w:val="nil"/>
                    <w:tr2bl w:val="nil"/>
                  </w:tcBorders>
                  <w:vAlign w:val="center"/>
                </w:tcPr>
                <w:p w14:paraId="190F417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w:t>
                  </w:r>
                </w:p>
              </w:tc>
              <w:tc>
                <w:tcPr>
                  <w:tcW w:w="508" w:type="pct"/>
                  <w:tcBorders>
                    <w:tl2br w:val="nil"/>
                    <w:tr2bl w:val="nil"/>
                  </w:tcBorders>
                  <w:vAlign w:val="center"/>
                </w:tcPr>
                <w:p w14:paraId="794F558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6DA5E3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tcBorders>
                    <w:tl2br w:val="nil"/>
                    <w:tr2bl w:val="nil"/>
                  </w:tcBorders>
                  <w:vAlign w:val="center"/>
                </w:tcPr>
                <w:p w14:paraId="0256AF3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锰</w:t>
                  </w:r>
                </w:p>
              </w:tc>
              <w:tc>
                <w:tcPr>
                  <w:tcW w:w="567" w:type="pct"/>
                  <w:tcBorders>
                    <w:tl2br w:val="nil"/>
                    <w:tr2bl w:val="nil"/>
                  </w:tcBorders>
                  <w:vAlign w:val="center"/>
                </w:tcPr>
                <w:p w14:paraId="528D419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0.01L</w:t>
                  </w:r>
                </w:p>
              </w:tc>
              <w:tc>
                <w:tcPr>
                  <w:tcW w:w="567" w:type="pct"/>
                  <w:tcBorders>
                    <w:tl2br w:val="nil"/>
                    <w:tr2bl w:val="nil"/>
                  </w:tcBorders>
                  <w:vAlign w:val="center"/>
                </w:tcPr>
                <w:p w14:paraId="101987C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0.01L</w:t>
                  </w:r>
                </w:p>
              </w:tc>
              <w:tc>
                <w:tcPr>
                  <w:tcW w:w="568" w:type="pct"/>
                  <w:tcBorders>
                    <w:tl2br w:val="nil"/>
                    <w:tr2bl w:val="nil"/>
                  </w:tcBorders>
                  <w:vAlign w:val="center"/>
                </w:tcPr>
                <w:p w14:paraId="3E7A08C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0.01L</w:t>
                  </w:r>
                </w:p>
              </w:tc>
              <w:tc>
                <w:tcPr>
                  <w:tcW w:w="450" w:type="pct"/>
                  <w:tcBorders>
                    <w:tl2br w:val="nil"/>
                    <w:tr2bl w:val="nil"/>
                  </w:tcBorders>
                  <w:vAlign w:val="center"/>
                </w:tcPr>
                <w:p w14:paraId="6AAF71F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w:t>
                  </w:r>
                </w:p>
              </w:tc>
              <w:tc>
                <w:tcPr>
                  <w:tcW w:w="547" w:type="pct"/>
                  <w:tcBorders>
                    <w:tl2br w:val="nil"/>
                    <w:tr2bl w:val="nil"/>
                  </w:tcBorders>
                  <w:vAlign w:val="center"/>
                </w:tcPr>
                <w:p w14:paraId="67B3E8F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w:t>
                  </w:r>
                </w:p>
              </w:tc>
              <w:tc>
                <w:tcPr>
                  <w:tcW w:w="547" w:type="pct"/>
                  <w:tcBorders>
                    <w:tl2br w:val="nil"/>
                    <w:tr2bl w:val="nil"/>
                  </w:tcBorders>
                  <w:vAlign w:val="center"/>
                </w:tcPr>
                <w:p w14:paraId="7BFE576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w:t>
                  </w:r>
                </w:p>
              </w:tc>
              <w:tc>
                <w:tcPr>
                  <w:tcW w:w="548" w:type="pct"/>
                  <w:tcBorders>
                    <w:tl2br w:val="nil"/>
                    <w:tr2bl w:val="nil"/>
                  </w:tcBorders>
                  <w:vAlign w:val="center"/>
                </w:tcPr>
                <w:p w14:paraId="676CD3C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w:t>
                  </w:r>
                </w:p>
              </w:tc>
              <w:tc>
                <w:tcPr>
                  <w:tcW w:w="508" w:type="pct"/>
                  <w:tcBorders>
                    <w:tl2br w:val="nil"/>
                    <w:tr2bl w:val="nil"/>
                  </w:tcBorders>
                  <w:vAlign w:val="center"/>
                </w:tcPr>
                <w:p w14:paraId="55064C3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1824FD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tcBorders>
                    <w:tl2br w:val="nil"/>
                    <w:tr2bl w:val="nil"/>
                  </w:tcBorders>
                  <w:vAlign w:val="center"/>
                </w:tcPr>
                <w:p w14:paraId="1007D92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镍</w:t>
                  </w:r>
                </w:p>
              </w:tc>
              <w:tc>
                <w:tcPr>
                  <w:tcW w:w="567" w:type="pct"/>
                  <w:tcBorders>
                    <w:tl2br w:val="nil"/>
                    <w:tr2bl w:val="nil"/>
                  </w:tcBorders>
                  <w:vAlign w:val="center"/>
                </w:tcPr>
                <w:p w14:paraId="1821CD5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0.007L</w:t>
                  </w:r>
                </w:p>
              </w:tc>
              <w:tc>
                <w:tcPr>
                  <w:tcW w:w="567" w:type="pct"/>
                  <w:tcBorders>
                    <w:tl2br w:val="nil"/>
                    <w:tr2bl w:val="nil"/>
                  </w:tcBorders>
                  <w:vAlign w:val="center"/>
                </w:tcPr>
                <w:p w14:paraId="63CF29D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0.007L</w:t>
                  </w:r>
                </w:p>
              </w:tc>
              <w:tc>
                <w:tcPr>
                  <w:tcW w:w="568" w:type="pct"/>
                  <w:tcBorders>
                    <w:tl2br w:val="nil"/>
                    <w:tr2bl w:val="nil"/>
                  </w:tcBorders>
                  <w:vAlign w:val="center"/>
                </w:tcPr>
                <w:p w14:paraId="1D860A6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0.007L</w:t>
                  </w:r>
                </w:p>
              </w:tc>
              <w:tc>
                <w:tcPr>
                  <w:tcW w:w="450" w:type="pct"/>
                  <w:tcBorders>
                    <w:tl2br w:val="nil"/>
                    <w:tr2bl w:val="nil"/>
                  </w:tcBorders>
                  <w:vAlign w:val="center"/>
                </w:tcPr>
                <w:p w14:paraId="3A49182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0.02</w:t>
                  </w:r>
                </w:p>
              </w:tc>
              <w:tc>
                <w:tcPr>
                  <w:tcW w:w="547" w:type="pct"/>
                  <w:tcBorders>
                    <w:tl2br w:val="nil"/>
                    <w:tr2bl w:val="nil"/>
                  </w:tcBorders>
                  <w:vAlign w:val="center"/>
                </w:tcPr>
                <w:p w14:paraId="2131A0F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0.175</w:t>
                  </w:r>
                </w:p>
              </w:tc>
              <w:tc>
                <w:tcPr>
                  <w:tcW w:w="547" w:type="pct"/>
                  <w:tcBorders>
                    <w:tl2br w:val="nil"/>
                    <w:tr2bl w:val="nil"/>
                  </w:tcBorders>
                  <w:vAlign w:val="center"/>
                </w:tcPr>
                <w:p w14:paraId="07F8C7B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0.175</w:t>
                  </w:r>
                </w:p>
              </w:tc>
              <w:tc>
                <w:tcPr>
                  <w:tcW w:w="548" w:type="pct"/>
                  <w:tcBorders>
                    <w:tl2br w:val="nil"/>
                    <w:tr2bl w:val="nil"/>
                  </w:tcBorders>
                  <w:vAlign w:val="center"/>
                </w:tcPr>
                <w:p w14:paraId="6E11D8B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0.175</w:t>
                  </w:r>
                </w:p>
              </w:tc>
              <w:tc>
                <w:tcPr>
                  <w:tcW w:w="508" w:type="pct"/>
                  <w:tcBorders>
                    <w:tl2br w:val="nil"/>
                    <w:tr2bl w:val="nil"/>
                  </w:tcBorders>
                  <w:vAlign w:val="center"/>
                </w:tcPr>
                <w:p w14:paraId="3DB3071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4D0B61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tcBorders>
                    <w:tl2br w:val="nil"/>
                    <w:tr2bl w:val="nil"/>
                  </w:tcBorders>
                  <w:vAlign w:val="center"/>
                </w:tcPr>
                <w:p w14:paraId="5E29EE5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铝</w:t>
                  </w:r>
                </w:p>
              </w:tc>
              <w:tc>
                <w:tcPr>
                  <w:tcW w:w="567" w:type="pct"/>
                  <w:tcBorders>
                    <w:tl2br w:val="nil"/>
                    <w:tr2bl w:val="nil"/>
                  </w:tcBorders>
                  <w:vAlign w:val="center"/>
                </w:tcPr>
                <w:p w14:paraId="09A8D73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0.01</w:t>
                  </w:r>
                </w:p>
              </w:tc>
              <w:tc>
                <w:tcPr>
                  <w:tcW w:w="567" w:type="pct"/>
                  <w:tcBorders>
                    <w:tl2br w:val="nil"/>
                    <w:tr2bl w:val="nil"/>
                  </w:tcBorders>
                  <w:vAlign w:val="center"/>
                </w:tcPr>
                <w:p w14:paraId="2D555CD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0.008L</w:t>
                  </w:r>
                </w:p>
              </w:tc>
              <w:tc>
                <w:tcPr>
                  <w:tcW w:w="568" w:type="pct"/>
                  <w:tcBorders>
                    <w:tl2br w:val="nil"/>
                    <w:tr2bl w:val="nil"/>
                  </w:tcBorders>
                  <w:vAlign w:val="center"/>
                </w:tcPr>
                <w:p w14:paraId="3ED80B6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0.008L</w:t>
                  </w:r>
                </w:p>
              </w:tc>
              <w:tc>
                <w:tcPr>
                  <w:tcW w:w="450" w:type="pct"/>
                  <w:tcBorders>
                    <w:tl2br w:val="nil"/>
                    <w:tr2bl w:val="nil"/>
                  </w:tcBorders>
                  <w:vAlign w:val="center"/>
                </w:tcPr>
                <w:p w14:paraId="013A8A6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0.2</w:t>
                  </w:r>
                </w:p>
              </w:tc>
              <w:tc>
                <w:tcPr>
                  <w:tcW w:w="547" w:type="pct"/>
                  <w:tcBorders>
                    <w:tl2br w:val="nil"/>
                    <w:tr2bl w:val="nil"/>
                  </w:tcBorders>
                  <w:vAlign w:val="center"/>
                </w:tcPr>
                <w:p w14:paraId="3DDD0B7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w:t>
                  </w:r>
                </w:p>
              </w:tc>
              <w:tc>
                <w:tcPr>
                  <w:tcW w:w="547" w:type="pct"/>
                  <w:tcBorders>
                    <w:tl2br w:val="nil"/>
                    <w:tr2bl w:val="nil"/>
                  </w:tcBorders>
                  <w:vAlign w:val="center"/>
                </w:tcPr>
                <w:p w14:paraId="640D402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0.02</w:t>
                  </w:r>
                </w:p>
              </w:tc>
              <w:tc>
                <w:tcPr>
                  <w:tcW w:w="548" w:type="pct"/>
                  <w:tcBorders>
                    <w:tl2br w:val="nil"/>
                    <w:tr2bl w:val="nil"/>
                  </w:tcBorders>
                  <w:vAlign w:val="center"/>
                </w:tcPr>
                <w:p w14:paraId="6B62E36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0.02</w:t>
                  </w:r>
                </w:p>
              </w:tc>
              <w:tc>
                <w:tcPr>
                  <w:tcW w:w="508" w:type="pct"/>
                  <w:tcBorders>
                    <w:tl2br w:val="nil"/>
                    <w:tr2bl w:val="nil"/>
                  </w:tcBorders>
                  <w:vAlign w:val="center"/>
                </w:tcPr>
                <w:p w14:paraId="4BBA819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7F422E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tcBorders>
                    <w:tl2br w:val="nil"/>
                    <w:tr2bl w:val="nil"/>
                  </w:tcBorders>
                  <w:vAlign w:val="center"/>
                </w:tcPr>
                <w:p w14:paraId="48B54DF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锌</w:t>
                  </w:r>
                </w:p>
              </w:tc>
              <w:tc>
                <w:tcPr>
                  <w:tcW w:w="567" w:type="pct"/>
                  <w:tcBorders>
                    <w:tl2br w:val="nil"/>
                    <w:tr2bl w:val="nil"/>
                  </w:tcBorders>
                  <w:vAlign w:val="center"/>
                </w:tcPr>
                <w:p w14:paraId="6E7D0D4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0.05L</w:t>
                  </w:r>
                </w:p>
              </w:tc>
              <w:tc>
                <w:tcPr>
                  <w:tcW w:w="567" w:type="pct"/>
                  <w:tcBorders>
                    <w:tl2br w:val="nil"/>
                    <w:tr2bl w:val="nil"/>
                  </w:tcBorders>
                  <w:vAlign w:val="center"/>
                </w:tcPr>
                <w:p w14:paraId="4E72D24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0.31</w:t>
                  </w:r>
                </w:p>
              </w:tc>
              <w:tc>
                <w:tcPr>
                  <w:tcW w:w="568" w:type="pct"/>
                  <w:tcBorders>
                    <w:tl2br w:val="nil"/>
                    <w:tr2bl w:val="nil"/>
                  </w:tcBorders>
                  <w:vAlign w:val="center"/>
                </w:tcPr>
                <w:p w14:paraId="25FAC3B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w:t>
                  </w:r>
                </w:p>
              </w:tc>
              <w:tc>
                <w:tcPr>
                  <w:tcW w:w="450" w:type="pct"/>
                  <w:tcBorders>
                    <w:tl2br w:val="nil"/>
                    <w:tr2bl w:val="nil"/>
                  </w:tcBorders>
                  <w:vAlign w:val="center"/>
                </w:tcPr>
                <w:p w14:paraId="2032307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547" w:type="pct"/>
                  <w:tcBorders>
                    <w:tl2br w:val="nil"/>
                    <w:tr2bl w:val="nil"/>
                  </w:tcBorders>
                  <w:vAlign w:val="center"/>
                </w:tcPr>
                <w:p w14:paraId="407A5D4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0.025</w:t>
                  </w:r>
                </w:p>
              </w:tc>
              <w:tc>
                <w:tcPr>
                  <w:tcW w:w="547" w:type="pct"/>
                  <w:tcBorders>
                    <w:tl2br w:val="nil"/>
                    <w:tr2bl w:val="nil"/>
                  </w:tcBorders>
                  <w:vAlign w:val="center"/>
                </w:tcPr>
                <w:p w14:paraId="31589BD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0.31</w:t>
                  </w:r>
                </w:p>
              </w:tc>
              <w:tc>
                <w:tcPr>
                  <w:tcW w:w="548" w:type="pct"/>
                  <w:tcBorders>
                    <w:tl2br w:val="nil"/>
                    <w:tr2bl w:val="nil"/>
                  </w:tcBorders>
                  <w:vAlign w:val="center"/>
                </w:tcPr>
                <w:p w14:paraId="2F608D4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w:t>
                  </w:r>
                </w:p>
              </w:tc>
              <w:tc>
                <w:tcPr>
                  <w:tcW w:w="508" w:type="pct"/>
                  <w:tcBorders>
                    <w:tl2br w:val="nil"/>
                    <w:tr2bl w:val="nil"/>
                  </w:tcBorders>
                  <w:vAlign w:val="center"/>
                </w:tcPr>
                <w:p w14:paraId="2617EF4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08BD9D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tcBorders>
                    <w:tl2br w:val="nil"/>
                    <w:tr2bl w:val="nil"/>
                  </w:tcBorders>
                  <w:vAlign w:val="center"/>
                </w:tcPr>
                <w:p w14:paraId="2904DD0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铜</w:t>
                  </w:r>
                </w:p>
              </w:tc>
              <w:tc>
                <w:tcPr>
                  <w:tcW w:w="567" w:type="pct"/>
                  <w:tcBorders>
                    <w:tl2br w:val="nil"/>
                    <w:tr2bl w:val="nil"/>
                  </w:tcBorders>
                  <w:vAlign w:val="center"/>
                </w:tcPr>
                <w:p w14:paraId="3A9FB13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0.05L</w:t>
                  </w:r>
                </w:p>
              </w:tc>
              <w:tc>
                <w:tcPr>
                  <w:tcW w:w="567" w:type="pct"/>
                  <w:tcBorders>
                    <w:tl2br w:val="nil"/>
                    <w:tr2bl w:val="nil"/>
                  </w:tcBorders>
                  <w:vAlign w:val="center"/>
                </w:tcPr>
                <w:p w14:paraId="1B5DEE1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0.05L</w:t>
                  </w:r>
                </w:p>
              </w:tc>
              <w:tc>
                <w:tcPr>
                  <w:tcW w:w="568" w:type="pct"/>
                  <w:tcBorders>
                    <w:tl2br w:val="nil"/>
                    <w:tr2bl w:val="nil"/>
                  </w:tcBorders>
                  <w:vAlign w:val="center"/>
                </w:tcPr>
                <w:p w14:paraId="7D828AF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0.05L</w:t>
                  </w:r>
                </w:p>
              </w:tc>
              <w:tc>
                <w:tcPr>
                  <w:tcW w:w="450" w:type="pct"/>
                  <w:tcBorders>
                    <w:tl2br w:val="nil"/>
                    <w:tr2bl w:val="nil"/>
                  </w:tcBorders>
                  <w:vAlign w:val="center"/>
                </w:tcPr>
                <w:p w14:paraId="1419230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547" w:type="pct"/>
                  <w:tcBorders>
                    <w:tl2br w:val="nil"/>
                    <w:tr2bl w:val="nil"/>
                  </w:tcBorders>
                  <w:vAlign w:val="center"/>
                </w:tcPr>
                <w:p w14:paraId="2362B25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0.025</w:t>
                  </w:r>
                </w:p>
              </w:tc>
              <w:tc>
                <w:tcPr>
                  <w:tcW w:w="547" w:type="pct"/>
                  <w:tcBorders>
                    <w:tl2br w:val="nil"/>
                    <w:tr2bl w:val="nil"/>
                  </w:tcBorders>
                  <w:vAlign w:val="center"/>
                </w:tcPr>
                <w:p w14:paraId="1C5FAC4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0.02</w:t>
                  </w:r>
                </w:p>
              </w:tc>
              <w:tc>
                <w:tcPr>
                  <w:tcW w:w="548" w:type="pct"/>
                  <w:tcBorders>
                    <w:tl2br w:val="nil"/>
                    <w:tr2bl w:val="nil"/>
                  </w:tcBorders>
                  <w:vAlign w:val="center"/>
                </w:tcPr>
                <w:p w14:paraId="1D6144B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0.02</w:t>
                  </w:r>
                </w:p>
              </w:tc>
              <w:tc>
                <w:tcPr>
                  <w:tcW w:w="508" w:type="pct"/>
                  <w:tcBorders>
                    <w:tl2br w:val="nil"/>
                    <w:tr2bl w:val="nil"/>
                  </w:tcBorders>
                  <w:vAlign w:val="center"/>
                </w:tcPr>
                <w:p w14:paraId="3795CBF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442569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tcBorders>
                    <w:tl2br w:val="nil"/>
                    <w:tr2bl w:val="nil"/>
                  </w:tcBorders>
                  <w:vAlign w:val="center"/>
                </w:tcPr>
                <w:p w14:paraId="6D5096E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镉</w:t>
                  </w:r>
                </w:p>
              </w:tc>
              <w:tc>
                <w:tcPr>
                  <w:tcW w:w="567" w:type="pct"/>
                  <w:tcBorders>
                    <w:tl2br w:val="nil"/>
                    <w:tr2bl w:val="nil"/>
                  </w:tcBorders>
                  <w:vAlign w:val="center"/>
                </w:tcPr>
                <w:p w14:paraId="47BB41B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0.004</w:t>
                  </w:r>
                </w:p>
              </w:tc>
              <w:tc>
                <w:tcPr>
                  <w:tcW w:w="567" w:type="pct"/>
                  <w:tcBorders>
                    <w:tl2br w:val="nil"/>
                    <w:tr2bl w:val="nil"/>
                  </w:tcBorders>
                  <w:vAlign w:val="center"/>
                </w:tcPr>
                <w:p w14:paraId="75D3E84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0.0017</w:t>
                  </w:r>
                </w:p>
              </w:tc>
              <w:tc>
                <w:tcPr>
                  <w:tcW w:w="568" w:type="pct"/>
                  <w:tcBorders>
                    <w:tl2br w:val="nil"/>
                    <w:tr2bl w:val="nil"/>
                  </w:tcBorders>
                  <w:vAlign w:val="center"/>
                </w:tcPr>
                <w:p w14:paraId="5D8403B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0.0008</w:t>
                  </w:r>
                </w:p>
              </w:tc>
              <w:tc>
                <w:tcPr>
                  <w:tcW w:w="450" w:type="pct"/>
                  <w:tcBorders>
                    <w:tl2br w:val="nil"/>
                    <w:tr2bl w:val="nil"/>
                  </w:tcBorders>
                  <w:vAlign w:val="center"/>
                </w:tcPr>
                <w:p w14:paraId="2C8EE48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0.005</w:t>
                  </w:r>
                </w:p>
              </w:tc>
              <w:tc>
                <w:tcPr>
                  <w:tcW w:w="547" w:type="pct"/>
                  <w:tcBorders>
                    <w:tl2br w:val="nil"/>
                    <w:tr2bl w:val="nil"/>
                  </w:tcBorders>
                  <w:vAlign w:val="center"/>
                </w:tcPr>
                <w:p w14:paraId="00E234F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0.8</w:t>
                  </w:r>
                </w:p>
              </w:tc>
              <w:tc>
                <w:tcPr>
                  <w:tcW w:w="547" w:type="pct"/>
                  <w:tcBorders>
                    <w:tl2br w:val="nil"/>
                    <w:tr2bl w:val="nil"/>
                  </w:tcBorders>
                  <w:vAlign w:val="center"/>
                </w:tcPr>
                <w:p w14:paraId="0115948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0.34</w:t>
                  </w:r>
                </w:p>
              </w:tc>
              <w:tc>
                <w:tcPr>
                  <w:tcW w:w="548" w:type="pct"/>
                  <w:tcBorders>
                    <w:tl2br w:val="nil"/>
                    <w:tr2bl w:val="nil"/>
                  </w:tcBorders>
                  <w:vAlign w:val="center"/>
                </w:tcPr>
                <w:p w14:paraId="33EF175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0.16</w:t>
                  </w:r>
                </w:p>
              </w:tc>
              <w:tc>
                <w:tcPr>
                  <w:tcW w:w="508" w:type="pct"/>
                  <w:tcBorders>
                    <w:tl2br w:val="nil"/>
                    <w:tr2bl w:val="nil"/>
                  </w:tcBorders>
                  <w:vAlign w:val="center"/>
                </w:tcPr>
                <w:p w14:paraId="765F615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0E9E4C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tcBorders>
                    <w:tl2br w:val="nil"/>
                    <w:tr2bl w:val="nil"/>
                  </w:tcBorders>
                  <w:vAlign w:val="center"/>
                </w:tcPr>
                <w:p w14:paraId="6A5BD24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六价铬</w:t>
                  </w:r>
                </w:p>
              </w:tc>
              <w:tc>
                <w:tcPr>
                  <w:tcW w:w="567" w:type="pct"/>
                  <w:tcBorders>
                    <w:tl2br w:val="nil"/>
                    <w:tr2bl w:val="nil"/>
                  </w:tcBorders>
                  <w:vAlign w:val="center"/>
                </w:tcPr>
                <w:p w14:paraId="5F9FAD9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0.004L</w:t>
                  </w:r>
                </w:p>
              </w:tc>
              <w:tc>
                <w:tcPr>
                  <w:tcW w:w="567" w:type="pct"/>
                  <w:tcBorders>
                    <w:tl2br w:val="nil"/>
                    <w:tr2bl w:val="nil"/>
                  </w:tcBorders>
                  <w:vAlign w:val="center"/>
                </w:tcPr>
                <w:p w14:paraId="0BD336A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0.004L</w:t>
                  </w:r>
                </w:p>
              </w:tc>
              <w:tc>
                <w:tcPr>
                  <w:tcW w:w="568" w:type="pct"/>
                  <w:tcBorders>
                    <w:tl2br w:val="nil"/>
                    <w:tr2bl w:val="nil"/>
                  </w:tcBorders>
                  <w:vAlign w:val="center"/>
                </w:tcPr>
                <w:p w14:paraId="40E3578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0.004L</w:t>
                  </w:r>
                </w:p>
              </w:tc>
              <w:tc>
                <w:tcPr>
                  <w:tcW w:w="450" w:type="pct"/>
                  <w:tcBorders>
                    <w:tl2br w:val="nil"/>
                    <w:tr2bl w:val="nil"/>
                  </w:tcBorders>
                  <w:vAlign w:val="center"/>
                </w:tcPr>
                <w:p w14:paraId="6CA1300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w:t>
                  </w:r>
                </w:p>
              </w:tc>
              <w:tc>
                <w:tcPr>
                  <w:tcW w:w="547" w:type="pct"/>
                  <w:tcBorders>
                    <w:tl2br w:val="nil"/>
                    <w:tr2bl w:val="nil"/>
                  </w:tcBorders>
                  <w:vAlign w:val="center"/>
                </w:tcPr>
                <w:p w14:paraId="7EBD5F6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0.04</w:t>
                  </w:r>
                </w:p>
              </w:tc>
              <w:tc>
                <w:tcPr>
                  <w:tcW w:w="547" w:type="pct"/>
                  <w:tcBorders>
                    <w:tl2br w:val="nil"/>
                    <w:tr2bl w:val="nil"/>
                  </w:tcBorders>
                  <w:vAlign w:val="center"/>
                </w:tcPr>
                <w:p w14:paraId="4201D5D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0.04</w:t>
                  </w:r>
                </w:p>
              </w:tc>
              <w:tc>
                <w:tcPr>
                  <w:tcW w:w="548" w:type="pct"/>
                  <w:tcBorders>
                    <w:tl2br w:val="nil"/>
                    <w:tr2bl w:val="nil"/>
                  </w:tcBorders>
                  <w:vAlign w:val="center"/>
                </w:tcPr>
                <w:p w14:paraId="5B75C12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0.04</w:t>
                  </w:r>
                </w:p>
              </w:tc>
              <w:tc>
                <w:tcPr>
                  <w:tcW w:w="508" w:type="pct"/>
                  <w:tcBorders>
                    <w:tl2br w:val="nil"/>
                    <w:tr2bl w:val="nil"/>
                  </w:tcBorders>
                  <w:vAlign w:val="center"/>
                </w:tcPr>
                <w:p w14:paraId="4F80789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25B0A9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tcBorders>
                    <w:tl2br w:val="nil"/>
                    <w:tr2bl w:val="nil"/>
                  </w:tcBorders>
                  <w:vAlign w:val="center"/>
                </w:tcPr>
                <w:p w14:paraId="69F29E0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氟化物</w:t>
                  </w:r>
                </w:p>
              </w:tc>
              <w:tc>
                <w:tcPr>
                  <w:tcW w:w="567" w:type="pct"/>
                  <w:tcBorders>
                    <w:tl2br w:val="nil"/>
                    <w:tr2bl w:val="nil"/>
                  </w:tcBorders>
                  <w:vAlign w:val="center"/>
                </w:tcPr>
                <w:p w14:paraId="1BA4D18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0.34</w:t>
                  </w:r>
                </w:p>
              </w:tc>
              <w:tc>
                <w:tcPr>
                  <w:tcW w:w="567" w:type="pct"/>
                  <w:tcBorders>
                    <w:tl2br w:val="nil"/>
                    <w:tr2bl w:val="nil"/>
                  </w:tcBorders>
                  <w:vAlign w:val="center"/>
                </w:tcPr>
                <w:p w14:paraId="1D05F15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0.41</w:t>
                  </w:r>
                </w:p>
              </w:tc>
              <w:tc>
                <w:tcPr>
                  <w:tcW w:w="568" w:type="pct"/>
                  <w:tcBorders>
                    <w:tl2br w:val="nil"/>
                    <w:tr2bl w:val="nil"/>
                  </w:tcBorders>
                  <w:vAlign w:val="center"/>
                </w:tcPr>
                <w:p w14:paraId="0809832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0.27</w:t>
                  </w:r>
                </w:p>
              </w:tc>
              <w:tc>
                <w:tcPr>
                  <w:tcW w:w="450" w:type="pct"/>
                  <w:tcBorders>
                    <w:tl2br w:val="nil"/>
                    <w:tr2bl w:val="nil"/>
                  </w:tcBorders>
                  <w:vAlign w:val="center"/>
                </w:tcPr>
                <w:p w14:paraId="6FF87CF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547" w:type="pct"/>
                  <w:tcBorders>
                    <w:tl2br w:val="nil"/>
                    <w:tr2bl w:val="nil"/>
                  </w:tcBorders>
                  <w:vAlign w:val="center"/>
                </w:tcPr>
                <w:p w14:paraId="2ADF638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0.34</w:t>
                  </w:r>
                </w:p>
              </w:tc>
              <w:tc>
                <w:tcPr>
                  <w:tcW w:w="547" w:type="pct"/>
                  <w:tcBorders>
                    <w:tl2br w:val="nil"/>
                    <w:tr2bl w:val="nil"/>
                  </w:tcBorders>
                  <w:vAlign w:val="center"/>
                </w:tcPr>
                <w:p w14:paraId="56FB053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0.41</w:t>
                  </w:r>
                </w:p>
              </w:tc>
              <w:tc>
                <w:tcPr>
                  <w:tcW w:w="548" w:type="pct"/>
                  <w:tcBorders>
                    <w:tl2br w:val="nil"/>
                    <w:tr2bl w:val="nil"/>
                  </w:tcBorders>
                  <w:vAlign w:val="center"/>
                </w:tcPr>
                <w:p w14:paraId="7705006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0.27</w:t>
                  </w:r>
                </w:p>
              </w:tc>
              <w:tc>
                <w:tcPr>
                  <w:tcW w:w="508" w:type="pct"/>
                  <w:tcBorders>
                    <w:tl2br w:val="nil"/>
                    <w:tr2bl w:val="nil"/>
                  </w:tcBorders>
                  <w:vAlign w:val="center"/>
                </w:tcPr>
                <w:p w14:paraId="15EC4F7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44B3D4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tcBorders>
                    <w:tl2br w:val="nil"/>
                    <w:tr2bl w:val="nil"/>
                  </w:tcBorders>
                  <w:vAlign w:val="center"/>
                </w:tcPr>
                <w:p w14:paraId="05729C1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溶解性总固体</w:t>
                  </w:r>
                </w:p>
              </w:tc>
              <w:tc>
                <w:tcPr>
                  <w:tcW w:w="567" w:type="pct"/>
                  <w:tcBorders>
                    <w:tl2br w:val="nil"/>
                    <w:tr2bl w:val="nil"/>
                  </w:tcBorders>
                  <w:vAlign w:val="center"/>
                </w:tcPr>
                <w:p w14:paraId="18DB1FC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462</w:t>
                  </w:r>
                </w:p>
              </w:tc>
              <w:tc>
                <w:tcPr>
                  <w:tcW w:w="567" w:type="pct"/>
                  <w:tcBorders>
                    <w:tl2br w:val="nil"/>
                    <w:tr2bl w:val="nil"/>
                  </w:tcBorders>
                  <w:vAlign w:val="center"/>
                </w:tcPr>
                <w:p w14:paraId="295E238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942</w:t>
                  </w:r>
                </w:p>
              </w:tc>
              <w:tc>
                <w:tcPr>
                  <w:tcW w:w="568" w:type="pct"/>
                  <w:tcBorders>
                    <w:tl2br w:val="nil"/>
                    <w:tr2bl w:val="nil"/>
                  </w:tcBorders>
                  <w:vAlign w:val="center"/>
                </w:tcPr>
                <w:p w14:paraId="1B86BC6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614</w:t>
                  </w:r>
                </w:p>
              </w:tc>
              <w:tc>
                <w:tcPr>
                  <w:tcW w:w="450" w:type="pct"/>
                  <w:tcBorders>
                    <w:tl2br w:val="nil"/>
                    <w:tr2bl w:val="nil"/>
                  </w:tcBorders>
                  <w:vAlign w:val="center"/>
                </w:tcPr>
                <w:p w14:paraId="1AF68FA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1000</w:t>
                  </w:r>
                </w:p>
              </w:tc>
              <w:tc>
                <w:tcPr>
                  <w:tcW w:w="547" w:type="pct"/>
                  <w:tcBorders>
                    <w:tl2br w:val="nil"/>
                    <w:tr2bl w:val="nil"/>
                  </w:tcBorders>
                  <w:vAlign w:val="center"/>
                </w:tcPr>
                <w:p w14:paraId="7FF1405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0.46</w:t>
                  </w:r>
                </w:p>
              </w:tc>
              <w:tc>
                <w:tcPr>
                  <w:tcW w:w="547" w:type="pct"/>
                  <w:tcBorders>
                    <w:tl2br w:val="nil"/>
                    <w:tr2bl w:val="nil"/>
                  </w:tcBorders>
                  <w:vAlign w:val="center"/>
                </w:tcPr>
                <w:p w14:paraId="653E71E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0.94</w:t>
                  </w:r>
                </w:p>
              </w:tc>
              <w:tc>
                <w:tcPr>
                  <w:tcW w:w="548" w:type="pct"/>
                  <w:tcBorders>
                    <w:tl2br w:val="nil"/>
                    <w:tr2bl w:val="nil"/>
                  </w:tcBorders>
                  <w:vAlign w:val="center"/>
                </w:tcPr>
                <w:p w14:paraId="27A436D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0.61</w:t>
                  </w:r>
                </w:p>
              </w:tc>
              <w:tc>
                <w:tcPr>
                  <w:tcW w:w="508" w:type="pct"/>
                  <w:tcBorders>
                    <w:tl2br w:val="nil"/>
                    <w:tr2bl w:val="nil"/>
                  </w:tcBorders>
                  <w:vAlign w:val="center"/>
                </w:tcPr>
                <w:p w14:paraId="61D85EA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4F38B2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tcBorders>
                    <w:tl2br w:val="nil"/>
                    <w:tr2bl w:val="nil"/>
                  </w:tcBorders>
                  <w:vAlign w:val="center"/>
                </w:tcPr>
                <w:p w14:paraId="41FB908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总大肠菌群</w:t>
                  </w:r>
                </w:p>
              </w:tc>
              <w:tc>
                <w:tcPr>
                  <w:tcW w:w="567" w:type="pct"/>
                  <w:tcBorders>
                    <w:tl2br w:val="nil"/>
                    <w:tr2bl w:val="nil"/>
                  </w:tcBorders>
                  <w:vAlign w:val="center"/>
                </w:tcPr>
                <w:p w14:paraId="6AE3CF5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567" w:type="pct"/>
                  <w:tcBorders>
                    <w:tl2br w:val="nil"/>
                    <w:tr2bl w:val="nil"/>
                  </w:tcBorders>
                  <w:vAlign w:val="center"/>
                </w:tcPr>
                <w:p w14:paraId="409585E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568" w:type="pct"/>
                  <w:tcBorders>
                    <w:tl2br w:val="nil"/>
                    <w:tr2bl w:val="nil"/>
                  </w:tcBorders>
                  <w:vAlign w:val="center"/>
                </w:tcPr>
                <w:p w14:paraId="433EFEB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450" w:type="pct"/>
                  <w:tcBorders>
                    <w:tl2br w:val="nil"/>
                    <w:tr2bl w:val="nil"/>
                  </w:tcBorders>
                  <w:vAlign w:val="center"/>
                </w:tcPr>
                <w:p w14:paraId="62BE2F0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547" w:type="pct"/>
                  <w:tcBorders>
                    <w:tl2br w:val="nil"/>
                    <w:tr2bl w:val="nil"/>
                  </w:tcBorders>
                  <w:vAlign w:val="center"/>
                </w:tcPr>
                <w:p w14:paraId="351F387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0.33</w:t>
                  </w:r>
                </w:p>
              </w:tc>
              <w:tc>
                <w:tcPr>
                  <w:tcW w:w="547" w:type="pct"/>
                  <w:tcBorders>
                    <w:tl2br w:val="nil"/>
                    <w:tr2bl w:val="nil"/>
                  </w:tcBorders>
                  <w:vAlign w:val="center"/>
                </w:tcPr>
                <w:p w14:paraId="09C6496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0.33</w:t>
                  </w:r>
                </w:p>
              </w:tc>
              <w:tc>
                <w:tcPr>
                  <w:tcW w:w="548" w:type="pct"/>
                  <w:tcBorders>
                    <w:tl2br w:val="nil"/>
                    <w:tr2bl w:val="nil"/>
                  </w:tcBorders>
                  <w:vAlign w:val="center"/>
                </w:tcPr>
                <w:p w14:paraId="16F9FCC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0.33</w:t>
                  </w:r>
                </w:p>
              </w:tc>
              <w:tc>
                <w:tcPr>
                  <w:tcW w:w="508" w:type="pct"/>
                  <w:tcBorders>
                    <w:tl2br w:val="nil"/>
                    <w:tr2bl w:val="nil"/>
                  </w:tcBorders>
                  <w:vAlign w:val="center"/>
                </w:tcPr>
                <w:p w14:paraId="0F62753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584602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tcBorders>
                    <w:tl2br w:val="nil"/>
                    <w:tr2bl w:val="nil"/>
                  </w:tcBorders>
                  <w:vAlign w:val="center"/>
                </w:tcPr>
                <w:p w14:paraId="4D20DBF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细菌总数</w:t>
                  </w:r>
                </w:p>
              </w:tc>
              <w:tc>
                <w:tcPr>
                  <w:tcW w:w="567" w:type="pct"/>
                  <w:tcBorders>
                    <w:tl2br w:val="nil"/>
                    <w:tr2bl w:val="nil"/>
                  </w:tcBorders>
                  <w:vAlign w:val="center"/>
                </w:tcPr>
                <w:p w14:paraId="00A304D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94</w:t>
                  </w:r>
                </w:p>
              </w:tc>
              <w:tc>
                <w:tcPr>
                  <w:tcW w:w="567" w:type="pct"/>
                  <w:tcBorders>
                    <w:tl2br w:val="nil"/>
                    <w:tr2bl w:val="nil"/>
                  </w:tcBorders>
                  <w:vAlign w:val="center"/>
                </w:tcPr>
                <w:p w14:paraId="08FEA1B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49</w:t>
                  </w:r>
                </w:p>
              </w:tc>
              <w:tc>
                <w:tcPr>
                  <w:tcW w:w="568" w:type="pct"/>
                  <w:tcBorders>
                    <w:tl2br w:val="nil"/>
                    <w:tr2bl w:val="nil"/>
                  </w:tcBorders>
                  <w:vAlign w:val="center"/>
                </w:tcPr>
                <w:p w14:paraId="2B8E1CD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19</w:t>
                  </w:r>
                </w:p>
              </w:tc>
              <w:tc>
                <w:tcPr>
                  <w:tcW w:w="450" w:type="pct"/>
                  <w:tcBorders>
                    <w:tl2br w:val="nil"/>
                    <w:tr2bl w:val="nil"/>
                  </w:tcBorders>
                  <w:vAlign w:val="center"/>
                </w:tcPr>
                <w:p w14:paraId="05F4DD5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w:t>
                  </w:r>
                </w:p>
              </w:tc>
              <w:tc>
                <w:tcPr>
                  <w:tcW w:w="547" w:type="pct"/>
                  <w:tcBorders>
                    <w:tl2br w:val="nil"/>
                    <w:tr2bl w:val="nil"/>
                  </w:tcBorders>
                  <w:vAlign w:val="center"/>
                </w:tcPr>
                <w:p w14:paraId="1DDB955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0.94</w:t>
                  </w:r>
                </w:p>
              </w:tc>
              <w:tc>
                <w:tcPr>
                  <w:tcW w:w="547" w:type="pct"/>
                  <w:tcBorders>
                    <w:tl2br w:val="nil"/>
                    <w:tr2bl w:val="nil"/>
                  </w:tcBorders>
                  <w:vAlign w:val="center"/>
                </w:tcPr>
                <w:p w14:paraId="0BFD77E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0.49</w:t>
                  </w:r>
                </w:p>
              </w:tc>
              <w:tc>
                <w:tcPr>
                  <w:tcW w:w="548" w:type="pct"/>
                  <w:tcBorders>
                    <w:tl2br w:val="nil"/>
                    <w:tr2bl w:val="nil"/>
                  </w:tcBorders>
                  <w:vAlign w:val="center"/>
                </w:tcPr>
                <w:p w14:paraId="15EC83D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0.19</w:t>
                  </w:r>
                </w:p>
              </w:tc>
              <w:tc>
                <w:tcPr>
                  <w:tcW w:w="508" w:type="pct"/>
                  <w:tcBorders>
                    <w:tl2br w:val="nil"/>
                    <w:tr2bl w:val="nil"/>
                  </w:tcBorders>
                  <w:vAlign w:val="center"/>
                </w:tcPr>
                <w:p w14:paraId="2D8B68F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5C6CB8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tcBorders>
                    <w:tl2br w:val="nil"/>
                    <w:tr2bl w:val="nil"/>
                  </w:tcBorders>
                  <w:vAlign w:val="center"/>
                </w:tcPr>
                <w:p w14:paraId="10CECDB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总硬度</w:t>
                  </w:r>
                </w:p>
              </w:tc>
              <w:tc>
                <w:tcPr>
                  <w:tcW w:w="567" w:type="pct"/>
                  <w:tcBorders>
                    <w:tl2br w:val="nil"/>
                    <w:tr2bl w:val="nil"/>
                  </w:tcBorders>
                  <w:vAlign w:val="center"/>
                </w:tcPr>
                <w:p w14:paraId="68B667E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418</w:t>
                  </w:r>
                </w:p>
              </w:tc>
              <w:tc>
                <w:tcPr>
                  <w:tcW w:w="567" w:type="pct"/>
                  <w:tcBorders>
                    <w:tl2br w:val="nil"/>
                    <w:tr2bl w:val="nil"/>
                  </w:tcBorders>
                  <w:vAlign w:val="center"/>
                </w:tcPr>
                <w:p w14:paraId="38BBF56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408</w:t>
                  </w:r>
                </w:p>
              </w:tc>
              <w:tc>
                <w:tcPr>
                  <w:tcW w:w="568" w:type="pct"/>
                  <w:tcBorders>
                    <w:tl2br w:val="nil"/>
                    <w:tr2bl w:val="nil"/>
                  </w:tcBorders>
                  <w:vAlign w:val="center"/>
                </w:tcPr>
                <w:p w14:paraId="1DC197D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386</w:t>
                  </w:r>
                </w:p>
              </w:tc>
              <w:tc>
                <w:tcPr>
                  <w:tcW w:w="450" w:type="pct"/>
                  <w:tcBorders>
                    <w:tl2br w:val="nil"/>
                    <w:tr2bl w:val="nil"/>
                  </w:tcBorders>
                  <w:vAlign w:val="center"/>
                </w:tcPr>
                <w:p w14:paraId="26EB6B9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450</w:t>
                  </w:r>
                </w:p>
              </w:tc>
              <w:tc>
                <w:tcPr>
                  <w:tcW w:w="547" w:type="pct"/>
                  <w:tcBorders>
                    <w:tl2br w:val="nil"/>
                    <w:tr2bl w:val="nil"/>
                  </w:tcBorders>
                  <w:vAlign w:val="center"/>
                </w:tcPr>
                <w:p w14:paraId="308AB70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0.93</w:t>
                  </w:r>
                </w:p>
              </w:tc>
              <w:tc>
                <w:tcPr>
                  <w:tcW w:w="547" w:type="pct"/>
                  <w:tcBorders>
                    <w:tl2br w:val="nil"/>
                    <w:tr2bl w:val="nil"/>
                  </w:tcBorders>
                  <w:vAlign w:val="center"/>
                </w:tcPr>
                <w:p w14:paraId="549C4C1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0.91</w:t>
                  </w:r>
                </w:p>
              </w:tc>
              <w:tc>
                <w:tcPr>
                  <w:tcW w:w="548" w:type="pct"/>
                  <w:tcBorders>
                    <w:tl2br w:val="nil"/>
                    <w:tr2bl w:val="nil"/>
                  </w:tcBorders>
                  <w:vAlign w:val="center"/>
                </w:tcPr>
                <w:p w14:paraId="0B20630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0.86</w:t>
                  </w:r>
                </w:p>
              </w:tc>
              <w:tc>
                <w:tcPr>
                  <w:tcW w:w="508" w:type="pct"/>
                  <w:tcBorders>
                    <w:tl2br w:val="nil"/>
                    <w:tr2bl w:val="nil"/>
                  </w:tcBorders>
                  <w:vAlign w:val="center"/>
                </w:tcPr>
                <w:p w14:paraId="7482E3D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6229B6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tcBorders>
                    <w:tl2br w:val="nil"/>
                    <w:tr2bl w:val="nil"/>
                  </w:tcBorders>
                  <w:vAlign w:val="center"/>
                </w:tcPr>
                <w:p w14:paraId="51FF50E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硝酸盐</w:t>
                  </w:r>
                </w:p>
              </w:tc>
              <w:tc>
                <w:tcPr>
                  <w:tcW w:w="567" w:type="pct"/>
                  <w:tcBorders>
                    <w:tl2br w:val="nil"/>
                    <w:tr2bl w:val="nil"/>
                  </w:tcBorders>
                  <w:vAlign w:val="center"/>
                </w:tcPr>
                <w:p w14:paraId="4ACFDB4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4.13</w:t>
                  </w:r>
                </w:p>
              </w:tc>
              <w:tc>
                <w:tcPr>
                  <w:tcW w:w="567" w:type="pct"/>
                  <w:tcBorders>
                    <w:tl2br w:val="nil"/>
                    <w:tr2bl w:val="nil"/>
                  </w:tcBorders>
                  <w:vAlign w:val="center"/>
                </w:tcPr>
                <w:p w14:paraId="231CFEF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3.69</w:t>
                  </w:r>
                </w:p>
              </w:tc>
              <w:tc>
                <w:tcPr>
                  <w:tcW w:w="568" w:type="pct"/>
                  <w:tcBorders>
                    <w:tl2br w:val="nil"/>
                    <w:tr2bl w:val="nil"/>
                  </w:tcBorders>
                  <w:vAlign w:val="center"/>
                </w:tcPr>
                <w:p w14:paraId="2A6D924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3.16</w:t>
                  </w:r>
                </w:p>
              </w:tc>
              <w:tc>
                <w:tcPr>
                  <w:tcW w:w="450" w:type="pct"/>
                  <w:tcBorders>
                    <w:tl2br w:val="nil"/>
                    <w:tr2bl w:val="nil"/>
                  </w:tcBorders>
                  <w:vAlign w:val="center"/>
                </w:tcPr>
                <w:p w14:paraId="4891C47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547" w:type="pct"/>
                  <w:tcBorders>
                    <w:tl2br w:val="nil"/>
                    <w:tr2bl w:val="nil"/>
                  </w:tcBorders>
                  <w:vAlign w:val="center"/>
                </w:tcPr>
                <w:p w14:paraId="1B2B3A8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0.21</w:t>
                  </w:r>
                </w:p>
              </w:tc>
              <w:tc>
                <w:tcPr>
                  <w:tcW w:w="547" w:type="pct"/>
                  <w:tcBorders>
                    <w:tl2br w:val="nil"/>
                    <w:tr2bl w:val="nil"/>
                  </w:tcBorders>
                  <w:vAlign w:val="center"/>
                </w:tcPr>
                <w:p w14:paraId="6470844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0.18</w:t>
                  </w:r>
                </w:p>
              </w:tc>
              <w:tc>
                <w:tcPr>
                  <w:tcW w:w="548" w:type="pct"/>
                  <w:tcBorders>
                    <w:tl2br w:val="nil"/>
                    <w:tr2bl w:val="nil"/>
                  </w:tcBorders>
                  <w:vAlign w:val="center"/>
                </w:tcPr>
                <w:p w14:paraId="4B8FD66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0.16</w:t>
                  </w:r>
                </w:p>
              </w:tc>
              <w:tc>
                <w:tcPr>
                  <w:tcW w:w="508" w:type="pct"/>
                  <w:tcBorders>
                    <w:tl2br w:val="nil"/>
                    <w:tr2bl w:val="nil"/>
                  </w:tcBorders>
                  <w:vAlign w:val="center"/>
                </w:tcPr>
                <w:p w14:paraId="6821579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270B2A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tcBorders>
                    <w:tl2br w:val="nil"/>
                    <w:tr2bl w:val="nil"/>
                  </w:tcBorders>
                  <w:vAlign w:val="center"/>
                </w:tcPr>
                <w:p w14:paraId="7538647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亚硝酸盐</w:t>
                  </w:r>
                </w:p>
              </w:tc>
              <w:tc>
                <w:tcPr>
                  <w:tcW w:w="567" w:type="pct"/>
                  <w:tcBorders>
                    <w:tl2br w:val="nil"/>
                    <w:tr2bl w:val="nil"/>
                  </w:tcBorders>
                  <w:vAlign w:val="center"/>
                </w:tcPr>
                <w:p w14:paraId="0F73C94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0.037</w:t>
                  </w:r>
                </w:p>
              </w:tc>
              <w:tc>
                <w:tcPr>
                  <w:tcW w:w="567" w:type="pct"/>
                  <w:tcBorders>
                    <w:tl2br w:val="nil"/>
                    <w:tr2bl w:val="nil"/>
                  </w:tcBorders>
                  <w:vAlign w:val="center"/>
                </w:tcPr>
                <w:p w14:paraId="67FCA52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0.008</w:t>
                  </w:r>
                </w:p>
              </w:tc>
              <w:tc>
                <w:tcPr>
                  <w:tcW w:w="568" w:type="pct"/>
                  <w:tcBorders>
                    <w:tl2br w:val="nil"/>
                    <w:tr2bl w:val="nil"/>
                  </w:tcBorders>
                  <w:vAlign w:val="center"/>
                </w:tcPr>
                <w:p w14:paraId="625850C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0.028</w:t>
                  </w:r>
                </w:p>
              </w:tc>
              <w:tc>
                <w:tcPr>
                  <w:tcW w:w="450" w:type="pct"/>
                  <w:tcBorders>
                    <w:tl2br w:val="nil"/>
                    <w:tr2bl w:val="nil"/>
                  </w:tcBorders>
                  <w:vAlign w:val="center"/>
                </w:tcPr>
                <w:p w14:paraId="7121034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547" w:type="pct"/>
                  <w:tcBorders>
                    <w:tl2br w:val="nil"/>
                    <w:tr2bl w:val="nil"/>
                  </w:tcBorders>
                  <w:vAlign w:val="center"/>
                </w:tcPr>
                <w:p w14:paraId="1A87416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0.037</w:t>
                  </w:r>
                </w:p>
              </w:tc>
              <w:tc>
                <w:tcPr>
                  <w:tcW w:w="547" w:type="pct"/>
                  <w:tcBorders>
                    <w:tl2br w:val="nil"/>
                    <w:tr2bl w:val="nil"/>
                  </w:tcBorders>
                  <w:vAlign w:val="center"/>
                </w:tcPr>
                <w:p w14:paraId="51E44C3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0.008</w:t>
                  </w:r>
                </w:p>
              </w:tc>
              <w:tc>
                <w:tcPr>
                  <w:tcW w:w="548" w:type="pct"/>
                  <w:tcBorders>
                    <w:tl2br w:val="nil"/>
                    <w:tr2bl w:val="nil"/>
                  </w:tcBorders>
                  <w:vAlign w:val="center"/>
                </w:tcPr>
                <w:p w14:paraId="3E4C4D8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0.028</w:t>
                  </w:r>
                </w:p>
              </w:tc>
              <w:tc>
                <w:tcPr>
                  <w:tcW w:w="508" w:type="pct"/>
                  <w:tcBorders>
                    <w:tl2br w:val="nil"/>
                    <w:tr2bl w:val="nil"/>
                  </w:tcBorders>
                  <w:vAlign w:val="center"/>
                </w:tcPr>
                <w:p w14:paraId="1047A17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193517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tcBorders>
                    <w:tl2br w:val="nil"/>
                    <w:tr2bl w:val="nil"/>
                  </w:tcBorders>
                  <w:vAlign w:val="center"/>
                </w:tcPr>
                <w:p w14:paraId="725729E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挥发酚</w:t>
                  </w:r>
                </w:p>
              </w:tc>
              <w:tc>
                <w:tcPr>
                  <w:tcW w:w="567" w:type="pct"/>
                  <w:tcBorders>
                    <w:tl2br w:val="nil"/>
                    <w:tr2bl w:val="nil"/>
                  </w:tcBorders>
                  <w:vAlign w:val="center"/>
                </w:tcPr>
                <w:p w14:paraId="14F0407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0.0014</w:t>
                  </w:r>
                </w:p>
              </w:tc>
              <w:tc>
                <w:tcPr>
                  <w:tcW w:w="567" w:type="pct"/>
                  <w:tcBorders>
                    <w:tl2br w:val="nil"/>
                    <w:tr2bl w:val="nil"/>
                  </w:tcBorders>
                  <w:vAlign w:val="center"/>
                </w:tcPr>
                <w:p w14:paraId="5FE5E74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0.0003L</w:t>
                  </w:r>
                </w:p>
              </w:tc>
              <w:tc>
                <w:tcPr>
                  <w:tcW w:w="568" w:type="pct"/>
                  <w:tcBorders>
                    <w:tl2br w:val="nil"/>
                    <w:tr2bl w:val="nil"/>
                  </w:tcBorders>
                  <w:vAlign w:val="center"/>
                </w:tcPr>
                <w:p w14:paraId="11E664A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0.0003L</w:t>
                  </w:r>
                </w:p>
              </w:tc>
              <w:tc>
                <w:tcPr>
                  <w:tcW w:w="450" w:type="pct"/>
                  <w:tcBorders>
                    <w:tl2br w:val="nil"/>
                    <w:tr2bl w:val="nil"/>
                  </w:tcBorders>
                  <w:vAlign w:val="center"/>
                </w:tcPr>
                <w:p w14:paraId="4EB0876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0.002</w:t>
                  </w:r>
                </w:p>
              </w:tc>
              <w:tc>
                <w:tcPr>
                  <w:tcW w:w="547" w:type="pct"/>
                  <w:tcBorders>
                    <w:tl2br w:val="nil"/>
                    <w:tr2bl w:val="nil"/>
                  </w:tcBorders>
                  <w:vAlign w:val="center"/>
                </w:tcPr>
                <w:p w14:paraId="654661D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0.7</w:t>
                  </w:r>
                </w:p>
              </w:tc>
              <w:tc>
                <w:tcPr>
                  <w:tcW w:w="547" w:type="pct"/>
                  <w:tcBorders>
                    <w:tl2br w:val="nil"/>
                    <w:tr2bl w:val="nil"/>
                  </w:tcBorders>
                  <w:vAlign w:val="center"/>
                </w:tcPr>
                <w:p w14:paraId="58253C0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0.075</w:t>
                  </w:r>
                </w:p>
              </w:tc>
              <w:tc>
                <w:tcPr>
                  <w:tcW w:w="548" w:type="pct"/>
                  <w:tcBorders>
                    <w:tl2br w:val="nil"/>
                    <w:tr2bl w:val="nil"/>
                  </w:tcBorders>
                  <w:vAlign w:val="center"/>
                </w:tcPr>
                <w:p w14:paraId="277C526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0.075</w:t>
                  </w:r>
                </w:p>
              </w:tc>
              <w:tc>
                <w:tcPr>
                  <w:tcW w:w="508" w:type="pct"/>
                  <w:tcBorders>
                    <w:tl2br w:val="nil"/>
                    <w:tr2bl w:val="nil"/>
                  </w:tcBorders>
                  <w:vAlign w:val="center"/>
                </w:tcPr>
                <w:p w14:paraId="6771F0F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42F5D0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tcBorders>
                    <w:tl2br w:val="nil"/>
                    <w:tr2bl w:val="nil"/>
                  </w:tcBorders>
                  <w:vAlign w:val="center"/>
                </w:tcPr>
                <w:p w14:paraId="24E1F3C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氰化物</w:t>
                  </w:r>
                </w:p>
              </w:tc>
              <w:tc>
                <w:tcPr>
                  <w:tcW w:w="567" w:type="pct"/>
                  <w:tcBorders>
                    <w:tl2br w:val="nil"/>
                    <w:tr2bl w:val="nil"/>
                  </w:tcBorders>
                  <w:vAlign w:val="center"/>
                </w:tcPr>
                <w:p w14:paraId="0B51AF0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0.004L</w:t>
                  </w:r>
                </w:p>
              </w:tc>
              <w:tc>
                <w:tcPr>
                  <w:tcW w:w="567" w:type="pct"/>
                  <w:tcBorders>
                    <w:tl2br w:val="nil"/>
                    <w:tr2bl w:val="nil"/>
                  </w:tcBorders>
                  <w:vAlign w:val="center"/>
                </w:tcPr>
                <w:p w14:paraId="57B4469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0.004L</w:t>
                  </w:r>
                </w:p>
              </w:tc>
              <w:tc>
                <w:tcPr>
                  <w:tcW w:w="568" w:type="pct"/>
                  <w:tcBorders>
                    <w:tl2br w:val="nil"/>
                    <w:tr2bl w:val="nil"/>
                  </w:tcBorders>
                  <w:vAlign w:val="center"/>
                </w:tcPr>
                <w:p w14:paraId="3A048DF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0.004L</w:t>
                  </w:r>
                </w:p>
              </w:tc>
              <w:tc>
                <w:tcPr>
                  <w:tcW w:w="450" w:type="pct"/>
                  <w:tcBorders>
                    <w:tl2br w:val="nil"/>
                    <w:tr2bl w:val="nil"/>
                  </w:tcBorders>
                  <w:vAlign w:val="center"/>
                </w:tcPr>
                <w:p w14:paraId="5BC6C2F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w:t>
                  </w:r>
                </w:p>
              </w:tc>
              <w:tc>
                <w:tcPr>
                  <w:tcW w:w="547" w:type="pct"/>
                  <w:tcBorders>
                    <w:tl2br w:val="nil"/>
                    <w:tr2bl w:val="nil"/>
                  </w:tcBorders>
                  <w:vAlign w:val="center"/>
                </w:tcPr>
                <w:p w14:paraId="7331C10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0.04</w:t>
                  </w:r>
                </w:p>
              </w:tc>
              <w:tc>
                <w:tcPr>
                  <w:tcW w:w="547" w:type="pct"/>
                  <w:tcBorders>
                    <w:tl2br w:val="nil"/>
                    <w:tr2bl w:val="nil"/>
                  </w:tcBorders>
                  <w:vAlign w:val="center"/>
                </w:tcPr>
                <w:p w14:paraId="56C7718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0.04</w:t>
                  </w:r>
                </w:p>
              </w:tc>
              <w:tc>
                <w:tcPr>
                  <w:tcW w:w="548" w:type="pct"/>
                  <w:tcBorders>
                    <w:tl2br w:val="nil"/>
                    <w:tr2bl w:val="nil"/>
                  </w:tcBorders>
                  <w:vAlign w:val="center"/>
                </w:tcPr>
                <w:p w14:paraId="3C5B1A3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0.04</w:t>
                  </w:r>
                </w:p>
              </w:tc>
              <w:tc>
                <w:tcPr>
                  <w:tcW w:w="508" w:type="pct"/>
                  <w:tcBorders>
                    <w:tl2br w:val="nil"/>
                    <w:tr2bl w:val="nil"/>
                  </w:tcBorders>
                  <w:vAlign w:val="center"/>
                </w:tcPr>
                <w:p w14:paraId="0E0A79F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10792F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tcBorders>
                    <w:tl2br w:val="nil"/>
                    <w:tr2bl w:val="nil"/>
                  </w:tcBorders>
                  <w:vAlign w:val="center"/>
                </w:tcPr>
                <w:p w14:paraId="6B4B805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氯化物</w:t>
                  </w:r>
                </w:p>
              </w:tc>
              <w:tc>
                <w:tcPr>
                  <w:tcW w:w="567" w:type="pct"/>
                  <w:tcBorders>
                    <w:tl2br w:val="nil"/>
                    <w:tr2bl w:val="nil"/>
                  </w:tcBorders>
                  <w:vAlign w:val="center"/>
                </w:tcPr>
                <w:p w14:paraId="4A87169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567" w:type="pct"/>
                  <w:tcBorders>
                    <w:tl2br w:val="nil"/>
                    <w:tr2bl w:val="nil"/>
                  </w:tcBorders>
                  <w:vAlign w:val="center"/>
                </w:tcPr>
                <w:p w14:paraId="3B79A2D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122</w:t>
                  </w:r>
                </w:p>
              </w:tc>
              <w:tc>
                <w:tcPr>
                  <w:tcW w:w="568" w:type="pct"/>
                  <w:tcBorders>
                    <w:tl2br w:val="nil"/>
                    <w:tr2bl w:val="nil"/>
                  </w:tcBorders>
                  <w:vAlign w:val="center"/>
                </w:tcPr>
                <w:p w14:paraId="4469476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106</w:t>
                  </w:r>
                </w:p>
              </w:tc>
              <w:tc>
                <w:tcPr>
                  <w:tcW w:w="450" w:type="pct"/>
                  <w:tcBorders>
                    <w:tl2br w:val="nil"/>
                    <w:tr2bl w:val="nil"/>
                  </w:tcBorders>
                  <w:vAlign w:val="center"/>
                </w:tcPr>
                <w:p w14:paraId="15E636A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250</w:t>
                  </w:r>
                </w:p>
              </w:tc>
              <w:tc>
                <w:tcPr>
                  <w:tcW w:w="547" w:type="pct"/>
                  <w:tcBorders>
                    <w:tl2br w:val="nil"/>
                    <w:tr2bl w:val="nil"/>
                  </w:tcBorders>
                  <w:vAlign w:val="center"/>
                </w:tcPr>
                <w:p w14:paraId="3BCC846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0.64</w:t>
                  </w:r>
                </w:p>
              </w:tc>
              <w:tc>
                <w:tcPr>
                  <w:tcW w:w="547" w:type="pct"/>
                  <w:tcBorders>
                    <w:tl2br w:val="nil"/>
                    <w:tr2bl w:val="nil"/>
                  </w:tcBorders>
                  <w:vAlign w:val="center"/>
                </w:tcPr>
                <w:p w14:paraId="2FFF6EE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0.488</w:t>
                  </w:r>
                </w:p>
              </w:tc>
              <w:tc>
                <w:tcPr>
                  <w:tcW w:w="548" w:type="pct"/>
                  <w:tcBorders>
                    <w:tl2br w:val="nil"/>
                    <w:tr2bl w:val="nil"/>
                  </w:tcBorders>
                  <w:vAlign w:val="center"/>
                </w:tcPr>
                <w:p w14:paraId="754E82C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0.424</w:t>
                  </w:r>
                </w:p>
              </w:tc>
              <w:tc>
                <w:tcPr>
                  <w:tcW w:w="508" w:type="pct"/>
                  <w:tcBorders>
                    <w:tl2br w:val="nil"/>
                    <w:tr2bl w:val="nil"/>
                  </w:tcBorders>
                  <w:vAlign w:val="center"/>
                </w:tcPr>
                <w:p w14:paraId="5FFD38C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317A97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pct"/>
                  <w:tcBorders>
                    <w:tl2br w:val="nil"/>
                    <w:tr2bl w:val="nil"/>
                  </w:tcBorders>
                  <w:vAlign w:val="center"/>
                </w:tcPr>
                <w:p w14:paraId="1421D93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铊</w:t>
                  </w:r>
                </w:p>
              </w:tc>
              <w:tc>
                <w:tcPr>
                  <w:tcW w:w="567" w:type="pct"/>
                  <w:tcBorders>
                    <w:tl2br w:val="nil"/>
                    <w:tr2bl w:val="nil"/>
                  </w:tcBorders>
                  <w:vAlign w:val="center"/>
                </w:tcPr>
                <w:p w14:paraId="7197C8A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0.00001L</w:t>
                  </w:r>
                </w:p>
              </w:tc>
              <w:tc>
                <w:tcPr>
                  <w:tcW w:w="567" w:type="pct"/>
                  <w:tcBorders>
                    <w:tl2br w:val="nil"/>
                    <w:tr2bl w:val="nil"/>
                  </w:tcBorders>
                  <w:vAlign w:val="center"/>
                </w:tcPr>
                <w:p w14:paraId="66F9CA8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0.00001L</w:t>
                  </w:r>
                </w:p>
              </w:tc>
              <w:tc>
                <w:tcPr>
                  <w:tcW w:w="568" w:type="pct"/>
                  <w:tcBorders>
                    <w:tl2br w:val="nil"/>
                    <w:tr2bl w:val="nil"/>
                  </w:tcBorders>
                  <w:vAlign w:val="center"/>
                </w:tcPr>
                <w:p w14:paraId="17DB22F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0.00001L</w:t>
                  </w:r>
                </w:p>
              </w:tc>
              <w:tc>
                <w:tcPr>
                  <w:tcW w:w="450" w:type="pct"/>
                  <w:tcBorders>
                    <w:tl2br w:val="nil"/>
                    <w:tr2bl w:val="nil"/>
                  </w:tcBorders>
                  <w:vAlign w:val="center"/>
                </w:tcPr>
                <w:p w14:paraId="4CD91E9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0.0001</w:t>
                  </w:r>
                </w:p>
              </w:tc>
              <w:tc>
                <w:tcPr>
                  <w:tcW w:w="547" w:type="pct"/>
                  <w:tcBorders>
                    <w:tl2br w:val="nil"/>
                    <w:tr2bl w:val="nil"/>
                  </w:tcBorders>
                  <w:vAlign w:val="center"/>
                </w:tcPr>
                <w:p w14:paraId="407878C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w:t>
                  </w:r>
                </w:p>
              </w:tc>
              <w:tc>
                <w:tcPr>
                  <w:tcW w:w="547" w:type="pct"/>
                  <w:tcBorders>
                    <w:tl2br w:val="nil"/>
                    <w:tr2bl w:val="nil"/>
                  </w:tcBorders>
                  <w:vAlign w:val="center"/>
                </w:tcPr>
                <w:p w14:paraId="68BE3AE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w:t>
                  </w:r>
                </w:p>
              </w:tc>
              <w:tc>
                <w:tcPr>
                  <w:tcW w:w="548" w:type="pct"/>
                  <w:tcBorders>
                    <w:tl2br w:val="nil"/>
                    <w:tr2bl w:val="nil"/>
                  </w:tcBorders>
                  <w:vAlign w:val="center"/>
                </w:tcPr>
                <w:p w14:paraId="64E70DE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w:t>
                  </w:r>
                </w:p>
              </w:tc>
              <w:tc>
                <w:tcPr>
                  <w:tcW w:w="508" w:type="pct"/>
                  <w:tcBorders>
                    <w:tl2br w:val="nil"/>
                    <w:tr2bl w:val="nil"/>
                  </w:tcBorders>
                  <w:vAlign w:val="center"/>
                </w:tcPr>
                <w:p w14:paraId="0F0E450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bl>
          <w:p w14:paraId="470C2212">
            <w:pPr>
              <w:pStyle w:val="13"/>
              <w:widowControl w:val="0"/>
              <w:snapToGrid/>
              <w:spacing w:after="0" w:line="360" w:lineRule="auto"/>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根据上表可知，</w:t>
            </w:r>
            <w:bookmarkStart w:id="110" w:name="_Hlk220331576"/>
            <w:r>
              <w:rPr>
                <w:rFonts w:hint="default" w:ascii="Times New Roman" w:hAnsi="Times New Roman" w:cs="Times New Roman"/>
                <w:color w:val="auto"/>
                <w:sz w:val="24"/>
                <w:szCs w:val="24"/>
                <w:lang w:bidi="ar"/>
              </w:rPr>
              <w:t>监测期间各地下水监测点的各监测因子均满足《地下水质量标准》（GB/T14848-2017）Ⅲ类标准要求。</w:t>
            </w:r>
            <w:bookmarkEnd w:id="110"/>
          </w:p>
          <w:p w14:paraId="3783DAFD">
            <w:pPr>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5、土壤环境现状</w:t>
            </w:r>
          </w:p>
          <w:p w14:paraId="15823D8E">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根据《建设项目环境影响报告表编制技术指南》（污染影响类）（试行）“地下水、土壤环境原则上不开展环境质量现状调查。建设项目存在土壤、地下水环境污染途径的，应结合污染源、保护目标分布情况开展现状调查以留作背景值。”</w:t>
            </w:r>
          </w:p>
          <w:p w14:paraId="5A337702">
            <w:pPr>
              <w:spacing w:line="360" w:lineRule="auto"/>
              <w:ind w:firstLine="720" w:firstLineChars="300"/>
              <w:rPr>
                <w:rFonts w:hint="default" w:ascii="Times New Roman" w:hAnsi="Times New Roman" w:cs="Times New Roman"/>
                <w:color w:val="auto"/>
                <w:sz w:val="24"/>
              </w:rPr>
            </w:pPr>
            <w:r>
              <w:rPr>
                <w:rFonts w:hint="default" w:ascii="Times New Roman" w:hAnsi="Times New Roman" w:cs="Times New Roman"/>
                <w:color w:val="auto"/>
                <w:sz w:val="24"/>
              </w:rPr>
              <w:t>本项目为无缝钢管生产项目，项目生产车间为公司现有标准车间。根据现场踏勘，公司现有标准车间地面及周边运输道路均已进行了水泥硬化处理，地面较为平整。项目项目产生的生产废水循环回用，不外排，生活污水经化粪池预处理后进入里山片区污水处理厂；运营期产生的危险废物收集后分区暂存于危险废物贮存库内，定期委托有资质的单位清运处置。在严格落实分区防渗措施后，项目的建设对周边土壤环境的影响在可控范围内，故不开展土壤环境质量现状调查。</w:t>
            </w:r>
          </w:p>
          <w:p w14:paraId="705FE4AC">
            <w:pPr>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6、生态环境现状</w:t>
            </w:r>
          </w:p>
          <w:p w14:paraId="29D48ACE">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项目厂址位于通海五金产业园区里山片区，项目利用</w:t>
            </w:r>
            <w:r>
              <w:rPr>
                <w:rFonts w:hint="default" w:ascii="Times New Roman" w:hAnsi="Times New Roman" w:cs="Times New Roman"/>
                <w:color w:val="auto"/>
                <w:sz w:val="24"/>
                <w:lang w:val="en-US" w:eastAsia="zh-CN"/>
              </w:rPr>
              <w:t>公司</w:t>
            </w:r>
            <w:r>
              <w:rPr>
                <w:rFonts w:hint="default" w:ascii="Times New Roman" w:hAnsi="Times New Roman" w:cs="Times New Roman"/>
                <w:color w:val="auto"/>
                <w:sz w:val="24"/>
              </w:rPr>
              <w:t>已建工业场地，无新增用地</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根据现场踏勘，该产业园区已成为开发程度较高的地区，区域内已不存在原生植被，项目区内均为人工农业植被及荒地。项目所在区域长期受人类活动影响，现场踏勘未发现野生动物活动。项目所在区域</w:t>
            </w:r>
            <w:bookmarkStart w:id="111" w:name="_Hlk220331856"/>
            <w:r>
              <w:rPr>
                <w:rFonts w:hint="default" w:ascii="Times New Roman" w:hAnsi="Times New Roman" w:cs="Times New Roman"/>
                <w:color w:val="auto"/>
                <w:sz w:val="24"/>
              </w:rPr>
              <w:t>无原生植被、未发现国家、云南省规定需要保护的植物、动物分布，由于长期受人类活动影响，生态环境状况一般。</w:t>
            </w:r>
            <w:bookmarkEnd w:id="111"/>
          </w:p>
        </w:tc>
      </w:tr>
      <w:tr w14:paraId="7A689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20" w:type="dxa"/>
            <w:vAlign w:val="center"/>
          </w:tcPr>
          <w:p w14:paraId="2AF9201D">
            <w:pPr>
              <w:adjustRightInd w:val="0"/>
              <w:snapToGrid w:val="0"/>
              <w:spacing w:line="360" w:lineRule="auto"/>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环境</w:t>
            </w:r>
          </w:p>
          <w:p w14:paraId="3251BFF1">
            <w:pPr>
              <w:adjustRightInd w:val="0"/>
              <w:snapToGrid w:val="0"/>
              <w:spacing w:line="360" w:lineRule="auto"/>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保护</w:t>
            </w:r>
          </w:p>
          <w:p w14:paraId="053D5E5D">
            <w:pPr>
              <w:adjustRightInd w:val="0"/>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 w:val="24"/>
              </w:rPr>
              <w:t>目标</w:t>
            </w:r>
          </w:p>
        </w:tc>
        <w:tc>
          <w:tcPr>
            <w:tcW w:w="8270" w:type="dxa"/>
            <w:vAlign w:val="center"/>
          </w:tcPr>
          <w:p w14:paraId="1E59D926">
            <w:pPr>
              <w:spacing w:before="120" w:beforeLines="50"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根据《建设项目环境影响报告表编制技术指南》（污染影响类），项目保护目标主要设置如下：</w:t>
            </w:r>
          </w:p>
          <w:p w14:paraId="6E424520">
            <w:pPr>
              <w:numPr>
                <w:ilvl w:val="0"/>
                <w:numId w:val="6"/>
              </w:numPr>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大气环境</w:t>
            </w:r>
          </w:p>
          <w:p w14:paraId="77EC4597">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经调查，项目厂界外500m范围内无自然保护区、风景名胜区、居住区、文化区和农村地区人群较为集中的区域，因此项目无大气环境保护目标。</w:t>
            </w:r>
          </w:p>
          <w:p w14:paraId="262DE06B">
            <w:pPr>
              <w:numPr>
                <w:ilvl w:val="0"/>
                <w:numId w:val="6"/>
              </w:numPr>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地表水环境</w:t>
            </w:r>
          </w:p>
          <w:p w14:paraId="3E36BA4D">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经调查，周边较近水体为西南面410m里山大沟，执行《地表水环境质量标准》（GB3838-2002）III类标准。</w:t>
            </w:r>
          </w:p>
          <w:p w14:paraId="5A7B3DED">
            <w:pPr>
              <w:spacing w:line="360" w:lineRule="auto"/>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表3-10  地表水环境保护目标一览表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1201"/>
              <w:gridCol w:w="2381"/>
              <w:gridCol w:w="1517"/>
              <w:gridCol w:w="1641"/>
            </w:tblGrid>
            <w:tr w14:paraId="6F58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pct"/>
                  <w:tcBorders>
                    <w:top w:val="single" w:color="000000" w:sz="4" w:space="0"/>
                    <w:bottom w:val="single" w:color="000000" w:sz="4" w:space="0"/>
                    <w:right w:val="single" w:color="000000" w:sz="4" w:space="0"/>
                  </w:tcBorders>
                  <w:vAlign w:val="center"/>
                </w:tcPr>
                <w:p w14:paraId="6C9BF900">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类别</w:t>
                  </w:r>
                </w:p>
              </w:tc>
              <w:tc>
                <w:tcPr>
                  <w:tcW w:w="766" w:type="pct"/>
                  <w:tcBorders>
                    <w:top w:val="single" w:color="000000" w:sz="4" w:space="0"/>
                    <w:left w:val="single" w:color="000000" w:sz="4" w:space="0"/>
                    <w:bottom w:val="single" w:color="000000" w:sz="4" w:space="0"/>
                    <w:right w:val="single" w:color="000000" w:sz="4" w:space="0"/>
                  </w:tcBorders>
                  <w:vAlign w:val="center"/>
                </w:tcPr>
                <w:p w14:paraId="766ACFB3">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保护对象</w:t>
                  </w:r>
                </w:p>
              </w:tc>
              <w:tc>
                <w:tcPr>
                  <w:tcW w:w="1518" w:type="pct"/>
                  <w:tcBorders>
                    <w:top w:val="single" w:color="000000" w:sz="4" w:space="0"/>
                    <w:left w:val="single" w:color="000000" w:sz="4" w:space="0"/>
                    <w:bottom w:val="single" w:color="000000" w:sz="4" w:space="0"/>
                    <w:right w:val="single" w:color="000000" w:sz="4" w:space="0"/>
                  </w:tcBorders>
                  <w:vAlign w:val="center"/>
                </w:tcPr>
                <w:p w14:paraId="4847D622">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环境功能区</w:t>
                  </w:r>
                </w:p>
              </w:tc>
              <w:tc>
                <w:tcPr>
                  <w:tcW w:w="967" w:type="pct"/>
                  <w:tcBorders>
                    <w:top w:val="single" w:color="000000" w:sz="4" w:space="0"/>
                    <w:left w:val="single" w:color="000000" w:sz="4" w:space="0"/>
                    <w:bottom w:val="single" w:color="000000" w:sz="4" w:space="0"/>
                    <w:right w:val="single" w:color="000000" w:sz="4" w:space="0"/>
                  </w:tcBorders>
                  <w:vAlign w:val="center"/>
                </w:tcPr>
                <w:p w14:paraId="67003D54">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相对厂址方位</w:t>
                  </w:r>
                </w:p>
              </w:tc>
              <w:tc>
                <w:tcPr>
                  <w:tcW w:w="1046" w:type="pct"/>
                  <w:tcBorders>
                    <w:top w:val="single" w:color="000000" w:sz="4" w:space="0"/>
                    <w:left w:val="single" w:color="000000" w:sz="4" w:space="0"/>
                    <w:bottom w:val="single" w:color="000000" w:sz="4" w:space="0"/>
                    <w:right w:val="nil"/>
                  </w:tcBorders>
                  <w:vAlign w:val="center"/>
                </w:tcPr>
                <w:p w14:paraId="4C184D43">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相对厂界距离</w:t>
                  </w:r>
                </w:p>
              </w:tc>
            </w:tr>
            <w:tr w14:paraId="28EB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0" w:type="pct"/>
                  <w:tcBorders>
                    <w:top w:val="single" w:color="000000" w:sz="4" w:space="0"/>
                    <w:left w:val="nil"/>
                    <w:bottom w:val="single" w:color="000000" w:sz="4" w:space="0"/>
                    <w:right w:val="single" w:color="000000" w:sz="4" w:space="0"/>
                  </w:tcBorders>
                  <w:vAlign w:val="center"/>
                </w:tcPr>
                <w:p w14:paraId="12FEE880">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地表水</w:t>
                  </w:r>
                </w:p>
              </w:tc>
              <w:tc>
                <w:tcPr>
                  <w:tcW w:w="766" w:type="pct"/>
                  <w:tcBorders>
                    <w:top w:val="single" w:color="000000" w:sz="4" w:space="0"/>
                    <w:left w:val="single" w:color="000000" w:sz="4" w:space="0"/>
                    <w:bottom w:val="single" w:color="000000" w:sz="4" w:space="0"/>
                    <w:right w:val="single" w:color="000000" w:sz="4" w:space="0"/>
                  </w:tcBorders>
                  <w:vAlign w:val="center"/>
                </w:tcPr>
                <w:p w14:paraId="04721DE8">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里山大沟</w:t>
                  </w:r>
                </w:p>
              </w:tc>
              <w:tc>
                <w:tcPr>
                  <w:tcW w:w="1518" w:type="pct"/>
                  <w:tcBorders>
                    <w:top w:val="single" w:color="000000" w:sz="4" w:space="0"/>
                    <w:left w:val="single" w:color="000000" w:sz="4" w:space="0"/>
                    <w:bottom w:val="single" w:color="000000" w:sz="4" w:space="0"/>
                    <w:right w:val="single" w:color="000000" w:sz="4" w:space="0"/>
                  </w:tcBorders>
                  <w:vAlign w:val="center"/>
                </w:tcPr>
                <w:p w14:paraId="7719AFD3">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《地表水环境质量标准》（GB3838-2002）III类标准</w:t>
                  </w:r>
                </w:p>
              </w:tc>
              <w:tc>
                <w:tcPr>
                  <w:tcW w:w="967" w:type="pct"/>
                  <w:tcBorders>
                    <w:top w:val="single" w:color="000000" w:sz="4" w:space="0"/>
                    <w:left w:val="single" w:color="000000" w:sz="4" w:space="0"/>
                    <w:bottom w:val="single" w:color="000000" w:sz="4" w:space="0"/>
                    <w:right w:val="single" w:color="000000" w:sz="4" w:space="0"/>
                  </w:tcBorders>
                  <w:vAlign w:val="center"/>
                </w:tcPr>
                <w:p w14:paraId="4E551EDD">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西南</w:t>
                  </w:r>
                </w:p>
              </w:tc>
              <w:tc>
                <w:tcPr>
                  <w:tcW w:w="1046" w:type="pct"/>
                  <w:tcBorders>
                    <w:top w:val="single" w:color="000000" w:sz="4" w:space="0"/>
                    <w:left w:val="single" w:color="000000" w:sz="4" w:space="0"/>
                    <w:bottom w:val="single" w:color="000000" w:sz="4" w:space="0"/>
                    <w:right w:val="nil"/>
                  </w:tcBorders>
                  <w:vAlign w:val="center"/>
                </w:tcPr>
                <w:p w14:paraId="12E16CC0">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410m</w:t>
                  </w:r>
                </w:p>
              </w:tc>
            </w:tr>
          </w:tbl>
          <w:p w14:paraId="70439AB7">
            <w:pPr>
              <w:numPr>
                <w:ilvl w:val="0"/>
                <w:numId w:val="6"/>
              </w:numPr>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声环境</w:t>
            </w:r>
          </w:p>
          <w:p w14:paraId="5495ECF8">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经调查，项目厂界50m范围没有居民点，因此无声环境保护目标。</w:t>
            </w:r>
          </w:p>
          <w:p w14:paraId="02446AEF">
            <w:pPr>
              <w:numPr>
                <w:ilvl w:val="0"/>
                <w:numId w:val="6"/>
              </w:numPr>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地下水环境</w:t>
            </w:r>
          </w:p>
          <w:p w14:paraId="16B0CD7F">
            <w:pPr>
              <w:spacing w:line="360" w:lineRule="auto"/>
              <w:ind w:left="420" w:leftChars="200"/>
              <w:jc w:val="left"/>
              <w:rPr>
                <w:rFonts w:hint="default" w:ascii="Times New Roman" w:hAnsi="Times New Roman" w:cs="Times New Roman"/>
                <w:color w:val="auto"/>
                <w:sz w:val="24"/>
              </w:rPr>
            </w:pPr>
            <w:r>
              <w:rPr>
                <w:rFonts w:hint="default" w:ascii="Times New Roman" w:hAnsi="Times New Roman" w:cs="Times New Roman"/>
                <w:color w:val="auto"/>
                <w:sz w:val="24"/>
              </w:rPr>
              <w:t>经调查，厂界外500m范围内无集中式饮用水水源和热水、矿泉水、温泉等特殊的地下水资源。</w:t>
            </w:r>
          </w:p>
          <w:p w14:paraId="17C84E17">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项目区周边关系图详见附图4。</w:t>
            </w:r>
          </w:p>
        </w:tc>
      </w:tr>
      <w:tr w14:paraId="427E73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20" w:type="dxa"/>
            <w:tcMar>
              <w:left w:w="28" w:type="dxa"/>
              <w:right w:w="28" w:type="dxa"/>
            </w:tcMar>
            <w:vAlign w:val="center"/>
          </w:tcPr>
          <w:p w14:paraId="188567F9">
            <w:pPr>
              <w:adjustRightInd w:val="0"/>
              <w:snapToGrid w:val="0"/>
              <w:spacing w:line="360" w:lineRule="auto"/>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污染</w:t>
            </w:r>
          </w:p>
          <w:p w14:paraId="50F26FAE">
            <w:pPr>
              <w:adjustRightInd w:val="0"/>
              <w:snapToGrid w:val="0"/>
              <w:spacing w:line="360" w:lineRule="auto"/>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物排</w:t>
            </w:r>
          </w:p>
          <w:p w14:paraId="7FB35733">
            <w:pPr>
              <w:adjustRightInd w:val="0"/>
              <w:snapToGrid w:val="0"/>
              <w:spacing w:line="360" w:lineRule="auto"/>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放控</w:t>
            </w:r>
          </w:p>
          <w:p w14:paraId="1E253C6F">
            <w:pPr>
              <w:adjustRightInd w:val="0"/>
              <w:snapToGrid w:val="0"/>
              <w:spacing w:line="360" w:lineRule="auto"/>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制标</w:t>
            </w:r>
          </w:p>
          <w:p w14:paraId="158C4060">
            <w:pPr>
              <w:adjustRightInd w:val="0"/>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 w:val="24"/>
              </w:rPr>
              <w:t>准</w:t>
            </w:r>
          </w:p>
        </w:tc>
        <w:tc>
          <w:tcPr>
            <w:tcW w:w="8270" w:type="dxa"/>
            <w:vAlign w:val="center"/>
          </w:tcPr>
          <w:p w14:paraId="408E5261">
            <w:pPr>
              <w:spacing w:before="120" w:beforeLines="50" w:line="360" w:lineRule="auto"/>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1、废气排放标准</w:t>
            </w:r>
          </w:p>
          <w:p w14:paraId="2EFB3339">
            <w:pPr>
              <w:pStyle w:val="4"/>
              <w:snapToGrid w:val="0"/>
              <w:spacing w:line="360" w:lineRule="auto"/>
              <w:ind w:left="34" w:leftChars="16" w:firstLine="448" w:firstLineChars="187"/>
              <w:rPr>
                <w:rFonts w:hint="default" w:ascii="Times New Roman" w:hAnsi="Times New Roman" w:cs="Times New Roman"/>
                <w:color w:val="auto"/>
                <w:sz w:val="24"/>
              </w:rPr>
            </w:pPr>
            <w:r>
              <w:rPr>
                <w:rFonts w:hint="default" w:ascii="Times New Roman" w:hAnsi="Times New Roman" w:cs="Times New Roman"/>
                <w:color w:val="auto"/>
                <w:sz w:val="24"/>
              </w:rPr>
              <w:t>施工期间产生的施工粉尘执行《大气污染物综合排放标准》（GB16297-1996）中表2中的1.0mg/m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浓度限值。</w:t>
            </w:r>
          </w:p>
          <w:p w14:paraId="75E8DF54">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运营期项目加热炉采用电进行加热，项目厂房依托现有，其厂界无组织粉尘执行《大气污染物综合排放标准》（GB16297-1996）表2限值。</w:t>
            </w:r>
          </w:p>
          <w:p w14:paraId="01CCA09E">
            <w:pPr>
              <w:spacing w:line="360" w:lineRule="auto"/>
              <w:jc w:val="center"/>
              <w:rPr>
                <w:rFonts w:hint="default" w:ascii="Times New Roman" w:hAnsi="Times New Roman" w:eastAsia="黑体" w:cs="Times New Roman"/>
                <w:bCs/>
                <w:color w:val="auto"/>
                <w:szCs w:val="21"/>
              </w:rPr>
            </w:pPr>
            <w:r>
              <w:rPr>
                <w:rFonts w:hint="default" w:ascii="Times New Roman" w:hAnsi="Times New Roman" w:eastAsia="黑体" w:cs="Times New Roman"/>
                <w:bCs/>
                <w:color w:val="auto"/>
                <w:szCs w:val="21"/>
              </w:rPr>
              <w:t>表3-11   大气污染物综合排放标准    单位：mg/m</w:t>
            </w:r>
            <w:r>
              <w:rPr>
                <w:rFonts w:hint="default" w:ascii="Times New Roman" w:hAnsi="Times New Roman" w:eastAsia="黑体" w:cs="Times New Roman"/>
                <w:bCs/>
                <w:color w:val="auto"/>
                <w:szCs w:val="21"/>
                <w:vertAlign w:val="superscript"/>
              </w:rPr>
              <w:t>3</w:t>
            </w:r>
          </w:p>
          <w:tbl>
            <w:tblPr>
              <w:tblStyle w:val="35"/>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63"/>
              <w:gridCol w:w="4035"/>
              <w:gridCol w:w="1350"/>
            </w:tblGrid>
            <w:tr w14:paraId="279F4F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pct"/>
                  <w:vMerge w:val="restart"/>
                  <w:tcBorders>
                    <w:tl2br w:val="nil"/>
                    <w:tr2bl w:val="nil"/>
                  </w:tcBorders>
                  <w:vAlign w:val="center"/>
                </w:tcPr>
                <w:p w14:paraId="223A6DB2">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污染物项目</w:t>
                  </w:r>
                </w:p>
              </w:tc>
              <w:tc>
                <w:tcPr>
                  <w:tcW w:w="3430" w:type="pct"/>
                  <w:gridSpan w:val="2"/>
                  <w:tcBorders>
                    <w:tl2br w:val="nil"/>
                    <w:tr2bl w:val="nil"/>
                  </w:tcBorders>
                  <w:vAlign w:val="center"/>
                </w:tcPr>
                <w:p w14:paraId="368F0428">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无组织排放浓度监控限值</w:t>
                  </w:r>
                </w:p>
              </w:tc>
            </w:tr>
            <w:tr w14:paraId="5EC1BC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pct"/>
                  <w:vMerge w:val="continue"/>
                  <w:tcBorders>
                    <w:tl2br w:val="nil"/>
                    <w:tr2bl w:val="nil"/>
                  </w:tcBorders>
                  <w:vAlign w:val="center"/>
                </w:tcPr>
                <w:p w14:paraId="25C3045E">
                  <w:pPr>
                    <w:widowControl/>
                    <w:jc w:val="left"/>
                    <w:rPr>
                      <w:rFonts w:hint="default" w:ascii="Times New Roman" w:hAnsi="Times New Roman" w:cs="Times New Roman"/>
                      <w:color w:val="auto"/>
                      <w:kern w:val="0"/>
                      <w:sz w:val="18"/>
                      <w:szCs w:val="18"/>
                    </w:rPr>
                  </w:pPr>
                </w:p>
              </w:tc>
              <w:tc>
                <w:tcPr>
                  <w:tcW w:w="2570" w:type="pct"/>
                  <w:tcBorders>
                    <w:tl2br w:val="nil"/>
                    <w:tr2bl w:val="nil"/>
                  </w:tcBorders>
                  <w:vAlign w:val="center"/>
                </w:tcPr>
                <w:p w14:paraId="458B438B">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监控点</w:t>
                  </w:r>
                </w:p>
              </w:tc>
              <w:tc>
                <w:tcPr>
                  <w:tcW w:w="860" w:type="pct"/>
                  <w:tcBorders>
                    <w:tl2br w:val="nil"/>
                    <w:tr2bl w:val="nil"/>
                  </w:tcBorders>
                  <w:vAlign w:val="center"/>
                </w:tcPr>
                <w:p w14:paraId="0AAB0A95">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浓度</w:t>
                  </w:r>
                </w:p>
              </w:tc>
            </w:tr>
            <w:tr w14:paraId="180559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pct"/>
                  <w:tcBorders>
                    <w:tl2br w:val="nil"/>
                    <w:tr2bl w:val="nil"/>
                  </w:tcBorders>
                  <w:vAlign w:val="center"/>
                </w:tcPr>
                <w:p w14:paraId="49772FBE">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颗粒物</w:t>
                  </w:r>
                </w:p>
              </w:tc>
              <w:tc>
                <w:tcPr>
                  <w:tcW w:w="2570" w:type="pct"/>
                  <w:tcBorders>
                    <w:tl2br w:val="nil"/>
                    <w:tr2bl w:val="nil"/>
                  </w:tcBorders>
                  <w:vAlign w:val="center"/>
                </w:tcPr>
                <w:p w14:paraId="7C6F7478">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周界外浓度最高点</w:t>
                  </w:r>
                </w:p>
              </w:tc>
              <w:tc>
                <w:tcPr>
                  <w:tcW w:w="860" w:type="pct"/>
                  <w:tcBorders>
                    <w:tl2br w:val="nil"/>
                    <w:tr2bl w:val="nil"/>
                  </w:tcBorders>
                  <w:vAlign w:val="center"/>
                </w:tcPr>
                <w:p w14:paraId="5AD427BD">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1.0</w:t>
                  </w:r>
                </w:p>
              </w:tc>
            </w:tr>
          </w:tbl>
          <w:p w14:paraId="2039D854">
            <w:pPr>
              <w:spacing w:before="120" w:beforeLines="50" w:line="360" w:lineRule="auto"/>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2、水污染物排放标准</w:t>
            </w:r>
          </w:p>
          <w:p w14:paraId="662CD9F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施工废水、施工人员清洗废水引入临时沉淀池澄清后回用于施工现场洒水降尘或施工用水，不外排，因此不设废水排放标准。</w:t>
            </w:r>
          </w:p>
          <w:p w14:paraId="61B2D58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生产工艺要求，生产废水循环使用，不外排。本项目新增员工产生的生活污水，经过化粪池处理后，外排至工业园区污水管网，其水质执行《污水综合排放标准》（GB8978-1996）（表4）三级标准及《污水排入城镇下水道水质标准》（GB/T31962-2015）表1B等级标准；具体详见下表：</w:t>
            </w:r>
          </w:p>
          <w:p w14:paraId="24B7C051">
            <w:pPr>
              <w:spacing w:line="360" w:lineRule="auto"/>
              <w:jc w:val="center"/>
              <w:rPr>
                <w:rFonts w:hint="default" w:ascii="Times New Roman" w:hAnsi="Times New Roman" w:eastAsia="黑体" w:cs="Times New Roman"/>
                <w:snapToGrid w:val="0"/>
                <w:color w:val="auto"/>
                <w:kern w:val="0"/>
                <w:szCs w:val="21"/>
              </w:rPr>
            </w:pPr>
            <w:r>
              <w:rPr>
                <w:rFonts w:hint="default" w:ascii="Times New Roman" w:hAnsi="Times New Roman" w:eastAsia="黑体" w:cs="Times New Roman"/>
                <w:snapToGrid w:val="0"/>
                <w:color w:val="auto"/>
                <w:kern w:val="0"/>
                <w:szCs w:val="21"/>
              </w:rPr>
              <w:t>表3-12   《污水综合排放标准》（表4）三级标准和《污水排入城镇下水道水质标准》B等级</w:t>
            </w:r>
          </w:p>
          <w:tbl>
            <w:tblPr>
              <w:tblStyle w:val="35"/>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8"/>
              <w:gridCol w:w="888"/>
              <w:gridCol w:w="888"/>
              <w:gridCol w:w="883"/>
              <w:gridCol w:w="885"/>
              <w:gridCol w:w="885"/>
              <w:gridCol w:w="883"/>
              <w:gridCol w:w="1080"/>
            </w:tblGrid>
            <w:tr w14:paraId="75CA7C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488" w:type="dxa"/>
                  <w:tcBorders>
                    <w:tl2br w:val="nil"/>
                    <w:tr2bl w:val="nil"/>
                  </w:tcBorders>
                  <w:vAlign w:val="center"/>
                </w:tcPr>
                <w:p w14:paraId="3859B672">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标准类别</w:t>
                  </w:r>
                </w:p>
              </w:tc>
              <w:tc>
                <w:tcPr>
                  <w:tcW w:w="898" w:type="dxa"/>
                  <w:tcBorders>
                    <w:tl2br w:val="nil"/>
                    <w:tr2bl w:val="nil"/>
                  </w:tcBorders>
                  <w:vAlign w:val="center"/>
                </w:tcPr>
                <w:p w14:paraId="64B91724">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pH值</w:t>
                  </w:r>
                </w:p>
              </w:tc>
              <w:tc>
                <w:tcPr>
                  <w:tcW w:w="893" w:type="dxa"/>
                  <w:tcBorders>
                    <w:tl2br w:val="nil"/>
                    <w:tr2bl w:val="nil"/>
                  </w:tcBorders>
                  <w:vAlign w:val="center"/>
                </w:tcPr>
                <w:p w14:paraId="2BB9B737">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CODcr</w:t>
                  </w:r>
                </w:p>
              </w:tc>
              <w:tc>
                <w:tcPr>
                  <w:tcW w:w="893" w:type="dxa"/>
                  <w:tcBorders>
                    <w:tl2br w:val="nil"/>
                    <w:tr2bl w:val="nil"/>
                  </w:tcBorders>
                  <w:vAlign w:val="center"/>
                </w:tcPr>
                <w:p w14:paraId="0EB68B7B">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SS</w:t>
                  </w:r>
                </w:p>
              </w:tc>
              <w:tc>
                <w:tcPr>
                  <w:tcW w:w="893" w:type="dxa"/>
                  <w:tcBorders>
                    <w:tl2br w:val="nil"/>
                    <w:tr2bl w:val="nil"/>
                  </w:tcBorders>
                  <w:vAlign w:val="center"/>
                </w:tcPr>
                <w:p w14:paraId="0C11A0A3">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BOD</w:t>
                  </w:r>
                  <w:r>
                    <w:rPr>
                      <w:rFonts w:hint="default" w:ascii="Times New Roman" w:hAnsi="Times New Roman" w:cs="Times New Roman"/>
                      <w:color w:val="auto"/>
                      <w:kern w:val="0"/>
                      <w:sz w:val="18"/>
                      <w:szCs w:val="18"/>
                      <w:vertAlign w:val="subscript"/>
                    </w:rPr>
                    <w:t>5</w:t>
                  </w:r>
                </w:p>
              </w:tc>
              <w:tc>
                <w:tcPr>
                  <w:tcW w:w="895" w:type="dxa"/>
                  <w:tcBorders>
                    <w:tl2br w:val="nil"/>
                    <w:tr2bl w:val="nil"/>
                  </w:tcBorders>
                  <w:vAlign w:val="center"/>
                </w:tcPr>
                <w:p w14:paraId="1B4C5479">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动植物油</w:t>
                  </w:r>
                </w:p>
              </w:tc>
              <w:tc>
                <w:tcPr>
                  <w:tcW w:w="896" w:type="dxa"/>
                  <w:tcBorders>
                    <w:tl2br w:val="nil"/>
                    <w:tr2bl w:val="nil"/>
                  </w:tcBorders>
                  <w:vAlign w:val="center"/>
                </w:tcPr>
                <w:p w14:paraId="5A5175D4">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氨氮</w:t>
                  </w:r>
                </w:p>
              </w:tc>
              <w:tc>
                <w:tcPr>
                  <w:tcW w:w="1103" w:type="dxa"/>
                  <w:tcBorders>
                    <w:tl2br w:val="nil"/>
                    <w:tr2bl w:val="nil"/>
                  </w:tcBorders>
                  <w:vAlign w:val="center"/>
                </w:tcPr>
                <w:p w14:paraId="022237FC">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总磷</w:t>
                  </w:r>
                </w:p>
              </w:tc>
            </w:tr>
            <w:tr w14:paraId="68B060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1488" w:type="dxa"/>
                  <w:tcBorders>
                    <w:tl2br w:val="nil"/>
                    <w:tr2bl w:val="nil"/>
                  </w:tcBorders>
                  <w:vAlign w:val="center"/>
                </w:tcPr>
                <w:p w14:paraId="741A6F9E">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《污水综合排放标准》三级标准</w:t>
                  </w:r>
                </w:p>
              </w:tc>
              <w:tc>
                <w:tcPr>
                  <w:tcW w:w="898" w:type="dxa"/>
                  <w:tcBorders>
                    <w:tl2br w:val="nil"/>
                    <w:tr2bl w:val="nil"/>
                  </w:tcBorders>
                  <w:vAlign w:val="center"/>
                </w:tcPr>
                <w:p w14:paraId="3538EB2C">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6～9</w:t>
                  </w:r>
                </w:p>
              </w:tc>
              <w:tc>
                <w:tcPr>
                  <w:tcW w:w="893" w:type="dxa"/>
                  <w:tcBorders>
                    <w:tl2br w:val="nil"/>
                    <w:tr2bl w:val="nil"/>
                  </w:tcBorders>
                  <w:vAlign w:val="center"/>
                </w:tcPr>
                <w:p w14:paraId="63A2CAAD">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≤500</w:t>
                  </w:r>
                </w:p>
              </w:tc>
              <w:tc>
                <w:tcPr>
                  <w:tcW w:w="893" w:type="dxa"/>
                  <w:tcBorders>
                    <w:tl2br w:val="nil"/>
                    <w:tr2bl w:val="nil"/>
                  </w:tcBorders>
                  <w:vAlign w:val="center"/>
                </w:tcPr>
                <w:p w14:paraId="77464AED">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≤400</w:t>
                  </w:r>
                </w:p>
              </w:tc>
              <w:tc>
                <w:tcPr>
                  <w:tcW w:w="893" w:type="dxa"/>
                  <w:tcBorders>
                    <w:tl2br w:val="nil"/>
                    <w:tr2bl w:val="nil"/>
                  </w:tcBorders>
                  <w:vAlign w:val="center"/>
                </w:tcPr>
                <w:p w14:paraId="5EB55E82">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≤300</w:t>
                  </w:r>
                </w:p>
              </w:tc>
              <w:tc>
                <w:tcPr>
                  <w:tcW w:w="895" w:type="dxa"/>
                  <w:tcBorders>
                    <w:tl2br w:val="nil"/>
                    <w:tr2bl w:val="nil"/>
                  </w:tcBorders>
                  <w:vAlign w:val="center"/>
                </w:tcPr>
                <w:p w14:paraId="6EF7772B">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≤100</w:t>
                  </w:r>
                </w:p>
              </w:tc>
              <w:tc>
                <w:tcPr>
                  <w:tcW w:w="896" w:type="dxa"/>
                  <w:tcBorders>
                    <w:tl2br w:val="nil"/>
                    <w:tr2bl w:val="nil"/>
                  </w:tcBorders>
                  <w:vAlign w:val="center"/>
                </w:tcPr>
                <w:p w14:paraId="26A39393">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w:t>
                  </w:r>
                </w:p>
              </w:tc>
              <w:tc>
                <w:tcPr>
                  <w:tcW w:w="1103" w:type="dxa"/>
                  <w:tcBorders>
                    <w:tl2br w:val="nil"/>
                    <w:tr2bl w:val="nil"/>
                  </w:tcBorders>
                  <w:vAlign w:val="center"/>
                </w:tcPr>
                <w:p w14:paraId="6C61380E">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w:t>
                  </w:r>
                </w:p>
              </w:tc>
            </w:tr>
            <w:tr w14:paraId="0D877D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3" w:hRule="exact"/>
                <w:jc w:val="center"/>
              </w:trPr>
              <w:tc>
                <w:tcPr>
                  <w:tcW w:w="1488" w:type="dxa"/>
                  <w:tcBorders>
                    <w:tl2br w:val="nil"/>
                    <w:tr2bl w:val="nil"/>
                  </w:tcBorders>
                  <w:vAlign w:val="center"/>
                </w:tcPr>
                <w:p w14:paraId="527E08F7">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《污水排入城镇下水道水质标准》B等级标准</w:t>
                  </w:r>
                </w:p>
              </w:tc>
              <w:tc>
                <w:tcPr>
                  <w:tcW w:w="898" w:type="dxa"/>
                  <w:tcBorders>
                    <w:tl2br w:val="nil"/>
                    <w:tr2bl w:val="nil"/>
                  </w:tcBorders>
                  <w:vAlign w:val="center"/>
                </w:tcPr>
                <w:p w14:paraId="15BD72E0">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w:t>
                  </w:r>
                </w:p>
              </w:tc>
              <w:tc>
                <w:tcPr>
                  <w:tcW w:w="893" w:type="dxa"/>
                  <w:tcBorders>
                    <w:tl2br w:val="nil"/>
                    <w:tr2bl w:val="nil"/>
                  </w:tcBorders>
                  <w:vAlign w:val="center"/>
                </w:tcPr>
                <w:p w14:paraId="147988EB">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w:t>
                  </w:r>
                </w:p>
              </w:tc>
              <w:tc>
                <w:tcPr>
                  <w:tcW w:w="893" w:type="dxa"/>
                  <w:tcBorders>
                    <w:tl2br w:val="nil"/>
                    <w:tr2bl w:val="nil"/>
                  </w:tcBorders>
                  <w:vAlign w:val="center"/>
                </w:tcPr>
                <w:p w14:paraId="00B9C8B5">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w:t>
                  </w:r>
                </w:p>
              </w:tc>
              <w:tc>
                <w:tcPr>
                  <w:tcW w:w="893" w:type="dxa"/>
                  <w:tcBorders>
                    <w:tl2br w:val="nil"/>
                    <w:tr2bl w:val="nil"/>
                  </w:tcBorders>
                  <w:vAlign w:val="center"/>
                </w:tcPr>
                <w:p w14:paraId="33C56264">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w:t>
                  </w:r>
                </w:p>
              </w:tc>
              <w:tc>
                <w:tcPr>
                  <w:tcW w:w="895" w:type="dxa"/>
                  <w:tcBorders>
                    <w:tl2br w:val="nil"/>
                    <w:tr2bl w:val="nil"/>
                  </w:tcBorders>
                  <w:vAlign w:val="center"/>
                </w:tcPr>
                <w:p w14:paraId="39CD3791">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w:t>
                  </w:r>
                </w:p>
              </w:tc>
              <w:tc>
                <w:tcPr>
                  <w:tcW w:w="896" w:type="dxa"/>
                  <w:tcBorders>
                    <w:tl2br w:val="nil"/>
                    <w:tr2bl w:val="nil"/>
                  </w:tcBorders>
                  <w:vAlign w:val="center"/>
                </w:tcPr>
                <w:p w14:paraId="11D90A28">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≤45</w:t>
                  </w:r>
                </w:p>
              </w:tc>
              <w:tc>
                <w:tcPr>
                  <w:tcW w:w="1103" w:type="dxa"/>
                  <w:tcBorders>
                    <w:tl2br w:val="nil"/>
                    <w:tr2bl w:val="nil"/>
                  </w:tcBorders>
                  <w:vAlign w:val="center"/>
                </w:tcPr>
                <w:p w14:paraId="683E1A44">
                  <w:pPr>
                    <w:spacing w:line="28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≤8</w:t>
                  </w:r>
                </w:p>
              </w:tc>
            </w:tr>
            <w:tr w14:paraId="1F4028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59" w:type="dxa"/>
                  <w:gridSpan w:val="8"/>
                  <w:tcBorders>
                    <w:tl2br w:val="nil"/>
                    <w:tr2bl w:val="nil"/>
                  </w:tcBorders>
                  <w:vAlign w:val="center"/>
                </w:tcPr>
                <w:p w14:paraId="5164B352">
                  <w:pP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说明：pH无量纲，其他单位mg/L。</w:t>
                  </w:r>
                </w:p>
              </w:tc>
            </w:tr>
          </w:tbl>
          <w:p w14:paraId="7B685764">
            <w:pPr>
              <w:spacing w:before="120" w:beforeLines="50" w:line="360" w:lineRule="auto"/>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3、噪声排放标准</w:t>
            </w:r>
          </w:p>
          <w:p w14:paraId="6CED8B04">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项目施工噪声排放执行《建筑施工噪声排放标准》（GB12523-2025），标准值见下表。</w:t>
            </w:r>
          </w:p>
          <w:p w14:paraId="6FFB03AC">
            <w:pPr>
              <w:pStyle w:val="10"/>
              <w:spacing w:before="0" w:line="360" w:lineRule="auto"/>
              <w:ind w:firstLine="420" w:firstLineChars="20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表3-13   建筑施工场界环境噪声排放限值   单位：dB（A）</w:t>
            </w:r>
          </w:p>
          <w:tbl>
            <w:tblPr>
              <w:tblStyle w:val="35"/>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68"/>
              <w:gridCol w:w="3782"/>
            </w:tblGrid>
            <w:tr w14:paraId="36A187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1" w:type="pct"/>
                  <w:tcBorders>
                    <w:tl2br w:val="nil"/>
                    <w:tr2bl w:val="nil"/>
                  </w:tcBorders>
                  <w:vAlign w:val="center"/>
                </w:tcPr>
                <w:p w14:paraId="0BC8DAF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昼间</w:t>
                  </w:r>
                </w:p>
              </w:tc>
              <w:tc>
                <w:tcPr>
                  <w:tcW w:w="2408" w:type="pct"/>
                  <w:tcBorders>
                    <w:tl2br w:val="nil"/>
                    <w:tr2bl w:val="nil"/>
                  </w:tcBorders>
                  <w:vAlign w:val="center"/>
                </w:tcPr>
                <w:p w14:paraId="3385FF5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夜间</w:t>
                  </w:r>
                </w:p>
              </w:tc>
            </w:tr>
            <w:tr w14:paraId="7EFDDF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1" w:type="pct"/>
                  <w:tcBorders>
                    <w:tl2br w:val="nil"/>
                    <w:tr2bl w:val="nil"/>
                  </w:tcBorders>
                  <w:vAlign w:val="center"/>
                </w:tcPr>
                <w:p w14:paraId="6DE632A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w:t>
                  </w:r>
                </w:p>
              </w:tc>
              <w:tc>
                <w:tcPr>
                  <w:tcW w:w="2408" w:type="pct"/>
                  <w:tcBorders>
                    <w:tl2br w:val="nil"/>
                    <w:tr2bl w:val="nil"/>
                  </w:tcBorders>
                  <w:vAlign w:val="center"/>
                </w:tcPr>
                <w:p w14:paraId="3331224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55</w:t>
                  </w:r>
                </w:p>
              </w:tc>
            </w:tr>
          </w:tbl>
          <w:p w14:paraId="6C7AEBC7">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位于云南通海产业园区里山片区，项目区东北面紧邻高速公路（通建高速支线），属于交通干线道路两侧区域，本次评价项目区东北面30m范围内噪声执行《工业企业厂界环境噪声排放标准》（GB12348-2008）中的4类标准；其余区域噪声执行《工业企业厂界环境噪声排放标准》（GB12348-2008）中的3类标准。</w:t>
            </w:r>
          </w:p>
          <w:p w14:paraId="42B41BEB">
            <w:pPr>
              <w:pStyle w:val="10"/>
              <w:spacing w:before="0" w:line="360" w:lineRule="auto"/>
              <w:ind w:firstLine="420" w:firstLineChars="20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表3-14   工业企业厂界环境噪声排放标准  单位：Leq〔dB(A)〕</w:t>
            </w:r>
          </w:p>
          <w:tbl>
            <w:tblPr>
              <w:tblStyle w:val="35"/>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682"/>
              <w:gridCol w:w="1769"/>
              <w:gridCol w:w="2396"/>
            </w:tblGrid>
            <w:tr w14:paraId="696E9DE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45" w:type="pct"/>
                  <w:tcBorders>
                    <w:tl2br w:val="nil"/>
                    <w:tr2bl w:val="nil"/>
                  </w:tcBorders>
                  <w:vAlign w:val="center"/>
                </w:tcPr>
                <w:p w14:paraId="129FCC22">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                  时段厂界外</w:t>
                  </w:r>
                </w:p>
                <w:p w14:paraId="1766EBF3">
                  <w:pPr>
                    <w:pStyle w:val="18"/>
                    <w:widowControl/>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声环境功能区类别</w:t>
                  </w:r>
                </w:p>
              </w:tc>
              <w:tc>
                <w:tcPr>
                  <w:tcW w:w="1127" w:type="pct"/>
                  <w:tcBorders>
                    <w:tl2br w:val="nil"/>
                    <w:tr2bl w:val="nil"/>
                  </w:tcBorders>
                  <w:vAlign w:val="center"/>
                </w:tcPr>
                <w:p w14:paraId="62769A9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昼间</w:t>
                  </w:r>
                </w:p>
              </w:tc>
              <w:tc>
                <w:tcPr>
                  <w:tcW w:w="1526" w:type="pct"/>
                  <w:tcBorders>
                    <w:tl2br w:val="nil"/>
                    <w:tr2bl w:val="nil"/>
                  </w:tcBorders>
                  <w:vAlign w:val="center"/>
                </w:tcPr>
                <w:p w14:paraId="7B14D64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夜间</w:t>
                  </w:r>
                </w:p>
              </w:tc>
            </w:tr>
            <w:tr w14:paraId="089614C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45" w:type="pct"/>
                  <w:tcBorders>
                    <w:tl2br w:val="nil"/>
                    <w:tr2bl w:val="nil"/>
                  </w:tcBorders>
                  <w:vAlign w:val="center"/>
                </w:tcPr>
                <w:p w14:paraId="53AC2425">
                  <w:pPr>
                    <w:widowControl/>
                    <w:spacing w:line="3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1127" w:type="pct"/>
                  <w:tcBorders>
                    <w:tl2br w:val="nil"/>
                    <w:tr2bl w:val="nil"/>
                  </w:tcBorders>
                  <w:vAlign w:val="center"/>
                </w:tcPr>
                <w:p w14:paraId="0DF38400">
                  <w:pPr>
                    <w:widowControl/>
                    <w:spacing w:line="3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w:t>
                  </w:r>
                </w:p>
              </w:tc>
              <w:tc>
                <w:tcPr>
                  <w:tcW w:w="1526" w:type="pct"/>
                  <w:tcBorders>
                    <w:tl2br w:val="nil"/>
                    <w:tr2bl w:val="nil"/>
                  </w:tcBorders>
                  <w:vAlign w:val="center"/>
                </w:tcPr>
                <w:p w14:paraId="521B9E55">
                  <w:pPr>
                    <w:widowControl/>
                    <w:spacing w:line="3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55</w:t>
                  </w:r>
                </w:p>
              </w:tc>
            </w:tr>
            <w:tr w14:paraId="7E23C1D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345" w:type="pct"/>
                  <w:tcBorders>
                    <w:tl2br w:val="nil"/>
                    <w:tr2bl w:val="nil"/>
                  </w:tcBorders>
                  <w:vAlign w:val="center"/>
                </w:tcPr>
                <w:p w14:paraId="00A7A702">
                  <w:pPr>
                    <w:widowControl/>
                    <w:spacing w:line="3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127" w:type="pct"/>
                  <w:tcBorders>
                    <w:tl2br w:val="nil"/>
                    <w:tr2bl w:val="nil"/>
                  </w:tcBorders>
                  <w:vAlign w:val="center"/>
                </w:tcPr>
                <w:p w14:paraId="3ABE983F">
                  <w:pPr>
                    <w:widowControl/>
                    <w:spacing w:line="3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w:t>
                  </w:r>
                </w:p>
              </w:tc>
              <w:tc>
                <w:tcPr>
                  <w:tcW w:w="1526" w:type="pct"/>
                  <w:tcBorders>
                    <w:tl2br w:val="nil"/>
                    <w:tr2bl w:val="nil"/>
                  </w:tcBorders>
                  <w:vAlign w:val="center"/>
                </w:tcPr>
                <w:p w14:paraId="3CE37C49">
                  <w:pPr>
                    <w:widowControl/>
                    <w:spacing w:line="3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55</w:t>
                  </w:r>
                </w:p>
              </w:tc>
            </w:tr>
          </w:tbl>
          <w:p w14:paraId="3CCFBC88">
            <w:pPr>
              <w:spacing w:before="120" w:beforeLines="50" w:line="360" w:lineRule="auto"/>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4、固废</w:t>
            </w:r>
          </w:p>
          <w:p w14:paraId="08807112">
            <w:pPr>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sz w:val="24"/>
              </w:rPr>
              <w:t>运营期一般固体废物处理执行《一般工业固体废物贮存和填埋污染控制标准》（GB18599-2020）中的相关要求；危险废物储存执行《危险废物贮存污染控制标准》（GB18597-2023）中的相关要求。</w:t>
            </w:r>
          </w:p>
        </w:tc>
      </w:tr>
      <w:tr w14:paraId="045F49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720" w:type="dxa"/>
            <w:vAlign w:val="center"/>
          </w:tcPr>
          <w:p w14:paraId="082ED0B5">
            <w:pPr>
              <w:adjustRightInd w:val="0"/>
              <w:snapToGrid w:val="0"/>
              <w:spacing w:line="360" w:lineRule="auto"/>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总量</w:t>
            </w:r>
          </w:p>
          <w:p w14:paraId="07095BD1">
            <w:pPr>
              <w:adjustRightInd w:val="0"/>
              <w:snapToGrid w:val="0"/>
              <w:spacing w:line="360" w:lineRule="auto"/>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控制</w:t>
            </w:r>
          </w:p>
          <w:p w14:paraId="0D140CEA">
            <w:pPr>
              <w:adjustRightInd w:val="0"/>
              <w:snapToGrid w:val="0"/>
              <w:spacing w:line="360"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 w:val="24"/>
              </w:rPr>
              <w:t>指标</w:t>
            </w:r>
          </w:p>
        </w:tc>
        <w:tc>
          <w:tcPr>
            <w:tcW w:w="8270" w:type="dxa"/>
            <w:vAlign w:val="center"/>
          </w:tcPr>
          <w:p w14:paraId="55401205">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根据本项目工程排污特点，提出如下总量控制指标建议：</w:t>
            </w:r>
          </w:p>
          <w:p w14:paraId="16003FAE">
            <w:pPr>
              <w:spacing w:line="360" w:lineRule="auto"/>
              <w:ind w:firstLine="480" w:firstLineChars="200"/>
              <w:jc w:val="left"/>
              <w:rPr>
                <w:rFonts w:hint="default" w:ascii="Times New Roman" w:hAnsi="Times New Roman" w:cs="Times New Roman"/>
                <w:color w:val="auto"/>
                <w:sz w:val="24"/>
              </w:rPr>
            </w:pPr>
            <w:bookmarkStart w:id="112" w:name="_Hlk220340856"/>
            <w:r>
              <w:rPr>
                <w:rFonts w:hint="default" w:ascii="Times New Roman" w:hAnsi="Times New Roman" w:cs="Times New Roman"/>
                <w:color w:val="auto"/>
                <w:sz w:val="24"/>
              </w:rPr>
              <w:t>废气：项目采用电为能源，生产过程中废气污染物仅为少量的粉尘，因此不涉及废气总量控制指标。</w:t>
            </w:r>
          </w:p>
          <w:p w14:paraId="2297C556">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废水：生活污水经过化粪池预处理达到《污水综合排放标准》（GB8978-1996）（表4）三级标准及《污水排入城镇下水道水质标准》（GB/T31962-2015）表1B等级标准后，排入里山工业园区污水管网，项目废水总量纳入里山工业园区污水处理厂进行考核，本项目不设总量控制指标。</w:t>
            </w:r>
          </w:p>
          <w:p w14:paraId="337A46E4">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固体废物：固体废物处置率100%。</w:t>
            </w:r>
          </w:p>
          <w:bookmarkEnd w:id="112"/>
          <w:p w14:paraId="74FE59B7">
            <w:pPr>
              <w:pStyle w:val="18"/>
              <w:rPr>
                <w:rFonts w:hint="default" w:ascii="Times New Roman" w:hAnsi="Times New Roman" w:cs="Times New Roman"/>
                <w:color w:val="auto"/>
                <w:sz w:val="24"/>
                <w:szCs w:val="24"/>
              </w:rPr>
            </w:pPr>
          </w:p>
          <w:p w14:paraId="65380011">
            <w:pPr>
              <w:rPr>
                <w:rFonts w:hint="default" w:ascii="Times New Roman" w:hAnsi="Times New Roman" w:cs="Times New Roman"/>
                <w:color w:val="auto"/>
                <w:sz w:val="24"/>
              </w:rPr>
            </w:pPr>
          </w:p>
          <w:p w14:paraId="306772D4">
            <w:pPr>
              <w:rPr>
                <w:rFonts w:hint="default" w:ascii="Times New Roman" w:hAnsi="Times New Roman" w:cs="Times New Roman"/>
                <w:color w:val="auto"/>
                <w:sz w:val="24"/>
              </w:rPr>
            </w:pPr>
          </w:p>
          <w:p w14:paraId="530707B5">
            <w:pPr>
              <w:rPr>
                <w:rFonts w:hint="default" w:ascii="Times New Roman" w:hAnsi="Times New Roman" w:cs="Times New Roman"/>
                <w:color w:val="auto"/>
                <w:sz w:val="24"/>
              </w:rPr>
            </w:pPr>
          </w:p>
          <w:p w14:paraId="50D8A1B2">
            <w:pPr>
              <w:rPr>
                <w:rFonts w:hint="default" w:ascii="Times New Roman" w:hAnsi="Times New Roman" w:cs="Times New Roman"/>
                <w:color w:val="auto"/>
                <w:sz w:val="24"/>
              </w:rPr>
            </w:pPr>
          </w:p>
          <w:p w14:paraId="721B0EEF">
            <w:pPr>
              <w:rPr>
                <w:rFonts w:hint="default" w:ascii="Times New Roman" w:hAnsi="Times New Roman" w:cs="Times New Roman"/>
                <w:color w:val="auto"/>
                <w:sz w:val="24"/>
              </w:rPr>
            </w:pPr>
          </w:p>
          <w:p w14:paraId="1A5887F4">
            <w:pPr>
              <w:rPr>
                <w:rFonts w:hint="default" w:ascii="Times New Roman" w:hAnsi="Times New Roman" w:cs="Times New Roman"/>
                <w:color w:val="auto"/>
                <w:sz w:val="24"/>
              </w:rPr>
            </w:pPr>
          </w:p>
          <w:p w14:paraId="28D7901A">
            <w:pPr>
              <w:rPr>
                <w:rFonts w:hint="default" w:ascii="Times New Roman" w:hAnsi="Times New Roman" w:cs="Times New Roman"/>
                <w:color w:val="auto"/>
                <w:sz w:val="24"/>
              </w:rPr>
            </w:pPr>
          </w:p>
          <w:p w14:paraId="4FBF990C">
            <w:pPr>
              <w:pStyle w:val="18"/>
              <w:rPr>
                <w:rFonts w:hint="default" w:ascii="Times New Roman" w:hAnsi="Times New Roman" w:cs="Times New Roman"/>
                <w:color w:val="auto"/>
              </w:rPr>
            </w:pPr>
          </w:p>
        </w:tc>
      </w:tr>
    </w:tbl>
    <w:p w14:paraId="5696CC5E">
      <w:pPr>
        <w:pStyle w:val="31"/>
        <w:spacing w:before="0" w:beforeAutospacing="0" w:after="0" w:afterAutospacing="0" w:line="360" w:lineRule="auto"/>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bookmarkStart w:id="113" w:name="_Toc68870552"/>
      <w:bookmarkStart w:id="114" w:name="_Toc5241"/>
      <w:bookmarkStart w:id="115" w:name="_Toc70692547"/>
      <w:r>
        <w:rPr>
          <w:rFonts w:hint="default" w:ascii="Times New Roman" w:hAnsi="Times New Roman" w:eastAsia="黑体" w:cs="Times New Roman"/>
          <w:color w:val="auto"/>
          <w:sz w:val="28"/>
          <w:szCs w:val="28"/>
        </w:rPr>
        <w:t>四、主要环境影响和保护措施</w:t>
      </w:r>
      <w:bookmarkEnd w:id="113"/>
      <w:bookmarkEnd w:id="114"/>
      <w:bookmarkEnd w:id="115"/>
    </w:p>
    <w:tbl>
      <w:tblPr>
        <w:tblStyle w:val="35"/>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5"/>
        <w:gridCol w:w="8456"/>
      </w:tblGrid>
      <w:tr w14:paraId="180F51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7" w:hRule="atLeast"/>
          <w:jc w:val="center"/>
        </w:trPr>
        <w:tc>
          <w:tcPr>
            <w:tcW w:w="525" w:type="dxa"/>
            <w:tcMar>
              <w:left w:w="28" w:type="dxa"/>
              <w:right w:w="28" w:type="dxa"/>
            </w:tcMar>
            <w:vAlign w:val="center"/>
          </w:tcPr>
          <w:p w14:paraId="722B19EC">
            <w:pPr>
              <w:pStyle w:val="31"/>
              <w:adjustRightInd w:val="0"/>
              <w:snapToGrid w:val="0"/>
              <w:spacing w:before="0" w:beforeAutospacing="0" w:after="0" w:afterAutospacing="0" w:line="360" w:lineRule="auto"/>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Cs w:val="24"/>
              </w:rPr>
              <w:t>施工期环境保护措施</w:t>
            </w:r>
          </w:p>
        </w:tc>
        <w:tc>
          <w:tcPr>
            <w:tcW w:w="8456" w:type="dxa"/>
            <w:vAlign w:val="center"/>
          </w:tcPr>
          <w:p w14:paraId="7A8E6286">
            <w:pPr>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项目在现有的生产车间内进行建设，于2022年9月开工建设，2023年3月建设完成，但未投入运行。因此本环评施工期环境影响分析主要对已建工程施工期进行回顾性分析，具体如下：</w:t>
            </w:r>
          </w:p>
          <w:p w14:paraId="4366AF2F">
            <w:pPr>
              <w:adjustRightInd w:val="0"/>
              <w:snapToGrid w:val="0"/>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1、施工废气处置措施</w:t>
            </w:r>
          </w:p>
          <w:p w14:paraId="555B6554">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施工过程中的空气污染主要源于两方面：一是车辆运输中产生的地表扬尘，以及施工建筑垃圾的堆放现场，都呈无组织排放；二是运输车辆、施工机械产生的汽车尾气，主要污染物为粉尘、CO、HC和NO</w:t>
            </w:r>
            <w:r>
              <w:rPr>
                <w:rFonts w:hint="default" w:ascii="Times New Roman" w:hAnsi="Times New Roman" w:cs="Times New Roman"/>
                <w:color w:val="auto"/>
                <w:sz w:val="24"/>
                <w:vertAlign w:val="subscript"/>
              </w:rPr>
              <w:t>x</w:t>
            </w:r>
            <w:r>
              <w:rPr>
                <w:rFonts w:hint="default" w:ascii="Times New Roman" w:hAnsi="Times New Roman" w:cs="Times New Roman"/>
                <w:color w:val="auto"/>
                <w:sz w:val="24"/>
              </w:rPr>
              <w:t>等。</w:t>
            </w:r>
          </w:p>
          <w:p w14:paraId="2E4B3DC1">
            <w:pPr>
              <w:spacing w:line="360" w:lineRule="auto"/>
              <w:ind w:firstLine="480" w:firstLineChars="200"/>
              <w:rPr>
                <w:rFonts w:hint="default" w:ascii="Times New Roman" w:hAnsi="Times New Roman" w:eastAsia="黑体" w:cs="Times New Roman"/>
                <w:bCs/>
                <w:color w:val="auto"/>
                <w:sz w:val="24"/>
              </w:rPr>
            </w:pPr>
            <w:r>
              <w:rPr>
                <w:rFonts w:hint="default" w:ascii="Times New Roman" w:hAnsi="Times New Roman" w:cs="Times New Roman"/>
                <w:color w:val="auto"/>
                <w:sz w:val="24"/>
              </w:rPr>
              <w:t>为防止和减少施工期间扬尘和废气的污染，根据调查项目在施工过程中采取的措施如下：</w:t>
            </w:r>
          </w:p>
          <w:p w14:paraId="178CE0B8">
            <w:pPr>
              <w:tabs>
                <w:tab w:val="left" w:pos="2395"/>
              </w:tabs>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①施工期严格按照文明施工的相关条款执行。</w:t>
            </w:r>
          </w:p>
          <w:p w14:paraId="1295B0E3">
            <w:pPr>
              <w:tabs>
                <w:tab w:val="left" w:pos="2395"/>
              </w:tabs>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②对施工现场实行合理化管理，使砂石料统一堆放，水泥在专门库房堆放，堆料场设置规范且地坪硬化处理以减少砂石料的流失，并尽量减少搬运环节，搬运时做到轻举轻放，防止包装袋破裂。</w:t>
            </w:r>
          </w:p>
          <w:p w14:paraId="13AFB73B">
            <w:pPr>
              <w:tabs>
                <w:tab w:val="left" w:pos="2395"/>
              </w:tabs>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③及时清扫散落在路面上的泥土和建筑材料，冲洗轮胎，定时洒水降尘，以减少运输过程中的扬尘。</w:t>
            </w:r>
          </w:p>
          <w:p w14:paraId="5714FFD7">
            <w:pPr>
              <w:tabs>
                <w:tab w:val="left" w:pos="2395"/>
              </w:tabs>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④运输沙、石、水泥、垃圾的车辆装载高度低于车厢上沿，不超高超载。运输车辆完好，并采取遮盖、密闭措施，减少沿途抛洒，实行封闭运输，以免车辆颠簸撒漏。坚持文明装卸，避免袋装水泥散包；运输车辆卸完货后应清洗车厢。施工车辆在驶出施工区之前，进行清泥除尘处理，不将泥土尘土带出工地。</w:t>
            </w:r>
          </w:p>
          <w:p w14:paraId="5BA7B7CA">
            <w:pPr>
              <w:tabs>
                <w:tab w:val="left" w:pos="2395"/>
              </w:tabs>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⑤加强对机械、车辆的维修保养，禁止以柴油为燃料的施工机械超负荷工作，减少烟尘和颗粒物排放。</w:t>
            </w:r>
          </w:p>
          <w:p w14:paraId="4C42B4AC">
            <w:pPr>
              <w:tabs>
                <w:tab w:val="left" w:pos="2395"/>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⑥加强对施工人员的环保教育，提高全体施工人员的环保意识，坚持文明施工科学施工。</w:t>
            </w:r>
          </w:p>
          <w:p w14:paraId="361A00B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根据调查，项目施工期间未发生废气污染事件。</w:t>
            </w:r>
          </w:p>
          <w:p w14:paraId="1E9ABC09">
            <w:pPr>
              <w:adjustRightInd w:val="0"/>
              <w:snapToGrid w:val="0"/>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2、施工废水处置措施</w:t>
            </w:r>
          </w:p>
          <w:p w14:paraId="312C5E4B">
            <w:pPr>
              <w:autoSpaceDE w:val="0"/>
              <w:autoSpaceDN w:val="0"/>
              <w:spacing w:line="360" w:lineRule="auto"/>
              <w:ind w:firstLine="480" w:firstLineChars="200"/>
              <w:jc w:val="left"/>
              <w:rPr>
                <w:rFonts w:hint="default" w:ascii="Times New Roman" w:hAnsi="Times New Roman" w:cs="Times New Roman"/>
                <w:color w:val="auto"/>
                <w:kern w:val="0"/>
                <w:sz w:val="24"/>
                <w:szCs w:val="21"/>
              </w:rPr>
            </w:pPr>
            <w:r>
              <w:rPr>
                <w:rFonts w:hint="default" w:ascii="Times New Roman" w:hAnsi="Times New Roman" w:cs="Times New Roman"/>
                <w:color w:val="auto"/>
                <w:kern w:val="0"/>
                <w:sz w:val="24"/>
                <w:szCs w:val="21"/>
              </w:rPr>
              <w:t>施工废水主要包括施工人员生活污水、施工废水。</w:t>
            </w:r>
          </w:p>
          <w:p w14:paraId="0E2A1F7E">
            <w:pPr>
              <w:spacing w:line="360" w:lineRule="auto"/>
              <w:ind w:firstLine="482" w:firstLineChars="200"/>
              <w:rPr>
                <w:rFonts w:hint="default" w:ascii="Times New Roman" w:hAnsi="Times New Roman" w:cs="Times New Roman"/>
                <w:b/>
                <w:bCs/>
                <w:color w:val="auto"/>
                <w:sz w:val="24"/>
                <w:szCs w:val="21"/>
              </w:rPr>
            </w:pPr>
            <w:r>
              <w:rPr>
                <w:rFonts w:hint="default" w:ascii="Times New Roman" w:hAnsi="Times New Roman" w:cs="Times New Roman"/>
                <w:b/>
                <w:bCs/>
                <w:color w:val="auto"/>
                <w:sz w:val="24"/>
                <w:szCs w:val="21"/>
              </w:rPr>
              <w:t>（1）施工废水</w:t>
            </w:r>
          </w:p>
          <w:p w14:paraId="0106D9C0">
            <w:pPr>
              <w:spacing w:line="360" w:lineRule="auto"/>
              <w:ind w:firstLine="480" w:firstLineChars="200"/>
              <w:rPr>
                <w:rFonts w:hint="default" w:ascii="Times New Roman" w:hAnsi="Times New Roman" w:cs="Times New Roman"/>
                <w:color w:val="auto"/>
                <w:sz w:val="24"/>
                <w:szCs w:val="21"/>
              </w:rPr>
            </w:pPr>
            <w:r>
              <w:rPr>
                <w:rFonts w:hint="default" w:ascii="Times New Roman" w:hAnsi="Times New Roman" w:cs="Times New Roman"/>
                <w:color w:val="auto"/>
                <w:sz w:val="24"/>
                <w:szCs w:val="21"/>
              </w:rPr>
              <w:t>项目施工废水主要为</w:t>
            </w:r>
            <w:r>
              <w:rPr>
                <w:rFonts w:hint="default" w:ascii="Times New Roman" w:hAnsi="Times New Roman" w:cs="Times New Roman"/>
                <w:color w:val="auto"/>
                <w:kern w:val="0"/>
                <w:sz w:val="24"/>
                <w:szCs w:val="21"/>
              </w:rPr>
              <w:t>机械设备、工具清洗等用水，用水量约为0.3m</w:t>
            </w:r>
            <w:r>
              <w:rPr>
                <w:rFonts w:hint="default" w:ascii="Times New Roman" w:hAnsi="Times New Roman" w:cs="Times New Roman"/>
                <w:color w:val="auto"/>
                <w:kern w:val="0"/>
                <w:sz w:val="24"/>
                <w:szCs w:val="21"/>
                <w:vertAlign w:val="superscript"/>
              </w:rPr>
              <w:t>3</w:t>
            </w:r>
            <w:r>
              <w:rPr>
                <w:rFonts w:hint="default" w:ascii="Times New Roman" w:hAnsi="Times New Roman" w:cs="Times New Roman"/>
                <w:color w:val="auto"/>
                <w:kern w:val="0"/>
                <w:sz w:val="24"/>
                <w:szCs w:val="21"/>
              </w:rPr>
              <w:t>/d，废水产生量约为0.18m</w:t>
            </w:r>
            <w:r>
              <w:rPr>
                <w:rFonts w:hint="default" w:ascii="Times New Roman" w:hAnsi="Times New Roman" w:cs="Times New Roman"/>
                <w:color w:val="auto"/>
                <w:kern w:val="0"/>
                <w:sz w:val="24"/>
                <w:szCs w:val="21"/>
                <w:vertAlign w:val="superscript"/>
              </w:rPr>
              <w:t>3</w:t>
            </w:r>
            <w:r>
              <w:rPr>
                <w:rFonts w:hint="default" w:ascii="Times New Roman" w:hAnsi="Times New Roman" w:cs="Times New Roman"/>
                <w:color w:val="auto"/>
                <w:kern w:val="0"/>
                <w:sz w:val="24"/>
                <w:szCs w:val="21"/>
              </w:rPr>
              <w:t>/d。</w:t>
            </w:r>
            <w:r>
              <w:rPr>
                <w:rFonts w:hint="default" w:ascii="Times New Roman" w:hAnsi="Times New Roman" w:cs="Times New Roman"/>
                <w:color w:val="auto"/>
                <w:sz w:val="24"/>
                <w:szCs w:val="21"/>
              </w:rPr>
              <w:t>废水中的污染物主要为SS，为减少废水的肆意乱排，根据调查，项目施工期间建设了1座0.5</w:t>
            </w:r>
            <w:r>
              <w:rPr>
                <w:rFonts w:hint="default" w:ascii="Times New Roman" w:hAnsi="Times New Roman" w:cs="Times New Roman"/>
                <w:color w:val="auto"/>
                <w:kern w:val="0"/>
                <w:sz w:val="24"/>
                <w:szCs w:val="21"/>
              </w:rPr>
              <w:t>m</w:t>
            </w:r>
            <w:r>
              <w:rPr>
                <w:rFonts w:hint="default" w:ascii="Times New Roman" w:hAnsi="Times New Roman" w:cs="Times New Roman"/>
                <w:color w:val="auto"/>
                <w:kern w:val="0"/>
                <w:sz w:val="24"/>
                <w:szCs w:val="21"/>
                <w:vertAlign w:val="superscript"/>
              </w:rPr>
              <w:t>3</w:t>
            </w:r>
            <w:r>
              <w:rPr>
                <w:rFonts w:hint="default" w:ascii="Times New Roman" w:hAnsi="Times New Roman" w:cs="Times New Roman"/>
                <w:color w:val="auto"/>
                <w:sz w:val="24"/>
                <w:szCs w:val="21"/>
              </w:rPr>
              <w:t>的临时沉淀池，废水经沉淀处理后用于场地洒水降尘，不外排。</w:t>
            </w:r>
          </w:p>
          <w:p w14:paraId="7EDC5E55">
            <w:pPr>
              <w:spacing w:line="360" w:lineRule="auto"/>
              <w:ind w:firstLine="482" w:firstLineChars="200"/>
              <w:rPr>
                <w:rFonts w:hint="default" w:ascii="Times New Roman" w:hAnsi="Times New Roman" w:cs="Times New Roman"/>
                <w:b/>
                <w:bCs/>
                <w:color w:val="auto"/>
                <w:sz w:val="24"/>
                <w:szCs w:val="21"/>
              </w:rPr>
            </w:pPr>
            <w:r>
              <w:rPr>
                <w:rFonts w:hint="default" w:ascii="Times New Roman" w:hAnsi="Times New Roman" w:cs="Times New Roman"/>
                <w:b/>
                <w:bCs/>
                <w:color w:val="auto"/>
                <w:sz w:val="24"/>
                <w:szCs w:val="21"/>
              </w:rPr>
              <w:t>（2）施工生活污水</w:t>
            </w:r>
          </w:p>
          <w:p w14:paraId="671BDCF0">
            <w:pPr>
              <w:spacing w:line="360" w:lineRule="auto"/>
              <w:ind w:firstLine="480" w:firstLineChars="200"/>
              <w:rPr>
                <w:rFonts w:hint="default" w:ascii="Times New Roman" w:hAnsi="Times New Roman" w:cs="Times New Roman"/>
                <w:color w:val="auto"/>
                <w:sz w:val="24"/>
                <w:szCs w:val="21"/>
              </w:rPr>
            </w:pPr>
            <w:r>
              <w:rPr>
                <w:rFonts w:hint="default" w:ascii="Times New Roman" w:hAnsi="Times New Roman" w:cs="Times New Roman"/>
                <w:color w:val="auto"/>
                <w:sz w:val="24"/>
                <w:szCs w:val="21"/>
              </w:rPr>
              <w:t>根据调查，项目在过去施工期间施工期高峰人员12人，均为周边村民，施工人员厕所依托现有。施工期生活用水量约为0.48m</w:t>
            </w:r>
            <w:r>
              <w:rPr>
                <w:rFonts w:hint="default" w:ascii="Times New Roman" w:hAnsi="Times New Roman" w:cs="Times New Roman"/>
                <w:color w:val="auto"/>
                <w:sz w:val="24"/>
                <w:szCs w:val="21"/>
                <w:vertAlign w:val="superscript"/>
              </w:rPr>
              <w:t>3</w:t>
            </w:r>
            <w:r>
              <w:rPr>
                <w:rFonts w:hint="default" w:ascii="Times New Roman" w:hAnsi="Times New Roman" w:cs="Times New Roman"/>
                <w:color w:val="auto"/>
                <w:sz w:val="24"/>
                <w:szCs w:val="21"/>
              </w:rPr>
              <w:t>/d，生活污水产生量为0.38m</w:t>
            </w:r>
            <w:r>
              <w:rPr>
                <w:rFonts w:hint="default" w:ascii="Times New Roman" w:hAnsi="Times New Roman" w:cs="Times New Roman"/>
                <w:color w:val="auto"/>
                <w:sz w:val="24"/>
                <w:szCs w:val="21"/>
                <w:vertAlign w:val="superscript"/>
              </w:rPr>
              <w:t>3</w:t>
            </w:r>
            <w:r>
              <w:rPr>
                <w:rFonts w:hint="default" w:ascii="Times New Roman" w:hAnsi="Times New Roman" w:cs="Times New Roman"/>
                <w:color w:val="auto"/>
                <w:sz w:val="24"/>
                <w:szCs w:val="21"/>
              </w:rPr>
              <w:t>/d，施工期间的生活污水经收集后回用于施工场地洒水降尘，不外排。</w:t>
            </w:r>
          </w:p>
          <w:p w14:paraId="32F7C485">
            <w:pPr>
              <w:adjustRightInd w:val="0"/>
              <w:snapToGrid w:val="0"/>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3、施工噪声处置措施</w:t>
            </w:r>
          </w:p>
          <w:p w14:paraId="663AFA48">
            <w:pPr>
              <w:pStyle w:val="18"/>
              <w:spacing w:line="360" w:lineRule="auto"/>
              <w:ind w:firstLine="480" w:firstLineChars="200"/>
              <w:rPr>
                <w:rFonts w:hint="default" w:ascii="Times New Roman" w:hAnsi="Times New Roman" w:cs="Times New Roman"/>
                <w:bCs/>
                <w:color w:val="auto"/>
                <w:sz w:val="24"/>
                <w:szCs w:val="28"/>
              </w:rPr>
            </w:pPr>
            <w:r>
              <w:rPr>
                <w:rFonts w:hint="default" w:ascii="Times New Roman" w:hAnsi="Times New Roman" w:cs="Times New Roman"/>
                <w:bCs/>
                <w:color w:val="auto"/>
                <w:sz w:val="24"/>
                <w:szCs w:val="28"/>
              </w:rPr>
              <w:t>施工期间噪声主要为施工机械和施工车辆产生的噪声，主要有装载机、起吊机、起重机、载重汽车、切割机、电焊机、电钻等，源强在75~105dB（A）之间。在施工过程中合理安排施工时间；尽量采用低噪声设备，并对设备定期进行维护和保养，避免因设备部件松动而加大设备工作声级；加强对施工车辆的管理，控制车速以及同一时间进出车辆的数量；在采取以上措施后，项目施工期的噪声污染可得到有效控制，对周围环境影响较小。</w:t>
            </w:r>
          </w:p>
          <w:p w14:paraId="7FA07F6F">
            <w:pPr>
              <w:adjustRightInd w:val="0"/>
              <w:snapToGrid w:val="0"/>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4、施工固体废弃物处置措施</w:t>
            </w:r>
          </w:p>
          <w:p w14:paraId="4B45B90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0"/>
              </w:rPr>
              <w:t>项目在现有的生产车间内进行建设，无需对场地进行开挖，因此项目</w:t>
            </w:r>
            <w:r>
              <w:rPr>
                <w:rFonts w:hint="default" w:ascii="Times New Roman" w:hAnsi="Times New Roman" w:cs="Times New Roman"/>
                <w:color w:val="auto"/>
                <w:sz w:val="24"/>
              </w:rPr>
              <w:t>施工期主要固体废物为建筑垃圾及施工人员的生活垃圾。</w:t>
            </w:r>
          </w:p>
          <w:p w14:paraId="4CD79350">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（1）生活垃圾</w:t>
            </w:r>
          </w:p>
          <w:p w14:paraId="053B3B22">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根据调查，项目在过去施工期间生活垃圾产生量约为6.0kg/d，生活垃圾集中收集后与厂区内现有的生活垃圾一同委托环卫部门清运处理，施工期间生活垃圾未出现乱堆乱放现象。</w:t>
            </w:r>
          </w:p>
          <w:p w14:paraId="4C583D60">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（2）建筑垃圾</w:t>
            </w:r>
          </w:p>
          <w:p w14:paraId="7037644A">
            <w:pPr>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kern w:val="24"/>
                <w:sz w:val="24"/>
              </w:rPr>
              <w:t>项目在过去施工期间产生了一定量的建筑垃圾，</w:t>
            </w:r>
            <w:r>
              <w:rPr>
                <w:rFonts w:hint="default" w:ascii="Times New Roman" w:hAnsi="Times New Roman" w:cs="Times New Roman"/>
                <w:color w:val="auto"/>
                <w:sz w:val="24"/>
              </w:rPr>
              <w:t>产生量约为0.5t，建设单位对建筑垃圾分类处理，建筑垃圾中可回收综合利用的进行回收利用，不可回收利用部分统一收集后运至当地城建部门指定的地点进行妥善处置。</w:t>
            </w:r>
          </w:p>
        </w:tc>
      </w:tr>
      <w:tr w14:paraId="5DA9C3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525" w:type="dxa"/>
            <w:tcMar>
              <w:left w:w="28" w:type="dxa"/>
              <w:right w:w="28" w:type="dxa"/>
            </w:tcMar>
            <w:vAlign w:val="center"/>
          </w:tcPr>
          <w:p w14:paraId="1EBAA8B6">
            <w:pPr>
              <w:adjustRightInd w:val="0"/>
              <w:snapToGrid w:val="0"/>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运营</w:t>
            </w:r>
          </w:p>
          <w:p w14:paraId="79E71C30">
            <w:pPr>
              <w:adjustRightInd w:val="0"/>
              <w:snapToGrid w:val="0"/>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期环</w:t>
            </w:r>
          </w:p>
          <w:p w14:paraId="323167FB">
            <w:pPr>
              <w:adjustRightInd w:val="0"/>
              <w:snapToGrid w:val="0"/>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境影</w:t>
            </w:r>
          </w:p>
          <w:p w14:paraId="2C6EDC7B">
            <w:pPr>
              <w:adjustRightInd w:val="0"/>
              <w:snapToGrid w:val="0"/>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响和</w:t>
            </w:r>
          </w:p>
          <w:p w14:paraId="340D1B6C">
            <w:pPr>
              <w:adjustRightInd w:val="0"/>
              <w:snapToGrid w:val="0"/>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保护</w:t>
            </w:r>
          </w:p>
          <w:p w14:paraId="75E1D5AC">
            <w:pPr>
              <w:adjustRightInd w:val="0"/>
              <w:snapToGrid w:val="0"/>
              <w:spacing w:line="360" w:lineRule="auto"/>
              <w:jc w:val="center"/>
              <w:rPr>
                <w:rFonts w:hint="default" w:ascii="Times New Roman" w:hAnsi="Times New Roman" w:cs="Times New Roman"/>
                <w:b/>
                <w:bCs/>
                <w:color w:val="auto"/>
                <w:szCs w:val="21"/>
              </w:rPr>
            </w:pPr>
            <w:r>
              <w:rPr>
                <w:rFonts w:hint="default" w:ascii="Times New Roman" w:hAnsi="Times New Roman" w:cs="Times New Roman"/>
                <w:b/>
                <w:bCs/>
                <w:color w:val="auto"/>
                <w:sz w:val="24"/>
              </w:rPr>
              <w:t>措施</w:t>
            </w:r>
          </w:p>
        </w:tc>
        <w:tc>
          <w:tcPr>
            <w:tcW w:w="8456" w:type="dxa"/>
            <w:vAlign w:val="center"/>
          </w:tcPr>
          <w:p w14:paraId="73CF26B6">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根据《建设项目环境影响报告表编制技术指南  污染影响类》（试行），污染源强核算需要参考源强核算技术指南和排污许可证申请与核发技术规范，本项目为无缝钢管生产项目，属于钢压延加工，源强核算参考《污染源源强核算技术指南  钢铁工业》（HJ885-2018）和《排污许可证申请与核发技术规范  钢铁行业》（HJ846-2017）中的核算方法。</w:t>
            </w:r>
          </w:p>
          <w:p w14:paraId="6D0CFE70">
            <w:pPr>
              <w:adjustRightInd w:val="0"/>
              <w:snapToGrid w:val="0"/>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1、大气</w:t>
            </w:r>
          </w:p>
          <w:p w14:paraId="268A054D">
            <w:pPr>
              <w:adjustRightInd w:val="0"/>
              <w:snapToGrid w:val="0"/>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1.1大气污染源强核算</w:t>
            </w:r>
          </w:p>
          <w:p w14:paraId="17FA2322">
            <w:pPr>
              <w:pStyle w:val="105"/>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根据建设单位介绍，项目后续运行过程中将采用电感加热炉进行加热及补温，不再使用天然气，因此天然气步进式补温炉也不再使用。电为清洁能源，无污染物产生及排放。</w:t>
            </w:r>
          </w:p>
          <w:p w14:paraId="72227FC1">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项目废气主</w:t>
            </w:r>
            <w:bookmarkStart w:id="116" w:name="_Hlk220334527"/>
            <w:r>
              <w:rPr>
                <w:rFonts w:hint="default" w:ascii="Times New Roman" w:hAnsi="Times New Roman" w:cs="Times New Roman"/>
                <w:color w:val="auto"/>
                <w:sz w:val="24"/>
              </w:rPr>
              <w:t>要为穿孔、切头、去尾及分段过程中产生的少量粉尘，</w:t>
            </w:r>
            <w:bookmarkEnd w:id="116"/>
            <w:r>
              <w:rPr>
                <w:rFonts w:hint="default" w:ascii="Times New Roman" w:hAnsi="Times New Roman" w:cs="Times New Roman"/>
                <w:color w:val="auto"/>
                <w:sz w:val="24"/>
              </w:rPr>
              <w:t>由于</w:t>
            </w:r>
            <w:bookmarkStart w:id="117" w:name="_Hlk220334558"/>
            <w:r>
              <w:rPr>
                <w:rFonts w:hint="default" w:ascii="Times New Roman" w:hAnsi="Times New Roman" w:cs="Times New Roman"/>
                <w:color w:val="auto"/>
                <w:sz w:val="24"/>
              </w:rPr>
              <w:t>各生产设备均位于封闭厂房内，粉尘产生量极少，对周围环境影响较小。</w:t>
            </w:r>
            <w:bookmarkEnd w:id="117"/>
          </w:p>
          <w:p w14:paraId="308BF5FE">
            <w:pPr>
              <w:adjustRightInd w:val="0"/>
              <w:snapToGrid w:val="0"/>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1.2项目大气治理措施及可行性分析</w:t>
            </w:r>
          </w:p>
          <w:p w14:paraId="0468D3E3">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本项目采用电作为加热炉热源，电属于清洁能源，本项目采用的废气处置方式符合《钢铁工业环境保护设计规范》（GB50406-2017）和《排污许可证申请与核发技术规范  钢铁工业》（HJ846-2017）中提出的技术要求。</w:t>
            </w:r>
          </w:p>
          <w:p w14:paraId="4495714C">
            <w:pPr>
              <w:adjustRightInd w:val="0"/>
              <w:snapToGrid w:val="0"/>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1.3废气监测要求</w:t>
            </w:r>
          </w:p>
          <w:p w14:paraId="0A665C50">
            <w:pPr>
              <w:pStyle w:val="31"/>
              <w:adjustRightInd w:val="0"/>
              <w:snapToGrid w:val="0"/>
              <w:spacing w:before="0" w:beforeAutospacing="0" w:after="0" w:afterAutospacing="0"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根据《排污单位自行监测技术指南  钢铁工业及炼焦化学工业》（HJ878-2017）、《排污许可证申请与核发技术规范  钢铁工业》（HJ84-2017）、《固定源检测技术规范》（HJY397-2007）和建设项目生产及排污特点，同时由于项目位于公司现有厂区范围之内，且产生的污染物中只有少量的颗粒物，因此自行监测计划按现有执行，查阅企业现有自行监测计划，其无组织废气自行监测计划具体如下：</w:t>
            </w:r>
          </w:p>
          <w:p w14:paraId="13F01FFD">
            <w:pPr>
              <w:pStyle w:val="111"/>
              <w:spacing w:line="36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表4-1   本项目废气自行监测情况一览表</w:t>
            </w:r>
          </w:p>
          <w:tbl>
            <w:tblPr>
              <w:tblStyle w:val="35"/>
              <w:tblW w:w="49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819"/>
              <w:gridCol w:w="1308"/>
              <w:gridCol w:w="1310"/>
              <w:gridCol w:w="2570"/>
            </w:tblGrid>
            <w:tr w14:paraId="58440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0" w:type="pct"/>
                  <w:vAlign w:val="center"/>
                </w:tcPr>
                <w:p w14:paraId="771413B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监测对象</w:t>
                  </w:r>
                </w:p>
              </w:tc>
              <w:tc>
                <w:tcPr>
                  <w:tcW w:w="1108" w:type="pct"/>
                  <w:vAlign w:val="center"/>
                </w:tcPr>
                <w:p w14:paraId="1F000C7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监测点位</w:t>
                  </w:r>
                </w:p>
              </w:tc>
              <w:tc>
                <w:tcPr>
                  <w:tcW w:w="797" w:type="pct"/>
                  <w:vAlign w:val="center"/>
                </w:tcPr>
                <w:p w14:paraId="5C2BA62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监测因子</w:t>
                  </w:r>
                </w:p>
              </w:tc>
              <w:tc>
                <w:tcPr>
                  <w:tcW w:w="798" w:type="pct"/>
                  <w:vAlign w:val="center"/>
                </w:tcPr>
                <w:p w14:paraId="7AE6AC1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监测频率</w:t>
                  </w:r>
                </w:p>
              </w:tc>
              <w:tc>
                <w:tcPr>
                  <w:tcW w:w="1565" w:type="pct"/>
                  <w:tcBorders>
                    <w:right w:val="nil"/>
                  </w:tcBorders>
                  <w:vAlign w:val="center"/>
                </w:tcPr>
                <w:p w14:paraId="0710342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执行标准</w:t>
                  </w:r>
                </w:p>
              </w:tc>
            </w:tr>
            <w:tr w14:paraId="575D6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0" w:type="pct"/>
                  <w:tcBorders>
                    <w:left w:val="nil"/>
                  </w:tcBorders>
                  <w:vAlign w:val="center"/>
                </w:tcPr>
                <w:p w14:paraId="14F6C5F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厂界无组织</w:t>
                  </w:r>
                </w:p>
              </w:tc>
              <w:tc>
                <w:tcPr>
                  <w:tcW w:w="1108" w:type="pct"/>
                  <w:vAlign w:val="center"/>
                </w:tcPr>
                <w:p w14:paraId="6D06CFA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厂界上风向1个、下风向3个污染监控点</w:t>
                  </w:r>
                </w:p>
              </w:tc>
              <w:tc>
                <w:tcPr>
                  <w:tcW w:w="797" w:type="pct"/>
                  <w:vAlign w:val="center"/>
                </w:tcPr>
                <w:p w14:paraId="0CEF8B2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无组织粉尘</w:t>
                  </w:r>
                </w:p>
              </w:tc>
              <w:tc>
                <w:tcPr>
                  <w:tcW w:w="798" w:type="pct"/>
                  <w:vAlign w:val="center"/>
                </w:tcPr>
                <w:p w14:paraId="47B0AE4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1次/季</w:t>
                  </w:r>
                </w:p>
              </w:tc>
              <w:tc>
                <w:tcPr>
                  <w:tcW w:w="1565" w:type="pct"/>
                  <w:tcBorders>
                    <w:right w:val="nil"/>
                  </w:tcBorders>
                  <w:vAlign w:val="center"/>
                </w:tcPr>
                <w:p w14:paraId="0522500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《大气污染物综合排放标准》（GB16297-1996）表2中无组织限值</w:t>
                  </w:r>
                </w:p>
              </w:tc>
            </w:tr>
          </w:tbl>
          <w:p w14:paraId="05C9D59D">
            <w:pPr>
              <w:pStyle w:val="31"/>
              <w:adjustRightInd w:val="0"/>
              <w:snapToGrid w:val="0"/>
              <w:spacing w:before="0" w:beforeAutospacing="0" w:after="0" w:afterAutospacing="0"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此外，为了方便验收，本次环评罗列了如下竣工验收监测计划，具体如下：</w:t>
            </w:r>
          </w:p>
          <w:p w14:paraId="75BB1F61">
            <w:pPr>
              <w:pStyle w:val="111"/>
              <w:spacing w:line="36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表4-2   本项目废气竣工验收监测情况一览表</w:t>
            </w:r>
          </w:p>
          <w:tbl>
            <w:tblPr>
              <w:tblStyle w:val="35"/>
              <w:tblW w:w="49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1777"/>
              <w:gridCol w:w="1118"/>
              <w:gridCol w:w="1448"/>
              <w:gridCol w:w="2669"/>
            </w:tblGrid>
            <w:tr w14:paraId="6E726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vAlign w:val="center"/>
                </w:tcPr>
                <w:p w14:paraId="7C14E7B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监测对象</w:t>
                  </w:r>
                </w:p>
              </w:tc>
              <w:tc>
                <w:tcPr>
                  <w:tcW w:w="1081" w:type="pct"/>
                  <w:vAlign w:val="center"/>
                </w:tcPr>
                <w:p w14:paraId="4EE6250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监测点位</w:t>
                  </w:r>
                </w:p>
              </w:tc>
              <w:tc>
                <w:tcPr>
                  <w:tcW w:w="680" w:type="pct"/>
                  <w:vAlign w:val="center"/>
                </w:tcPr>
                <w:p w14:paraId="442C9F7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监测因子</w:t>
                  </w:r>
                </w:p>
              </w:tc>
              <w:tc>
                <w:tcPr>
                  <w:tcW w:w="881" w:type="pct"/>
                  <w:vAlign w:val="center"/>
                </w:tcPr>
                <w:p w14:paraId="37FF34A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监测频率</w:t>
                  </w:r>
                </w:p>
              </w:tc>
              <w:tc>
                <w:tcPr>
                  <w:tcW w:w="1624" w:type="pct"/>
                  <w:tcBorders>
                    <w:right w:val="nil"/>
                  </w:tcBorders>
                  <w:vAlign w:val="center"/>
                </w:tcPr>
                <w:p w14:paraId="6FBAE6A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执行标准</w:t>
                  </w:r>
                </w:p>
              </w:tc>
            </w:tr>
            <w:tr w14:paraId="628A1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1" w:type="pct"/>
                  <w:tcBorders>
                    <w:left w:val="nil"/>
                  </w:tcBorders>
                  <w:vAlign w:val="center"/>
                </w:tcPr>
                <w:p w14:paraId="7E6E3A7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厂界无组织</w:t>
                  </w:r>
                </w:p>
              </w:tc>
              <w:tc>
                <w:tcPr>
                  <w:tcW w:w="1081" w:type="pct"/>
                  <w:vAlign w:val="center"/>
                </w:tcPr>
                <w:p w14:paraId="2F16918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厂界上风向1个、下风向3个污染监控点</w:t>
                  </w:r>
                </w:p>
              </w:tc>
              <w:tc>
                <w:tcPr>
                  <w:tcW w:w="680" w:type="pct"/>
                  <w:vAlign w:val="center"/>
                </w:tcPr>
                <w:p w14:paraId="207AA5B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无组织粉尘</w:t>
                  </w:r>
                </w:p>
              </w:tc>
              <w:tc>
                <w:tcPr>
                  <w:tcW w:w="881" w:type="pct"/>
                  <w:vAlign w:val="center"/>
                </w:tcPr>
                <w:p w14:paraId="68E9293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监测2天，每天4个时段</w:t>
                  </w:r>
                </w:p>
              </w:tc>
              <w:tc>
                <w:tcPr>
                  <w:tcW w:w="1624" w:type="pct"/>
                  <w:tcBorders>
                    <w:right w:val="nil"/>
                  </w:tcBorders>
                  <w:vAlign w:val="center"/>
                </w:tcPr>
                <w:p w14:paraId="5CC1DBD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《大气污染物综合排放标准》（GB16297-1996）表2中无组织限值</w:t>
                  </w:r>
                </w:p>
              </w:tc>
            </w:tr>
          </w:tbl>
          <w:p w14:paraId="7F125D01">
            <w:pPr>
              <w:adjustRightInd w:val="0"/>
              <w:snapToGrid w:val="0"/>
              <w:spacing w:line="360" w:lineRule="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1.4总结</w:t>
            </w:r>
          </w:p>
          <w:p w14:paraId="7E86D94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分析，项目位于云南通海产业园区里山片区，项目区周边500m范围内无关心点分布，同时根据项目周边大气现状的调查，项目区周边的大气环境属于达标区，且本项目排放的大气经严格落实各项控制措施后，均可做到达标排放，对周边环境的影响可以接受。</w:t>
            </w:r>
          </w:p>
          <w:p w14:paraId="164BA5E9">
            <w:pPr>
              <w:adjustRightInd w:val="0"/>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2、废水</w:t>
            </w:r>
          </w:p>
          <w:p w14:paraId="6F289902">
            <w:pPr>
              <w:spacing w:line="360" w:lineRule="auto"/>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2.1废水产生情况</w:t>
            </w:r>
          </w:p>
          <w:p w14:paraId="0382D8DE">
            <w:pPr>
              <w:spacing w:line="360" w:lineRule="auto"/>
              <w:ind w:firstLine="504" w:firstLineChars="210"/>
              <w:rPr>
                <w:rFonts w:hint="default" w:ascii="Times New Roman" w:hAnsi="Times New Roman" w:cs="Times New Roman"/>
                <w:color w:val="auto"/>
                <w:sz w:val="24"/>
              </w:rPr>
            </w:pPr>
            <w:r>
              <w:rPr>
                <w:rFonts w:hint="default" w:ascii="Times New Roman" w:hAnsi="Times New Roman" w:cs="Times New Roman"/>
                <w:color w:val="auto"/>
                <w:sz w:val="24"/>
              </w:rPr>
              <w:t>本项目废水主要为生产废水及生活污水。</w:t>
            </w:r>
          </w:p>
          <w:p w14:paraId="4DC668EE">
            <w:pPr>
              <w:spacing w:line="360" w:lineRule="auto"/>
              <w:ind w:firstLine="504" w:firstLineChars="210"/>
              <w:rPr>
                <w:rFonts w:hint="default" w:ascii="Times New Roman" w:hAnsi="Times New Roman" w:cs="Times New Roman"/>
                <w:color w:val="auto"/>
                <w:sz w:val="24"/>
              </w:rPr>
            </w:pPr>
            <w:r>
              <w:rPr>
                <w:rFonts w:hint="default" w:ascii="Times New Roman" w:hAnsi="Times New Roman" w:cs="Times New Roman"/>
                <w:color w:val="auto"/>
                <w:sz w:val="24"/>
              </w:rPr>
              <w:t>本项目浊循环系统用水量为480m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/d，回水量为450m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/d，与氧化铁皮污泥带走10m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/d，冷却塔蒸发损耗量为20m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/d。补充新水量为30m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/d。项目生产废水全部回用，不外排。</w:t>
            </w:r>
          </w:p>
          <w:p w14:paraId="2C4EC4BC">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本项目生活用水量为1.5m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/d、450m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/a。污水产生量按用水量的80%计，则生活污水产生量为1.2m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/d、300m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p>
          <w:p w14:paraId="5A0DA7FB">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本项目建成后全厂生活污水产生量为14.35m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/d（其中30万吨轧钢生产线5.15m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/d、年产35万吨环保镀锌型钢生产线8m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/d、本项目1.2m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/d）。本项目年工作250d、30万吨轧钢生产线年工作330d、年产35万吨环保镀锌型钢生产线年工作300d，则全厂生活污水产生量为4400m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p>
          <w:p w14:paraId="4FB459B6">
            <w:pPr>
              <w:spacing w:line="360" w:lineRule="auto"/>
              <w:ind w:firstLine="480" w:firstLineChars="200"/>
              <w:jc w:val="left"/>
              <w:rPr>
                <w:rStyle w:val="42"/>
                <w:rFonts w:hint="default" w:ascii="Times New Roman" w:hAnsi="Times New Roman" w:cs="Times New Roman"/>
                <w:color w:val="auto"/>
                <w:kern w:val="0"/>
                <w:szCs w:val="20"/>
              </w:rPr>
            </w:pPr>
            <w:r>
              <w:rPr>
                <w:rFonts w:hint="default" w:ascii="Times New Roman" w:hAnsi="Times New Roman" w:cs="Times New Roman"/>
                <w:color w:val="auto"/>
                <w:sz w:val="24"/>
              </w:rPr>
              <w:t>厂区内现设置有1座10m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的化粪池，本次新建1座6m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的化粪池，生活污水经过处理后排入园区污水管网</w:t>
            </w:r>
            <w:r>
              <w:rPr>
                <w:rFonts w:hint="default" w:ascii="Times New Roman" w:hAnsi="Times New Roman" w:cs="Times New Roman"/>
                <w:color w:val="auto"/>
                <w:spacing w:val="6"/>
                <w:sz w:val="24"/>
              </w:rPr>
              <w:t>。</w:t>
            </w:r>
          </w:p>
          <w:p w14:paraId="3DFCDBFB">
            <w:pPr>
              <w:pStyle w:val="111"/>
              <w:spacing w:line="36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表4-3    项目废水类别、污染物及污染治理设施信息一览表</w:t>
            </w:r>
          </w:p>
          <w:tbl>
            <w:tblPr>
              <w:tblStyle w:val="35"/>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2"/>
              <w:gridCol w:w="1011"/>
              <w:gridCol w:w="686"/>
              <w:gridCol w:w="841"/>
              <w:gridCol w:w="1395"/>
              <w:gridCol w:w="1378"/>
              <w:gridCol w:w="2137"/>
            </w:tblGrid>
            <w:tr w14:paraId="6CF4B1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pct"/>
                  <w:vMerge w:val="restart"/>
                  <w:tcBorders>
                    <w:tl2br w:val="nil"/>
                    <w:tr2bl w:val="nil"/>
                  </w:tcBorders>
                  <w:vAlign w:val="center"/>
                </w:tcPr>
                <w:p w14:paraId="79C6C14E">
                  <w:pPr>
                    <w:pStyle w:val="126"/>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产污节点</w:t>
                  </w:r>
                </w:p>
              </w:tc>
              <w:tc>
                <w:tcPr>
                  <w:tcW w:w="613" w:type="pct"/>
                  <w:vMerge w:val="restart"/>
                  <w:tcBorders>
                    <w:tl2br w:val="nil"/>
                    <w:tr2bl w:val="nil"/>
                  </w:tcBorders>
                  <w:vAlign w:val="center"/>
                </w:tcPr>
                <w:p w14:paraId="4C125624">
                  <w:pPr>
                    <w:pStyle w:val="126"/>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tc>
              <w:tc>
                <w:tcPr>
                  <w:tcW w:w="926" w:type="pct"/>
                  <w:gridSpan w:val="2"/>
                  <w:tcBorders>
                    <w:tl2br w:val="nil"/>
                    <w:tr2bl w:val="nil"/>
                  </w:tcBorders>
                  <w:vAlign w:val="center"/>
                </w:tcPr>
                <w:p w14:paraId="0AB34E02">
                  <w:pPr>
                    <w:pStyle w:val="126"/>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产生情况</w:t>
                  </w:r>
                </w:p>
              </w:tc>
              <w:tc>
                <w:tcPr>
                  <w:tcW w:w="846" w:type="pct"/>
                  <w:vMerge w:val="restart"/>
                  <w:tcBorders>
                    <w:tl2br w:val="nil"/>
                    <w:tr2bl w:val="nil"/>
                  </w:tcBorders>
                  <w:vAlign w:val="center"/>
                </w:tcPr>
                <w:p w14:paraId="3CD5154C">
                  <w:pPr>
                    <w:pStyle w:val="126"/>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主要污染物（mg/L）</w:t>
                  </w:r>
                </w:p>
              </w:tc>
              <w:tc>
                <w:tcPr>
                  <w:tcW w:w="836" w:type="pct"/>
                  <w:vMerge w:val="restart"/>
                  <w:tcBorders>
                    <w:tl2br w:val="nil"/>
                    <w:tr2bl w:val="nil"/>
                  </w:tcBorders>
                  <w:vAlign w:val="center"/>
                </w:tcPr>
                <w:p w14:paraId="73DBEED0">
                  <w:pPr>
                    <w:pStyle w:val="126"/>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治理措施</w:t>
                  </w:r>
                </w:p>
              </w:tc>
              <w:tc>
                <w:tcPr>
                  <w:tcW w:w="1296" w:type="pct"/>
                  <w:vMerge w:val="restart"/>
                  <w:tcBorders>
                    <w:tl2br w:val="nil"/>
                    <w:tr2bl w:val="nil"/>
                  </w:tcBorders>
                  <w:vAlign w:val="center"/>
                </w:tcPr>
                <w:p w14:paraId="3DCCF511">
                  <w:pPr>
                    <w:pStyle w:val="126"/>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排放方式及去向</w:t>
                  </w:r>
                </w:p>
              </w:tc>
            </w:tr>
            <w:tr w14:paraId="222DBC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pct"/>
                  <w:vMerge w:val="continue"/>
                  <w:tcBorders>
                    <w:tl2br w:val="nil"/>
                    <w:tr2bl w:val="nil"/>
                  </w:tcBorders>
                  <w:vAlign w:val="center"/>
                </w:tcPr>
                <w:p w14:paraId="2A0FD2E4">
                  <w:pPr>
                    <w:pStyle w:val="126"/>
                    <w:spacing w:before="0" w:after="0"/>
                    <w:rPr>
                      <w:rFonts w:hint="default" w:ascii="Times New Roman" w:hAnsi="Times New Roman" w:cs="Times New Roman"/>
                      <w:color w:val="auto"/>
                      <w:sz w:val="18"/>
                      <w:szCs w:val="18"/>
                    </w:rPr>
                  </w:pPr>
                </w:p>
              </w:tc>
              <w:tc>
                <w:tcPr>
                  <w:tcW w:w="613" w:type="pct"/>
                  <w:vMerge w:val="continue"/>
                  <w:tcBorders>
                    <w:tl2br w:val="nil"/>
                    <w:tr2bl w:val="nil"/>
                  </w:tcBorders>
                  <w:vAlign w:val="center"/>
                </w:tcPr>
                <w:p w14:paraId="135E44F6">
                  <w:pPr>
                    <w:pStyle w:val="126"/>
                    <w:spacing w:before="0" w:after="0"/>
                    <w:rPr>
                      <w:rFonts w:hint="default" w:ascii="Times New Roman" w:hAnsi="Times New Roman" w:cs="Times New Roman"/>
                      <w:color w:val="auto"/>
                      <w:sz w:val="18"/>
                      <w:szCs w:val="18"/>
                    </w:rPr>
                  </w:pPr>
                </w:p>
              </w:tc>
              <w:tc>
                <w:tcPr>
                  <w:tcW w:w="416" w:type="pct"/>
                  <w:tcBorders>
                    <w:tl2br w:val="nil"/>
                    <w:tr2bl w:val="nil"/>
                  </w:tcBorders>
                  <w:vAlign w:val="center"/>
                </w:tcPr>
                <w:p w14:paraId="12BE09F1">
                  <w:pPr>
                    <w:pStyle w:val="126"/>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/d</w:t>
                  </w:r>
                </w:p>
              </w:tc>
              <w:tc>
                <w:tcPr>
                  <w:tcW w:w="509" w:type="pct"/>
                  <w:tcBorders>
                    <w:tl2br w:val="nil"/>
                    <w:tr2bl w:val="nil"/>
                  </w:tcBorders>
                  <w:vAlign w:val="center"/>
                </w:tcPr>
                <w:p w14:paraId="22BA0DAB">
                  <w:pPr>
                    <w:pStyle w:val="126"/>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/a</w:t>
                  </w:r>
                </w:p>
              </w:tc>
              <w:tc>
                <w:tcPr>
                  <w:tcW w:w="846" w:type="pct"/>
                  <w:vMerge w:val="continue"/>
                  <w:tcBorders>
                    <w:tl2br w:val="nil"/>
                    <w:tr2bl w:val="nil"/>
                  </w:tcBorders>
                  <w:vAlign w:val="center"/>
                </w:tcPr>
                <w:p w14:paraId="65FCBAB9">
                  <w:pPr>
                    <w:pStyle w:val="126"/>
                    <w:spacing w:before="0" w:after="0"/>
                    <w:rPr>
                      <w:rFonts w:hint="default" w:ascii="Times New Roman" w:hAnsi="Times New Roman" w:cs="Times New Roman"/>
                      <w:color w:val="auto"/>
                      <w:sz w:val="18"/>
                      <w:szCs w:val="18"/>
                    </w:rPr>
                  </w:pPr>
                </w:p>
              </w:tc>
              <w:tc>
                <w:tcPr>
                  <w:tcW w:w="836" w:type="pct"/>
                  <w:vMerge w:val="continue"/>
                  <w:tcBorders>
                    <w:tl2br w:val="nil"/>
                    <w:tr2bl w:val="nil"/>
                  </w:tcBorders>
                  <w:vAlign w:val="center"/>
                </w:tcPr>
                <w:p w14:paraId="5D31E06D">
                  <w:pPr>
                    <w:pStyle w:val="126"/>
                    <w:spacing w:before="0" w:after="0"/>
                    <w:rPr>
                      <w:rFonts w:hint="default" w:ascii="Times New Roman" w:hAnsi="Times New Roman" w:cs="Times New Roman"/>
                      <w:color w:val="auto"/>
                      <w:sz w:val="18"/>
                      <w:szCs w:val="18"/>
                    </w:rPr>
                  </w:pPr>
                </w:p>
              </w:tc>
              <w:tc>
                <w:tcPr>
                  <w:tcW w:w="1296" w:type="pct"/>
                  <w:vMerge w:val="continue"/>
                  <w:tcBorders>
                    <w:tl2br w:val="nil"/>
                    <w:tr2bl w:val="nil"/>
                  </w:tcBorders>
                  <w:vAlign w:val="center"/>
                </w:tcPr>
                <w:p w14:paraId="4A21404A">
                  <w:pPr>
                    <w:pStyle w:val="126"/>
                    <w:spacing w:before="0" w:after="0"/>
                    <w:rPr>
                      <w:rFonts w:hint="default" w:ascii="Times New Roman" w:hAnsi="Times New Roman" w:cs="Times New Roman"/>
                      <w:color w:val="auto"/>
                      <w:sz w:val="18"/>
                      <w:szCs w:val="18"/>
                    </w:rPr>
                  </w:pPr>
                </w:p>
              </w:tc>
            </w:tr>
            <w:tr w14:paraId="1272B9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pct"/>
                  <w:tcBorders>
                    <w:tl2br w:val="nil"/>
                    <w:tr2bl w:val="nil"/>
                  </w:tcBorders>
                  <w:vAlign w:val="center"/>
                </w:tcPr>
                <w:p w14:paraId="2A764EEC">
                  <w:pPr>
                    <w:pStyle w:val="126"/>
                    <w:spacing w:before="0" w:after="0"/>
                    <w:rPr>
                      <w:rFonts w:hint="default" w:ascii="Times New Roman" w:hAnsi="Times New Roman" w:cs="Times New Roman"/>
                      <w:color w:val="auto"/>
                      <w:sz w:val="18"/>
                      <w:szCs w:val="18"/>
                    </w:rPr>
                  </w:pPr>
                  <w:bookmarkStart w:id="118" w:name="_Hlk220338639"/>
                  <w:r>
                    <w:rPr>
                      <w:rFonts w:hint="default" w:ascii="Times New Roman" w:hAnsi="Times New Roman" w:cs="Times New Roman"/>
                      <w:color w:val="auto"/>
                      <w:sz w:val="18"/>
                      <w:szCs w:val="18"/>
                    </w:rPr>
                    <w:t>员工日常工作</w:t>
                  </w:r>
                </w:p>
              </w:tc>
              <w:tc>
                <w:tcPr>
                  <w:tcW w:w="613" w:type="pct"/>
                  <w:tcBorders>
                    <w:tl2br w:val="nil"/>
                    <w:tr2bl w:val="nil"/>
                  </w:tcBorders>
                  <w:vAlign w:val="center"/>
                </w:tcPr>
                <w:p w14:paraId="122EF400">
                  <w:pPr>
                    <w:pStyle w:val="126"/>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生活污水</w:t>
                  </w:r>
                </w:p>
              </w:tc>
              <w:tc>
                <w:tcPr>
                  <w:tcW w:w="416" w:type="pct"/>
                  <w:tcBorders>
                    <w:tl2br w:val="nil"/>
                    <w:tr2bl w:val="nil"/>
                  </w:tcBorders>
                  <w:vAlign w:val="center"/>
                </w:tcPr>
                <w:p w14:paraId="4204C41B">
                  <w:pPr>
                    <w:pStyle w:val="126"/>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14.35</w:t>
                  </w:r>
                </w:p>
              </w:tc>
              <w:tc>
                <w:tcPr>
                  <w:tcW w:w="509" w:type="pct"/>
                  <w:tcBorders>
                    <w:tl2br w:val="nil"/>
                    <w:tr2bl w:val="nil"/>
                  </w:tcBorders>
                  <w:vAlign w:val="center"/>
                </w:tcPr>
                <w:p w14:paraId="176CBBD4">
                  <w:pPr>
                    <w:pStyle w:val="126"/>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4400</w:t>
                  </w:r>
                </w:p>
              </w:tc>
              <w:tc>
                <w:tcPr>
                  <w:tcW w:w="846" w:type="pct"/>
                  <w:tcBorders>
                    <w:tl2br w:val="nil"/>
                    <w:tr2bl w:val="nil"/>
                  </w:tcBorders>
                  <w:vAlign w:val="center"/>
                </w:tcPr>
                <w:p w14:paraId="65D8DC70">
                  <w:pPr>
                    <w:pStyle w:val="126"/>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COD、BOD</w:t>
                  </w:r>
                  <w:r>
                    <w:rPr>
                      <w:rFonts w:hint="default" w:ascii="Times New Roman" w:hAnsi="Times New Roman" w:cs="Times New Roman"/>
                      <w:color w:val="auto"/>
                      <w:sz w:val="18"/>
                      <w:szCs w:val="18"/>
                      <w:vertAlign w:val="subscript"/>
                    </w:rPr>
                    <w:t>5</w:t>
                  </w:r>
                  <w:r>
                    <w:rPr>
                      <w:rFonts w:hint="default" w:ascii="Times New Roman" w:hAnsi="Times New Roman" w:cs="Times New Roman"/>
                      <w:color w:val="auto"/>
                      <w:sz w:val="18"/>
                      <w:szCs w:val="18"/>
                    </w:rPr>
                    <w:t>、NH</w:t>
                  </w:r>
                  <w:r>
                    <w:rPr>
                      <w:rFonts w:hint="default" w:ascii="Times New Roman" w:hAnsi="Times New Roman" w:cs="Times New Roman"/>
                      <w:color w:val="auto"/>
                      <w:sz w:val="18"/>
                      <w:szCs w:val="18"/>
                      <w:vertAlign w:val="subscript"/>
                    </w:rPr>
                    <w:t>3</w:t>
                  </w:r>
                  <w:r>
                    <w:rPr>
                      <w:rFonts w:hint="default" w:ascii="Times New Roman" w:hAnsi="Times New Roman" w:cs="Times New Roman"/>
                      <w:color w:val="auto"/>
                      <w:sz w:val="18"/>
                      <w:szCs w:val="18"/>
                    </w:rPr>
                    <w:t>-N、SS、动植物油等</w:t>
                  </w:r>
                </w:p>
              </w:tc>
              <w:tc>
                <w:tcPr>
                  <w:tcW w:w="836" w:type="pct"/>
                  <w:tcBorders>
                    <w:tl2br w:val="nil"/>
                    <w:tr2bl w:val="nil"/>
                  </w:tcBorders>
                  <w:vAlign w:val="center"/>
                </w:tcPr>
                <w:p w14:paraId="3CCCB2E7">
                  <w:pPr>
                    <w:pStyle w:val="126"/>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2个化粪池（容积分别为10m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、6m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w:t>
                  </w:r>
                </w:p>
              </w:tc>
              <w:tc>
                <w:tcPr>
                  <w:tcW w:w="1296" w:type="pct"/>
                  <w:tcBorders>
                    <w:tl2br w:val="nil"/>
                    <w:tr2bl w:val="nil"/>
                  </w:tcBorders>
                  <w:vAlign w:val="center"/>
                </w:tcPr>
                <w:p w14:paraId="6AD3AC1D">
                  <w:pPr>
                    <w:pStyle w:val="126"/>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处理达《污水综合排放标准》（GB8978-1996）（表4）三级标准及《污水排入城镇下水道水质标准》（GB/T31962-2015）表1B等级标准后排入园区污水管网，最终进入园区污水处理厂处理。</w:t>
                  </w:r>
                </w:p>
              </w:tc>
            </w:tr>
            <w:bookmarkEnd w:id="118"/>
            <w:tr w14:paraId="6F0864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pct"/>
                  <w:tcBorders>
                    <w:tl2br w:val="nil"/>
                    <w:tr2bl w:val="nil"/>
                  </w:tcBorders>
                  <w:vAlign w:val="center"/>
                </w:tcPr>
                <w:p w14:paraId="712E0102">
                  <w:pPr>
                    <w:pStyle w:val="126"/>
                    <w:spacing w:before="0" w:after="0"/>
                    <w:rPr>
                      <w:rFonts w:hint="default" w:ascii="Times New Roman" w:hAnsi="Times New Roman" w:cs="Times New Roman"/>
                      <w:color w:val="auto"/>
                      <w:sz w:val="18"/>
                      <w:szCs w:val="18"/>
                    </w:rPr>
                  </w:pPr>
                  <w:bookmarkStart w:id="119" w:name="_Hlk220338664"/>
                  <w:r>
                    <w:rPr>
                      <w:rFonts w:hint="default" w:ascii="Times New Roman" w:hAnsi="Times New Roman" w:cs="Times New Roman"/>
                      <w:color w:val="auto"/>
                      <w:sz w:val="18"/>
                      <w:szCs w:val="18"/>
                    </w:rPr>
                    <w:t>冷却过程</w:t>
                  </w:r>
                </w:p>
              </w:tc>
              <w:tc>
                <w:tcPr>
                  <w:tcW w:w="613" w:type="pct"/>
                  <w:tcBorders>
                    <w:tl2br w:val="nil"/>
                    <w:tr2bl w:val="nil"/>
                  </w:tcBorders>
                  <w:vAlign w:val="center"/>
                </w:tcPr>
                <w:p w14:paraId="1BDF12C1">
                  <w:pPr>
                    <w:pStyle w:val="126"/>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产品</w:t>
                  </w:r>
                  <w:r>
                    <w:rPr>
                      <w:rFonts w:hint="default" w:ascii="Times New Roman" w:hAnsi="Times New Roman" w:cs="Times New Roman"/>
                      <w:color w:val="auto"/>
                      <w:sz w:val="18"/>
                      <w:szCs w:val="18"/>
                    </w:rPr>
                    <w:t>冷却水</w:t>
                  </w:r>
                </w:p>
              </w:tc>
              <w:tc>
                <w:tcPr>
                  <w:tcW w:w="416" w:type="pct"/>
                  <w:tcBorders>
                    <w:tl2br w:val="nil"/>
                    <w:tr2bl w:val="nil"/>
                  </w:tcBorders>
                  <w:vAlign w:val="center"/>
                </w:tcPr>
                <w:p w14:paraId="58F98CF8">
                  <w:pPr>
                    <w:pStyle w:val="126"/>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480</w:t>
                  </w:r>
                </w:p>
              </w:tc>
              <w:tc>
                <w:tcPr>
                  <w:tcW w:w="509" w:type="pct"/>
                  <w:tcBorders>
                    <w:tl2br w:val="nil"/>
                    <w:tr2bl w:val="nil"/>
                  </w:tcBorders>
                  <w:vAlign w:val="center"/>
                </w:tcPr>
                <w:p w14:paraId="1F6141B0">
                  <w:pPr>
                    <w:pStyle w:val="126"/>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846" w:type="pct"/>
                  <w:tcBorders>
                    <w:tl2br w:val="nil"/>
                    <w:tr2bl w:val="nil"/>
                  </w:tcBorders>
                  <w:vAlign w:val="center"/>
                </w:tcPr>
                <w:p w14:paraId="60B3E6D7">
                  <w:pPr>
                    <w:pStyle w:val="126"/>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SS</w:t>
                  </w:r>
                </w:p>
              </w:tc>
              <w:tc>
                <w:tcPr>
                  <w:tcW w:w="836" w:type="pct"/>
                  <w:tcBorders>
                    <w:tl2br w:val="nil"/>
                    <w:tr2bl w:val="nil"/>
                  </w:tcBorders>
                  <w:vAlign w:val="center"/>
                </w:tcPr>
                <w:p w14:paraId="770193BC">
                  <w:pPr>
                    <w:pStyle w:val="126"/>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1个600m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的浊循环水池</w:t>
                  </w:r>
                </w:p>
              </w:tc>
              <w:tc>
                <w:tcPr>
                  <w:tcW w:w="1296" w:type="pct"/>
                  <w:tcBorders>
                    <w:tl2br w:val="nil"/>
                    <w:tr2bl w:val="nil"/>
                  </w:tcBorders>
                  <w:vAlign w:val="center"/>
                </w:tcPr>
                <w:p w14:paraId="303BB800">
                  <w:pPr>
                    <w:pStyle w:val="126"/>
                    <w:spacing w:before="0" w:after="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经冷却后循环使用，定期补充新鲜水，不外排。</w:t>
                  </w:r>
                </w:p>
              </w:tc>
            </w:tr>
            <w:bookmarkEnd w:id="119"/>
          </w:tbl>
          <w:p w14:paraId="54E2807F">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2.2项目废水处理达标性及可行性分析</w:t>
            </w:r>
          </w:p>
          <w:p w14:paraId="106858C3">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2.2.1生产废水回用的可行性</w:t>
            </w:r>
          </w:p>
          <w:p w14:paraId="0E21F56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项目生产用水主要是</w:t>
            </w:r>
            <w:r>
              <w:rPr>
                <w:rFonts w:hint="default" w:ascii="Times New Roman" w:hAnsi="Times New Roman" w:cs="Times New Roman"/>
                <w:color w:val="auto"/>
                <w:sz w:val="24"/>
                <w:lang w:val="en-US" w:eastAsia="zh-CN"/>
              </w:rPr>
              <w:t>产品</w:t>
            </w:r>
            <w:r>
              <w:rPr>
                <w:rFonts w:hint="default" w:ascii="Times New Roman" w:hAnsi="Times New Roman" w:cs="Times New Roman"/>
                <w:color w:val="auto"/>
                <w:sz w:val="24"/>
              </w:rPr>
              <w:t>冷却用水，为直接冷却废水，项目浊循环水采用沉淀处理水中的悬浮物，降低对设备的影响，项目浊循环水处理可行，废水循环使用，不会对地表水产生影响。</w:t>
            </w:r>
          </w:p>
          <w:p w14:paraId="47D02B9C">
            <w:pPr>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综上，本项目生产废水均能循环使用，不外排。</w:t>
            </w:r>
          </w:p>
          <w:p w14:paraId="1825EC8C">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2.2.2生活污水外排污水处理厂可行性分析</w:t>
            </w:r>
          </w:p>
          <w:p w14:paraId="01F0676B">
            <w:pPr>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（1）化粪池设置的合理性分析</w:t>
            </w:r>
          </w:p>
          <w:p w14:paraId="7EBC1BF4">
            <w:pPr>
              <w:pStyle w:val="100"/>
              <w:ind w:firstLine="480"/>
              <w:rPr>
                <w:rFonts w:hint="default" w:ascii="Times New Roman" w:hAnsi="Times New Roman" w:cs="Times New Roman"/>
                <w:color w:val="auto"/>
              </w:rPr>
            </w:pPr>
            <w:r>
              <w:rPr>
                <w:rFonts w:hint="default" w:ascii="Times New Roman" w:hAnsi="Times New Roman" w:cs="Times New Roman"/>
                <w:color w:val="auto"/>
              </w:rPr>
              <w:t>本项目建成后全厂生活污水产生量合计为14.35m</w:t>
            </w:r>
            <w:r>
              <w:rPr>
                <w:rFonts w:hint="default" w:ascii="Times New Roman" w:hAnsi="Times New Roman" w:cs="Times New Roman"/>
                <w:color w:val="auto"/>
                <w:vertAlign w:val="superscript"/>
              </w:rPr>
              <w:t>3</w:t>
            </w:r>
            <w:r>
              <w:rPr>
                <w:rFonts w:hint="default" w:ascii="Times New Roman" w:hAnsi="Times New Roman" w:cs="Times New Roman"/>
                <w:color w:val="auto"/>
              </w:rPr>
              <w:t>/d，现厂区内已建设了1个10m</w:t>
            </w:r>
            <w:r>
              <w:rPr>
                <w:rFonts w:hint="default" w:ascii="Times New Roman" w:hAnsi="Times New Roman" w:cs="Times New Roman"/>
                <w:color w:val="auto"/>
                <w:vertAlign w:val="superscript"/>
              </w:rPr>
              <w:t>3</w:t>
            </w:r>
            <w:r>
              <w:rPr>
                <w:rFonts w:hint="default" w:ascii="Times New Roman" w:hAnsi="Times New Roman" w:cs="Times New Roman"/>
                <w:color w:val="auto"/>
              </w:rPr>
              <w:t>的化粪池，本环评提出新建1个6m</w:t>
            </w:r>
            <w:r>
              <w:rPr>
                <w:rFonts w:hint="default" w:ascii="Times New Roman" w:hAnsi="Times New Roman" w:cs="Times New Roman"/>
                <w:color w:val="auto"/>
                <w:vertAlign w:val="superscript"/>
              </w:rPr>
              <w:t>3</w:t>
            </w:r>
            <w:r>
              <w:rPr>
                <w:rFonts w:hint="default" w:ascii="Times New Roman" w:hAnsi="Times New Roman" w:cs="Times New Roman"/>
                <w:color w:val="auto"/>
              </w:rPr>
              <w:t>的化粪池对生活污水进行预处理，化粪池容积合计为16m</w:t>
            </w:r>
            <w:r>
              <w:rPr>
                <w:rFonts w:hint="default" w:ascii="Times New Roman" w:hAnsi="Times New Roman" w:cs="Times New Roman"/>
                <w:color w:val="auto"/>
                <w:vertAlign w:val="superscript"/>
              </w:rPr>
              <w:t>3</w:t>
            </w:r>
            <w:r>
              <w:rPr>
                <w:rFonts w:hint="default" w:ascii="Times New Roman" w:hAnsi="Times New Roman" w:cs="Times New Roman"/>
                <w:color w:val="auto"/>
              </w:rPr>
              <w:t>，满足生活污水在化粪池中停留24h以上的要求，因此，现有的化粪池容积满足要求。</w:t>
            </w:r>
          </w:p>
          <w:p w14:paraId="118966AB">
            <w:pPr>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（2）接入园区污水处理厂的可行性</w:t>
            </w:r>
          </w:p>
          <w:p w14:paraId="5F345E73">
            <w:pPr>
              <w:pStyle w:val="13"/>
              <w:widowControl w:val="0"/>
              <w:adjustRightInd w:val="0"/>
              <w:spacing w:before="0" w:after="0" w:line="360" w:lineRule="auto"/>
              <w:ind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生活污水经化粪池预处理后经园区污水管网排放园区污水处理厂进行处理。园区建设有污水处理厂一座，位于云南通海产业园区里山片区，项目区北侧，距离本项目区约500m，项目区周边污水管网已建成，项目生活污水能够经污水管网进入通海县五金产业园区生活污水处理厂进行处理，生活污水处理厂于2017年8月投入运行，处理规模是5000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/d，目前接纳的生活污水约2000m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/d，本项目生活污水产生量是6.35m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通海县五金产业园区生活污水处理厂能容纳本项目生活污水。同时根据类比其他项目，生活污水经化粪池处理后的水质可满足《污水综合排放标准》（GB8978-1996）（表4）三级标准及《污水排入城镇下水道水质标准》（GB/T31962-2015）表1B等级标准。因此项目生活污水排入该污水处理厂处理是可行的。</w:t>
            </w:r>
          </w:p>
          <w:p w14:paraId="771841AF">
            <w:pPr>
              <w:pStyle w:val="18"/>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综上分析，项目的生活污水处置是可行的。</w:t>
            </w:r>
          </w:p>
          <w:p w14:paraId="789CC397">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2.4监测要求</w:t>
            </w:r>
          </w:p>
          <w:p w14:paraId="5F22287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本项目生产废水循环回用，不外排，不进行监测。生活污水经化粪池预处理后排污园区污水处理厂，根据《排污许可证申请与核发技术规范  钢铁工业》（HJ846-2017）中的7.3.3.2：单独排入城镇集中污水处理设施的生活污水不需监测；因此本项目废水无需开展自行监测。</w:t>
            </w:r>
          </w:p>
          <w:p w14:paraId="3108832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本环评要求建设单位在验收时委托有资质的单位对生活污水排放口进行监测，具体监测项目及监测频率如下：</w:t>
            </w:r>
          </w:p>
          <w:p w14:paraId="2E9C160F">
            <w:pPr>
              <w:pStyle w:val="111"/>
              <w:spacing w:line="36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表4-4   废水验收监测计划表</w:t>
            </w:r>
          </w:p>
          <w:tbl>
            <w:tblPr>
              <w:tblStyle w:val="35"/>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7"/>
              <w:gridCol w:w="2075"/>
              <w:gridCol w:w="892"/>
              <w:gridCol w:w="3233"/>
            </w:tblGrid>
            <w:tr w14:paraId="1B634B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6" w:type="pct"/>
                  <w:tcBorders>
                    <w:tl2br w:val="nil"/>
                    <w:tr2bl w:val="nil"/>
                  </w:tcBorders>
                  <w:vAlign w:val="center"/>
                </w:tcPr>
                <w:p w14:paraId="3506FB5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监测点位</w:t>
                  </w:r>
                </w:p>
              </w:tc>
              <w:tc>
                <w:tcPr>
                  <w:tcW w:w="1259" w:type="pct"/>
                  <w:tcBorders>
                    <w:tl2br w:val="nil"/>
                    <w:tr2bl w:val="nil"/>
                  </w:tcBorders>
                  <w:vAlign w:val="center"/>
                </w:tcPr>
                <w:p w14:paraId="67E513C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监测项目</w:t>
                  </w:r>
                </w:p>
              </w:tc>
              <w:tc>
                <w:tcPr>
                  <w:tcW w:w="541" w:type="pct"/>
                  <w:tcBorders>
                    <w:tl2br w:val="nil"/>
                    <w:tr2bl w:val="nil"/>
                  </w:tcBorders>
                  <w:vAlign w:val="center"/>
                </w:tcPr>
                <w:p w14:paraId="5A352EC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监测频率</w:t>
                  </w:r>
                </w:p>
              </w:tc>
              <w:tc>
                <w:tcPr>
                  <w:tcW w:w="1962" w:type="pct"/>
                  <w:tcBorders>
                    <w:tl2br w:val="nil"/>
                    <w:tr2bl w:val="nil"/>
                  </w:tcBorders>
                  <w:vAlign w:val="center"/>
                </w:tcPr>
                <w:p w14:paraId="454FA46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执行标准</w:t>
                  </w:r>
                </w:p>
              </w:tc>
            </w:tr>
            <w:tr w14:paraId="7AD5B6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6" w:type="pct"/>
                  <w:tcBorders>
                    <w:tl2br w:val="nil"/>
                    <w:tr2bl w:val="nil"/>
                  </w:tcBorders>
                  <w:vAlign w:val="center"/>
                </w:tcPr>
                <w:p w14:paraId="4B53606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化粪池排口（WD001）</w:t>
                  </w:r>
                </w:p>
              </w:tc>
              <w:tc>
                <w:tcPr>
                  <w:tcW w:w="1259" w:type="pct"/>
                  <w:tcBorders>
                    <w:tl2br w:val="nil"/>
                    <w:tr2bl w:val="nil"/>
                  </w:tcBorders>
                  <w:vAlign w:val="center"/>
                </w:tcPr>
                <w:p w14:paraId="58A674D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CODcr、BOD</w:t>
                  </w:r>
                  <w:r>
                    <w:rPr>
                      <w:rFonts w:hint="default" w:ascii="Times New Roman" w:hAnsi="Times New Roman" w:cs="Times New Roman"/>
                      <w:color w:val="auto"/>
                      <w:sz w:val="18"/>
                      <w:szCs w:val="18"/>
                      <w:vertAlign w:val="subscript"/>
                    </w:rPr>
                    <w:t>5</w:t>
                  </w:r>
                  <w:r>
                    <w:rPr>
                      <w:rFonts w:hint="default" w:ascii="Times New Roman" w:hAnsi="Times New Roman" w:cs="Times New Roman"/>
                      <w:color w:val="auto"/>
                      <w:sz w:val="18"/>
                      <w:szCs w:val="18"/>
                    </w:rPr>
                    <w:t>、SS、动植物油、</w:t>
                  </w:r>
                  <w:r>
                    <w:rPr>
                      <w:rFonts w:hint="default" w:ascii="Times New Roman" w:hAnsi="Times New Roman" w:cs="Times New Roman"/>
                      <w:color w:val="auto"/>
                      <w:sz w:val="18"/>
                      <w:szCs w:val="18"/>
                      <w:lang w:val="zh-CN"/>
                    </w:rPr>
                    <w:t>NH</w:t>
                  </w:r>
                  <w:r>
                    <w:rPr>
                      <w:rFonts w:hint="default" w:ascii="Times New Roman" w:hAnsi="Times New Roman" w:cs="Times New Roman"/>
                      <w:color w:val="auto"/>
                      <w:sz w:val="18"/>
                      <w:szCs w:val="18"/>
                      <w:vertAlign w:val="subscript"/>
                      <w:lang w:val="zh-CN"/>
                    </w:rPr>
                    <w:t>3</w:t>
                  </w:r>
                  <w:r>
                    <w:rPr>
                      <w:rFonts w:hint="default" w:ascii="Times New Roman" w:hAnsi="Times New Roman" w:cs="Times New Roman"/>
                      <w:color w:val="auto"/>
                      <w:sz w:val="18"/>
                      <w:szCs w:val="18"/>
                      <w:lang w:val="zh-CN"/>
                    </w:rPr>
                    <w:t>-N、</w:t>
                  </w:r>
                  <w:r>
                    <w:rPr>
                      <w:rFonts w:hint="default" w:ascii="Times New Roman" w:hAnsi="Times New Roman" w:cs="Times New Roman"/>
                      <w:color w:val="auto"/>
                      <w:sz w:val="18"/>
                      <w:szCs w:val="18"/>
                    </w:rPr>
                    <w:t>TP</w:t>
                  </w:r>
                </w:p>
              </w:tc>
              <w:tc>
                <w:tcPr>
                  <w:tcW w:w="541" w:type="pct"/>
                  <w:tcBorders>
                    <w:tl2br w:val="nil"/>
                    <w:tr2bl w:val="nil"/>
                  </w:tcBorders>
                  <w:vAlign w:val="center"/>
                </w:tcPr>
                <w:p w14:paraId="04DDF82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连续监测2天，每天3次</w:t>
                  </w:r>
                </w:p>
              </w:tc>
              <w:tc>
                <w:tcPr>
                  <w:tcW w:w="1962" w:type="pct"/>
                  <w:tcBorders>
                    <w:tl2br w:val="nil"/>
                    <w:tr2bl w:val="nil"/>
                  </w:tcBorders>
                  <w:vAlign w:val="center"/>
                </w:tcPr>
                <w:p w14:paraId="5286075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《污水综合排放标准》（GB8978-1996）（表4）三级标准及《污水排入城镇下水道水质标准》（GB/T31962-2015）表1B等级标准。</w:t>
                  </w:r>
                </w:p>
              </w:tc>
            </w:tr>
          </w:tbl>
          <w:p w14:paraId="73C666E5">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2.5结论</w:t>
            </w:r>
          </w:p>
          <w:p w14:paraId="1D6653B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综上分析，项目产生的废水均可得到合理处置，运行后对周边的地表水环境影响较小。</w:t>
            </w:r>
          </w:p>
          <w:p w14:paraId="79A60B9C">
            <w:pPr>
              <w:adjustRightInd w:val="0"/>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3、噪声</w:t>
            </w:r>
          </w:p>
          <w:p w14:paraId="72185D19">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3.1噪声源</w:t>
            </w:r>
          </w:p>
          <w:p w14:paraId="2BB88AF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本项目噪声源设备有</w:t>
            </w:r>
            <w:bookmarkStart w:id="120" w:name="_Hlk220338766"/>
            <w:r>
              <w:rPr>
                <w:rFonts w:hint="default" w:ascii="Times New Roman" w:hAnsi="Times New Roman" w:cs="Times New Roman"/>
                <w:color w:val="auto"/>
                <w:sz w:val="24"/>
              </w:rPr>
              <w:t>液压剪、感应加热炉、穿孔机、3辊精密减定径机、链式冷床、9辊无缝管专用校直机、切头去尾带锯、水泵、永磁变频空压机</w:t>
            </w:r>
            <w:bookmarkEnd w:id="120"/>
            <w:r>
              <w:rPr>
                <w:rFonts w:hint="default" w:ascii="Times New Roman" w:hAnsi="Times New Roman" w:cs="Times New Roman"/>
                <w:color w:val="auto"/>
                <w:sz w:val="24"/>
              </w:rPr>
              <w:t>等，噪声源强度约85～100dB（A）之间，生产过程中对机械动力性噪声，采取消声、减振措施，由于其高频高强的特性，在噪声的传播过程中容易衰减，且易受厂房、墙体、植被的吸收和阻隔，因此，对动力性等高噪设备采用减震、封闭式厂房隔音等措施具有较好的降噪效果。</w:t>
            </w:r>
          </w:p>
          <w:p w14:paraId="61B8A59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消声器一般可降低噪声10~15dB(A），机械性噪声利用封闭厂房则可以使噪声在传播过程中衰减，一般封闭厂房可降低噪声15~20dB(A），同时在车间外和厂区空地采用植物屏障和吸纳等措施，可降噪2~5dB(A）。</w:t>
            </w:r>
          </w:p>
          <w:p w14:paraId="03B6372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本项目噪声源均为室内，具体见下表：</w:t>
            </w:r>
          </w:p>
          <w:p w14:paraId="006D9E38">
            <w:pPr>
              <w:pStyle w:val="111"/>
              <w:spacing w:line="36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表4-5    工业企业噪声源强调查清单（室内声源）</w:t>
            </w:r>
          </w:p>
          <w:tbl>
            <w:tblPr>
              <w:tblStyle w:val="35"/>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5"/>
              <w:gridCol w:w="391"/>
              <w:gridCol w:w="964"/>
              <w:gridCol w:w="529"/>
              <w:gridCol w:w="1210"/>
              <w:gridCol w:w="534"/>
              <w:gridCol w:w="534"/>
              <w:gridCol w:w="546"/>
              <w:gridCol w:w="534"/>
              <w:gridCol w:w="542"/>
              <w:gridCol w:w="516"/>
              <w:gridCol w:w="516"/>
              <w:gridCol w:w="516"/>
              <w:gridCol w:w="516"/>
            </w:tblGrid>
            <w:tr w14:paraId="294178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vMerge w:val="restart"/>
                  <w:tcBorders>
                    <w:tl2br w:val="nil"/>
                    <w:tr2bl w:val="nil"/>
                  </w:tcBorders>
                  <w:vAlign w:val="center"/>
                </w:tcPr>
                <w:p w14:paraId="7E44A41A">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序号</w:t>
                  </w:r>
                </w:p>
              </w:tc>
              <w:tc>
                <w:tcPr>
                  <w:tcW w:w="237" w:type="pct"/>
                  <w:vMerge w:val="restart"/>
                  <w:tcBorders>
                    <w:tl2br w:val="nil"/>
                    <w:tr2bl w:val="nil"/>
                  </w:tcBorders>
                  <w:vAlign w:val="center"/>
                </w:tcPr>
                <w:p w14:paraId="29BAD5D6">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建筑名称</w:t>
                  </w:r>
                </w:p>
              </w:tc>
              <w:tc>
                <w:tcPr>
                  <w:tcW w:w="585" w:type="pct"/>
                  <w:vMerge w:val="restart"/>
                  <w:tcBorders>
                    <w:tl2br w:val="nil"/>
                    <w:tr2bl w:val="nil"/>
                  </w:tcBorders>
                  <w:vAlign w:val="center"/>
                </w:tcPr>
                <w:p w14:paraId="27398922">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声源名称</w:t>
                  </w:r>
                </w:p>
              </w:tc>
              <w:tc>
                <w:tcPr>
                  <w:tcW w:w="321" w:type="pct"/>
                  <w:vMerge w:val="restart"/>
                  <w:tcBorders>
                    <w:tl2br w:val="nil"/>
                    <w:tr2bl w:val="nil"/>
                  </w:tcBorders>
                  <w:vAlign w:val="center"/>
                </w:tcPr>
                <w:p w14:paraId="0ADD215E">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声源源强dB(A)</w:t>
                  </w:r>
                </w:p>
              </w:tc>
              <w:tc>
                <w:tcPr>
                  <w:tcW w:w="734" w:type="pct"/>
                  <w:vMerge w:val="restart"/>
                  <w:tcBorders>
                    <w:tl2br w:val="nil"/>
                    <w:tr2bl w:val="nil"/>
                  </w:tcBorders>
                  <w:vAlign w:val="center"/>
                </w:tcPr>
                <w:p w14:paraId="2D3D3A06">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声源控制措施</w:t>
                  </w:r>
                </w:p>
              </w:tc>
              <w:tc>
                <w:tcPr>
                  <w:tcW w:w="979" w:type="pct"/>
                  <w:gridSpan w:val="3"/>
                  <w:tcBorders>
                    <w:tl2br w:val="nil"/>
                    <w:tr2bl w:val="nil"/>
                  </w:tcBorders>
                  <w:vAlign w:val="center"/>
                </w:tcPr>
                <w:p w14:paraId="2D07B31D">
                  <w:pPr>
                    <w:widowControl/>
                    <w:adjustRightInd w:val="0"/>
                    <w:snapToGrid w:val="0"/>
                    <w:jc w:val="center"/>
                    <w:textAlignment w:val="center"/>
                    <w:rPr>
                      <w:rFonts w:hint="default" w:ascii="Times New Roman" w:hAnsi="Times New Roman" w:cs="Times New Roman"/>
                      <w:color w:val="auto"/>
                      <w:kern w:val="0"/>
                      <w:sz w:val="18"/>
                      <w:szCs w:val="18"/>
                    </w:rPr>
                  </w:pPr>
                  <w:r>
                    <w:rPr>
                      <w:rFonts w:hint="default" w:ascii="Times New Roman" w:hAnsi="Times New Roman" w:cs="Times New Roman" w:eastAsiaTheme="minorEastAsia"/>
                      <w:color w:val="auto"/>
                      <w:sz w:val="18"/>
                      <w:szCs w:val="18"/>
                    </w:rPr>
                    <w:t>空间相对位置/m</w:t>
                  </w:r>
                </w:p>
              </w:tc>
              <w:tc>
                <w:tcPr>
                  <w:tcW w:w="324" w:type="pct"/>
                  <w:vMerge w:val="restart"/>
                  <w:tcBorders>
                    <w:tl2br w:val="nil"/>
                    <w:tr2bl w:val="nil"/>
                  </w:tcBorders>
                  <w:vAlign w:val="center"/>
                </w:tcPr>
                <w:p w14:paraId="31650AD3">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距室内边界距离（m）</w:t>
                  </w:r>
                </w:p>
              </w:tc>
              <w:tc>
                <w:tcPr>
                  <w:tcW w:w="329" w:type="pct"/>
                  <w:vMerge w:val="restart"/>
                  <w:tcBorders>
                    <w:tl2br w:val="nil"/>
                    <w:tr2bl w:val="nil"/>
                  </w:tcBorders>
                  <w:vAlign w:val="center"/>
                </w:tcPr>
                <w:p w14:paraId="532D8261">
                  <w:pPr>
                    <w:widowControl/>
                    <w:adjustRightInd w:val="0"/>
                    <w:snapToGrid w:val="0"/>
                    <w:jc w:val="center"/>
                    <w:textAlignment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室内边界声级</w:t>
                  </w:r>
                </w:p>
                <w:p w14:paraId="7FDD3075">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/dB(A)</w:t>
                  </w:r>
                </w:p>
              </w:tc>
              <w:tc>
                <w:tcPr>
                  <w:tcW w:w="313" w:type="pct"/>
                  <w:vMerge w:val="restart"/>
                  <w:tcBorders>
                    <w:tl2br w:val="nil"/>
                    <w:tr2bl w:val="nil"/>
                  </w:tcBorders>
                  <w:vAlign w:val="center"/>
                </w:tcPr>
                <w:p w14:paraId="5AC67BC1">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运行时段</w:t>
                  </w:r>
                </w:p>
              </w:tc>
              <w:tc>
                <w:tcPr>
                  <w:tcW w:w="313" w:type="pct"/>
                  <w:vMerge w:val="restart"/>
                  <w:tcBorders>
                    <w:tl2br w:val="nil"/>
                    <w:tr2bl w:val="nil"/>
                  </w:tcBorders>
                  <w:vAlign w:val="center"/>
                </w:tcPr>
                <w:p w14:paraId="096755D7">
                  <w:pPr>
                    <w:widowControl/>
                    <w:adjustRightInd w:val="0"/>
                    <w:snapToGrid w:val="0"/>
                    <w:jc w:val="center"/>
                    <w:textAlignment w:val="center"/>
                    <w:rPr>
                      <w:rFonts w:hint="default" w:ascii="Times New Roman" w:hAnsi="Times New Roman" w:cs="Times New Roman"/>
                      <w:color w:val="auto"/>
                      <w:kern w:val="0"/>
                      <w:sz w:val="18"/>
                      <w:szCs w:val="18"/>
                    </w:rPr>
                  </w:pPr>
                  <w:r>
                    <w:rPr>
                      <w:rFonts w:hint="default" w:ascii="Times New Roman" w:hAnsi="Times New Roman" w:cs="Times New Roman" w:eastAsiaTheme="minorEastAsia"/>
                      <w:color w:val="auto"/>
                      <w:sz w:val="18"/>
                      <w:szCs w:val="18"/>
                    </w:rPr>
                    <w:t>建筑物插入损失/dB(A)</w:t>
                  </w:r>
                </w:p>
              </w:tc>
              <w:tc>
                <w:tcPr>
                  <w:tcW w:w="626" w:type="pct"/>
                  <w:gridSpan w:val="2"/>
                  <w:tcBorders>
                    <w:tl2br w:val="nil"/>
                    <w:tr2bl w:val="nil"/>
                  </w:tcBorders>
                  <w:vAlign w:val="center"/>
                </w:tcPr>
                <w:p w14:paraId="1A008C6C">
                  <w:pPr>
                    <w:widowControl/>
                    <w:adjustRightInd w:val="0"/>
                    <w:snapToGrid w:val="0"/>
                    <w:jc w:val="center"/>
                    <w:textAlignment w:val="center"/>
                    <w:rPr>
                      <w:rFonts w:hint="default" w:ascii="Times New Roman" w:hAnsi="Times New Roman" w:cs="Times New Roman"/>
                      <w:color w:val="auto"/>
                      <w:kern w:val="0"/>
                      <w:sz w:val="18"/>
                      <w:szCs w:val="18"/>
                    </w:rPr>
                  </w:pPr>
                  <w:r>
                    <w:rPr>
                      <w:rFonts w:hint="default" w:ascii="Times New Roman" w:hAnsi="Times New Roman" w:cs="Times New Roman" w:eastAsiaTheme="minorEastAsia"/>
                      <w:color w:val="auto"/>
                      <w:sz w:val="18"/>
                      <w:szCs w:val="18"/>
                    </w:rPr>
                    <w:t>建筑物外噪声</w:t>
                  </w:r>
                </w:p>
              </w:tc>
            </w:tr>
            <w:tr w14:paraId="5B77AE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vMerge w:val="continue"/>
                  <w:tcBorders>
                    <w:tl2br w:val="nil"/>
                    <w:tr2bl w:val="nil"/>
                  </w:tcBorders>
                  <w:vAlign w:val="center"/>
                </w:tcPr>
                <w:p w14:paraId="32642204">
                  <w:pPr>
                    <w:widowControl/>
                    <w:adjustRightInd w:val="0"/>
                    <w:snapToGrid w:val="0"/>
                    <w:jc w:val="center"/>
                    <w:textAlignment w:val="center"/>
                    <w:rPr>
                      <w:rFonts w:hint="default" w:ascii="Times New Roman" w:hAnsi="Times New Roman" w:cs="Times New Roman"/>
                      <w:color w:val="auto"/>
                      <w:sz w:val="18"/>
                      <w:szCs w:val="18"/>
                    </w:rPr>
                  </w:pPr>
                </w:p>
              </w:tc>
              <w:tc>
                <w:tcPr>
                  <w:tcW w:w="237" w:type="pct"/>
                  <w:vMerge w:val="continue"/>
                  <w:tcBorders>
                    <w:tl2br w:val="nil"/>
                    <w:tr2bl w:val="nil"/>
                  </w:tcBorders>
                  <w:vAlign w:val="center"/>
                </w:tcPr>
                <w:p w14:paraId="6CE3F9B4">
                  <w:pPr>
                    <w:widowControl/>
                    <w:adjustRightInd w:val="0"/>
                    <w:snapToGrid w:val="0"/>
                    <w:jc w:val="center"/>
                    <w:textAlignment w:val="center"/>
                    <w:rPr>
                      <w:rFonts w:hint="default" w:ascii="Times New Roman" w:hAnsi="Times New Roman" w:cs="Times New Roman"/>
                      <w:color w:val="auto"/>
                      <w:sz w:val="18"/>
                      <w:szCs w:val="18"/>
                    </w:rPr>
                  </w:pPr>
                </w:p>
              </w:tc>
              <w:tc>
                <w:tcPr>
                  <w:tcW w:w="585" w:type="pct"/>
                  <w:vMerge w:val="continue"/>
                  <w:tcBorders>
                    <w:tl2br w:val="nil"/>
                    <w:tr2bl w:val="nil"/>
                  </w:tcBorders>
                  <w:vAlign w:val="center"/>
                </w:tcPr>
                <w:p w14:paraId="21B8EF5E">
                  <w:pPr>
                    <w:widowControl/>
                    <w:adjustRightInd w:val="0"/>
                    <w:snapToGrid w:val="0"/>
                    <w:jc w:val="center"/>
                    <w:textAlignment w:val="center"/>
                    <w:rPr>
                      <w:rFonts w:hint="default" w:ascii="Times New Roman" w:hAnsi="Times New Roman" w:cs="Times New Roman"/>
                      <w:color w:val="auto"/>
                      <w:sz w:val="18"/>
                      <w:szCs w:val="18"/>
                    </w:rPr>
                  </w:pPr>
                </w:p>
              </w:tc>
              <w:tc>
                <w:tcPr>
                  <w:tcW w:w="321" w:type="pct"/>
                  <w:vMerge w:val="continue"/>
                  <w:tcBorders>
                    <w:tl2br w:val="nil"/>
                    <w:tr2bl w:val="nil"/>
                  </w:tcBorders>
                  <w:vAlign w:val="center"/>
                </w:tcPr>
                <w:p w14:paraId="5393FF7C">
                  <w:pPr>
                    <w:widowControl/>
                    <w:adjustRightInd w:val="0"/>
                    <w:snapToGrid w:val="0"/>
                    <w:jc w:val="center"/>
                    <w:textAlignment w:val="center"/>
                    <w:rPr>
                      <w:rFonts w:hint="default" w:ascii="Times New Roman" w:hAnsi="Times New Roman" w:cs="Times New Roman"/>
                      <w:color w:val="auto"/>
                      <w:sz w:val="18"/>
                      <w:szCs w:val="18"/>
                    </w:rPr>
                  </w:pPr>
                </w:p>
              </w:tc>
              <w:tc>
                <w:tcPr>
                  <w:tcW w:w="734" w:type="pct"/>
                  <w:vMerge w:val="continue"/>
                  <w:tcBorders>
                    <w:tl2br w:val="nil"/>
                    <w:tr2bl w:val="nil"/>
                  </w:tcBorders>
                  <w:vAlign w:val="center"/>
                </w:tcPr>
                <w:p w14:paraId="69EE6B10">
                  <w:pPr>
                    <w:widowControl/>
                    <w:adjustRightInd w:val="0"/>
                    <w:snapToGrid w:val="0"/>
                    <w:jc w:val="center"/>
                    <w:textAlignment w:val="center"/>
                    <w:rPr>
                      <w:rFonts w:hint="default" w:ascii="Times New Roman" w:hAnsi="Times New Roman" w:cs="Times New Roman"/>
                      <w:color w:val="auto"/>
                      <w:sz w:val="18"/>
                      <w:szCs w:val="18"/>
                    </w:rPr>
                  </w:pPr>
                </w:p>
              </w:tc>
              <w:tc>
                <w:tcPr>
                  <w:tcW w:w="324" w:type="pct"/>
                  <w:tcBorders>
                    <w:tl2br w:val="nil"/>
                    <w:tr2bl w:val="nil"/>
                  </w:tcBorders>
                  <w:vAlign w:val="center"/>
                </w:tcPr>
                <w:p w14:paraId="67AB625A">
                  <w:pPr>
                    <w:pStyle w:val="13"/>
                    <w:adjustRightInd w:val="0"/>
                    <w:spacing w:before="0" w:after="0" w:line="240" w:lineRule="auto"/>
                    <w:ind w:right="0"/>
                    <w:jc w:val="center"/>
                    <w:rPr>
                      <w:rFonts w:hint="default" w:ascii="Times New Roman" w:hAnsi="Times New Roman" w:cs="Times New Roman"/>
                      <w:color w:val="auto"/>
                      <w:szCs w:val="18"/>
                    </w:rPr>
                  </w:pPr>
                  <w:r>
                    <w:rPr>
                      <w:rFonts w:hint="default" w:ascii="Times New Roman" w:hAnsi="Times New Roman" w:cs="Times New Roman" w:eastAsiaTheme="minorEastAsia"/>
                      <w:color w:val="auto"/>
                      <w:szCs w:val="18"/>
                    </w:rPr>
                    <w:t>X</w:t>
                  </w:r>
                </w:p>
              </w:tc>
              <w:tc>
                <w:tcPr>
                  <w:tcW w:w="324" w:type="pct"/>
                  <w:tcBorders>
                    <w:tl2br w:val="nil"/>
                    <w:tr2bl w:val="nil"/>
                  </w:tcBorders>
                  <w:vAlign w:val="center"/>
                </w:tcPr>
                <w:p w14:paraId="5E8CF2F9">
                  <w:pPr>
                    <w:pStyle w:val="13"/>
                    <w:adjustRightInd w:val="0"/>
                    <w:spacing w:before="0" w:after="0" w:line="240" w:lineRule="auto"/>
                    <w:ind w:right="0"/>
                    <w:jc w:val="center"/>
                    <w:rPr>
                      <w:rFonts w:hint="default" w:ascii="Times New Roman" w:hAnsi="Times New Roman" w:cs="Times New Roman"/>
                      <w:color w:val="auto"/>
                      <w:szCs w:val="18"/>
                    </w:rPr>
                  </w:pPr>
                  <w:r>
                    <w:rPr>
                      <w:rFonts w:hint="default" w:ascii="Times New Roman" w:hAnsi="Times New Roman" w:cs="Times New Roman" w:eastAsiaTheme="minorEastAsia"/>
                      <w:color w:val="auto"/>
                      <w:szCs w:val="18"/>
                    </w:rPr>
                    <w:t>Y</w:t>
                  </w:r>
                </w:p>
              </w:tc>
              <w:tc>
                <w:tcPr>
                  <w:tcW w:w="330" w:type="pct"/>
                  <w:tcBorders>
                    <w:tl2br w:val="nil"/>
                    <w:tr2bl w:val="nil"/>
                  </w:tcBorders>
                  <w:vAlign w:val="center"/>
                </w:tcPr>
                <w:p w14:paraId="5B6C27A5">
                  <w:pPr>
                    <w:pStyle w:val="13"/>
                    <w:adjustRightInd w:val="0"/>
                    <w:spacing w:before="0" w:after="0" w:line="240" w:lineRule="auto"/>
                    <w:ind w:right="0"/>
                    <w:jc w:val="center"/>
                    <w:rPr>
                      <w:rFonts w:hint="default" w:ascii="Times New Roman" w:hAnsi="Times New Roman" w:cs="Times New Roman"/>
                      <w:color w:val="auto"/>
                      <w:szCs w:val="18"/>
                    </w:rPr>
                  </w:pPr>
                  <w:r>
                    <w:rPr>
                      <w:rFonts w:hint="default" w:ascii="Times New Roman" w:hAnsi="Times New Roman" w:cs="Times New Roman" w:eastAsiaTheme="minorEastAsia"/>
                      <w:color w:val="auto"/>
                      <w:szCs w:val="18"/>
                    </w:rPr>
                    <w:t>Z</w:t>
                  </w:r>
                </w:p>
              </w:tc>
              <w:tc>
                <w:tcPr>
                  <w:tcW w:w="324" w:type="pct"/>
                  <w:vMerge w:val="continue"/>
                  <w:tcBorders>
                    <w:tl2br w:val="nil"/>
                    <w:tr2bl w:val="nil"/>
                  </w:tcBorders>
                  <w:vAlign w:val="center"/>
                </w:tcPr>
                <w:p w14:paraId="314D7EE1">
                  <w:pPr>
                    <w:widowControl/>
                    <w:adjustRightInd w:val="0"/>
                    <w:snapToGrid w:val="0"/>
                    <w:jc w:val="center"/>
                    <w:textAlignment w:val="center"/>
                    <w:rPr>
                      <w:rFonts w:hint="default" w:ascii="Times New Roman" w:hAnsi="Times New Roman" w:cs="Times New Roman"/>
                      <w:color w:val="auto"/>
                      <w:sz w:val="18"/>
                      <w:szCs w:val="18"/>
                    </w:rPr>
                  </w:pPr>
                </w:p>
              </w:tc>
              <w:tc>
                <w:tcPr>
                  <w:tcW w:w="329" w:type="pct"/>
                  <w:vMerge w:val="continue"/>
                  <w:tcBorders>
                    <w:tl2br w:val="nil"/>
                    <w:tr2bl w:val="nil"/>
                  </w:tcBorders>
                  <w:vAlign w:val="center"/>
                </w:tcPr>
                <w:p w14:paraId="300CE8A8">
                  <w:pPr>
                    <w:widowControl/>
                    <w:adjustRightInd w:val="0"/>
                    <w:snapToGrid w:val="0"/>
                    <w:jc w:val="center"/>
                    <w:textAlignment w:val="center"/>
                    <w:rPr>
                      <w:rFonts w:hint="default" w:ascii="Times New Roman" w:hAnsi="Times New Roman" w:cs="Times New Roman"/>
                      <w:color w:val="auto"/>
                      <w:sz w:val="18"/>
                      <w:szCs w:val="18"/>
                    </w:rPr>
                  </w:pPr>
                </w:p>
              </w:tc>
              <w:tc>
                <w:tcPr>
                  <w:tcW w:w="313" w:type="pct"/>
                  <w:vMerge w:val="continue"/>
                  <w:tcBorders>
                    <w:tl2br w:val="nil"/>
                    <w:tr2bl w:val="nil"/>
                  </w:tcBorders>
                  <w:vAlign w:val="center"/>
                </w:tcPr>
                <w:p w14:paraId="1CDFD242">
                  <w:pPr>
                    <w:widowControl/>
                    <w:adjustRightInd w:val="0"/>
                    <w:snapToGrid w:val="0"/>
                    <w:jc w:val="center"/>
                    <w:textAlignment w:val="center"/>
                    <w:rPr>
                      <w:rFonts w:hint="default" w:ascii="Times New Roman" w:hAnsi="Times New Roman" w:cs="Times New Roman"/>
                      <w:color w:val="auto"/>
                      <w:sz w:val="18"/>
                      <w:szCs w:val="18"/>
                    </w:rPr>
                  </w:pPr>
                </w:p>
              </w:tc>
              <w:tc>
                <w:tcPr>
                  <w:tcW w:w="313" w:type="pct"/>
                  <w:vMerge w:val="continue"/>
                  <w:tcBorders>
                    <w:tl2br w:val="nil"/>
                    <w:tr2bl w:val="nil"/>
                  </w:tcBorders>
                  <w:vAlign w:val="center"/>
                </w:tcPr>
                <w:p w14:paraId="3EAEDC55">
                  <w:pPr>
                    <w:widowControl/>
                    <w:adjustRightInd w:val="0"/>
                    <w:snapToGrid w:val="0"/>
                    <w:jc w:val="center"/>
                    <w:textAlignment w:val="center"/>
                    <w:rPr>
                      <w:rFonts w:hint="default" w:ascii="Times New Roman" w:hAnsi="Times New Roman" w:cs="Times New Roman"/>
                      <w:color w:val="auto"/>
                      <w:sz w:val="18"/>
                      <w:szCs w:val="18"/>
                    </w:rPr>
                  </w:pPr>
                </w:p>
              </w:tc>
              <w:tc>
                <w:tcPr>
                  <w:tcW w:w="887" w:type="dxa"/>
                  <w:tcBorders>
                    <w:tl2br w:val="nil"/>
                    <w:tr2bl w:val="nil"/>
                  </w:tcBorders>
                  <w:vAlign w:val="center"/>
                </w:tcPr>
                <w:p w14:paraId="00DD5C8B">
                  <w:pPr>
                    <w:pStyle w:val="13"/>
                    <w:adjustRightInd w:val="0"/>
                    <w:spacing w:before="0" w:after="0" w:line="240" w:lineRule="auto"/>
                    <w:ind w:right="0"/>
                    <w:jc w:val="center"/>
                    <w:rPr>
                      <w:rFonts w:hint="default" w:ascii="Times New Roman" w:hAnsi="Times New Roman" w:cs="Times New Roman"/>
                      <w:color w:val="auto"/>
                      <w:szCs w:val="18"/>
                    </w:rPr>
                  </w:pPr>
                  <w:r>
                    <w:rPr>
                      <w:rFonts w:hint="default" w:ascii="Times New Roman" w:hAnsi="Times New Roman" w:cs="Times New Roman" w:eastAsiaTheme="minorEastAsia"/>
                      <w:color w:val="auto"/>
                      <w:szCs w:val="18"/>
                    </w:rPr>
                    <w:t>声压级/dB(A)</w:t>
                  </w:r>
                </w:p>
              </w:tc>
              <w:tc>
                <w:tcPr>
                  <w:tcW w:w="888" w:type="dxa"/>
                  <w:tcBorders>
                    <w:tl2br w:val="nil"/>
                    <w:tr2bl w:val="nil"/>
                  </w:tcBorders>
                  <w:vAlign w:val="center"/>
                </w:tcPr>
                <w:p w14:paraId="53C56A7F">
                  <w:pPr>
                    <w:pStyle w:val="13"/>
                    <w:adjustRightInd w:val="0"/>
                    <w:spacing w:before="0" w:after="0" w:line="240" w:lineRule="auto"/>
                    <w:ind w:right="0"/>
                    <w:jc w:val="center"/>
                    <w:rPr>
                      <w:rFonts w:hint="default" w:ascii="Times New Roman" w:hAnsi="Times New Roman" w:cs="Times New Roman"/>
                      <w:color w:val="auto"/>
                      <w:szCs w:val="18"/>
                    </w:rPr>
                  </w:pPr>
                  <w:r>
                    <w:rPr>
                      <w:rFonts w:hint="default" w:ascii="Times New Roman" w:hAnsi="Times New Roman" w:cs="Times New Roman" w:eastAsiaTheme="minorEastAsia"/>
                      <w:color w:val="auto"/>
                      <w:szCs w:val="18"/>
                    </w:rPr>
                    <w:t>建筑物外距离/m</w:t>
                  </w:r>
                </w:p>
              </w:tc>
            </w:tr>
            <w:tr w14:paraId="3D1DDC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vAlign w:val="center"/>
                </w:tcPr>
                <w:p w14:paraId="1030BFA1">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N1</w:t>
                  </w:r>
                </w:p>
              </w:tc>
              <w:tc>
                <w:tcPr>
                  <w:tcW w:w="237" w:type="pct"/>
                  <w:vMerge w:val="restart"/>
                  <w:tcBorders>
                    <w:tl2br w:val="nil"/>
                    <w:tr2bl w:val="nil"/>
                  </w:tcBorders>
                  <w:vAlign w:val="center"/>
                </w:tcPr>
                <w:p w14:paraId="1F940A46">
                  <w:pPr>
                    <w:widowControl/>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生产厂房</w:t>
                  </w:r>
                </w:p>
              </w:tc>
              <w:tc>
                <w:tcPr>
                  <w:tcW w:w="585" w:type="pct"/>
                  <w:tcBorders>
                    <w:tl2br w:val="nil"/>
                    <w:tr2bl w:val="nil"/>
                  </w:tcBorders>
                  <w:vAlign w:val="center"/>
                </w:tcPr>
                <w:p w14:paraId="55807A0A">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液压剪</w:t>
                  </w:r>
                </w:p>
              </w:tc>
              <w:tc>
                <w:tcPr>
                  <w:tcW w:w="321" w:type="pct"/>
                  <w:tcBorders>
                    <w:tl2br w:val="nil"/>
                    <w:tr2bl w:val="nil"/>
                  </w:tcBorders>
                  <w:vAlign w:val="center"/>
                </w:tcPr>
                <w:p w14:paraId="596C5DF6">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c>
                <w:tcPr>
                  <w:tcW w:w="734" w:type="pct"/>
                  <w:tcBorders>
                    <w:tl2br w:val="nil"/>
                    <w:tr2bl w:val="nil"/>
                  </w:tcBorders>
                  <w:vAlign w:val="center"/>
                </w:tcPr>
                <w:p w14:paraId="786C1F95">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厂房隔声</w:t>
                  </w:r>
                </w:p>
              </w:tc>
              <w:tc>
                <w:tcPr>
                  <w:tcW w:w="324" w:type="pct"/>
                  <w:tcBorders>
                    <w:tl2br w:val="nil"/>
                    <w:tr2bl w:val="nil"/>
                  </w:tcBorders>
                  <w:vAlign w:val="center"/>
                </w:tcPr>
                <w:p w14:paraId="39689FF9">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-188</w:t>
                  </w:r>
                </w:p>
              </w:tc>
              <w:tc>
                <w:tcPr>
                  <w:tcW w:w="324" w:type="pct"/>
                  <w:tcBorders>
                    <w:tl2br w:val="nil"/>
                    <w:tr2bl w:val="nil"/>
                  </w:tcBorders>
                  <w:vAlign w:val="center"/>
                </w:tcPr>
                <w:p w14:paraId="45B1BFA0">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372</w:t>
                  </w:r>
                </w:p>
              </w:tc>
              <w:tc>
                <w:tcPr>
                  <w:tcW w:w="330" w:type="pct"/>
                  <w:tcBorders>
                    <w:tl2br w:val="nil"/>
                    <w:tr2bl w:val="nil"/>
                  </w:tcBorders>
                  <w:vAlign w:val="center"/>
                </w:tcPr>
                <w:p w14:paraId="3E7FEFDB">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324" w:type="pct"/>
                  <w:tcBorders>
                    <w:tl2br w:val="nil"/>
                    <w:tr2bl w:val="nil"/>
                  </w:tcBorders>
                  <w:vAlign w:val="center"/>
                </w:tcPr>
                <w:p w14:paraId="00A22B0D">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29" w:type="pct"/>
                  <w:tcBorders>
                    <w:tl2br w:val="nil"/>
                    <w:tr2bl w:val="nil"/>
                  </w:tcBorders>
                  <w:vAlign w:val="center"/>
                </w:tcPr>
                <w:p w14:paraId="7E9BBE77">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w:t>
                  </w:r>
                </w:p>
              </w:tc>
              <w:tc>
                <w:tcPr>
                  <w:tcW w:w="313" w:type="pct"/>
                  <w:tcBorders>
                    <w:tl2br w:val="nil"/>
                    <w:tr2bl w:val="nil"/>
                  </w:tcBorders>
                  <w:vAlign w:val="center"/>
                </w:tcPr>
                <w:p w14:paraId="65C2E5E8">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间断</w:t>
                  </w:r>
                </w:p>
              </w:tc>
              <w:tc>
                <w:tcPr>
                  <w:tcW w:w="313" w:type="pct"/>
                  <w:tcBorders>
                    <w:tl2br w:val="nil"/>
                    <w:tr2bl w:val="nil"/>
                  </w:tcBorders>
                  <w:vAlign w:val="center"/>
                </w:tcPr>
                <w:p w14:paraId="5C36CED2">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13" w:type="pct"/>
                  <w:tcBorders>
                    <w:tl2br w:val="nil"/>
                    <w:tr2bl w:val="nil"/>
                  </w:tcBorders>
                  <w:vAlign w:val="center"/>
                </w:tcPr>
                <w:p w14:paraId="20485076">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66.8</w:t>
                  </w:r>
                </w:p>
              </w:tc>
              <w:tc>
                <w:tcPr>
                  <w:tcW w:w="313" w:type="pct"/>
                  <w:tcBorders>
                    <w:tl2br w:val="nil"/>
                    <w:tr2bl w:val="nil"/>
                  </w:tcBorders>
                  <w:vAlign w:val="center"/>
                </w:tcPr>
                <w:p w14:paraId="2F37866B">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r w14:paraId="25DB6A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vAlign w:val="center"/>
                </w:tcPr>
                <w:p w14:paraId="298FECE0">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N2</w:t>
                  </w:r>
                </w:p>
              </w:tc>
              <w:tc>
                <w:tcPr>
                  <w:tcW w:w="237" w:type="pct"/>
                  <w:vMerge w:val="continue"/>
                  <w:tcBorders>
                    <w:tl2br w:val="nil"/>
                    <w:tr2bl w:val="nil"/>
                  </w:tcBorders>
                  <w:vAlign w:val="center"/>
                </w:tcPr>
                <w:p w14:paraId="72CC00C6">
                  <w:pPr>
                    <w:widowControl/>
                    <w:adjustRightInd w:val="0"/>
                    <w:snapToGrid w:val="0"/>
                    <w:jc w:val="center"/>
                    <w:textAlignment w:val="center"/>
                    <w:rPr>
                      <w:rFonts w:hint="default" w:ascii="Times New Roman" w:hAnsi="Times New Roman" w:cs="Times New Roman"/>
                      <w:color w:val="auto"/>
                      <w:sz w:val="18"/>
                      <w:szCs w:val="18"/>
                    </w:rPr>
                  </w:pPr>
                </w:p>
              </w:tc>
              <w:tc>
                <w:tcPr>
                  <w:tcW w:w="585" w:type="pct"/>
                  <w:tcBorders>
                    <w:tl2br w:val="nil"/>
                    <w:tr2bl w:val="nil"/>
                  </w:tcBorders>
                  <w:vAlign w:val="center"/>
                </w:tcPr>
                <w:p w14:paraId="5B79BBED">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感应加热炉</w:t>
                  </w:r>
                </w:p>
              </w:tc>
              <w:tc>
                <w:tcPr>
                  <w:tcW w:w="321" w:type="pct"/>
                  <w:tcBorders>
                    <w:tl2br w:val="nil"/>
                    <w:tr2bl w:val="nil"/>
                  </w:tcBorders>
                  <w:vAlign w:val="center"/>
                </w:tcPr>
                <w:p w14:paraId="4F061B06">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w:t>
                  </w:r>
                </w:p>
              </w:tc>
              <w:tc>
                <w:tcPr>
                  <w:tcW w:w="734" w:type="pct"/>
                  <w:tcBorders>
                    <w:tl2br w:val="nil"/>
                    <w:tr2bl w:val="nil"/>
                  </w:tcBorders>
                  <w:vAlign w:val="center"/>
                </w:tcPr>
                <w:p w14:paraId="2FF023D0">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厂房隔声、基础减震</w:t>
                  </w:r>
                </w:p>
              </w:tc>
              <w:tc>
                <w:tcPr>
                  <w:tcW w:w="324" w:type="pct"/>
                  <w:tcBorders>
                    <w:tl2br w:val="nil"/>
                    <w:tr2bl w:val="nil"/>
                  </w:tcBorders>
                  <w:vAlign w:val="center"/>
                </w:tcPr>
                <w:p w14:paraId="6FDED555">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-193</w:t>
                  </w:r>
                </w:p>
              </w:tc>
              <w:tc>
                <w:tcPr>
                  <w:tcW w:w="324" w:type="pct"/>
                  <w:tcBorders>
                    <w:tl2br w:val="nil"/>
                    <w:tr2bl w:val="nil"/>
                  </w:tcBorders>
                  <w:vAlign w:val="center"/>
                </w:tcPr>
                <w:p w14:paraId="109C9BB1">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341</w:t>
                  </w:r>
                </w:p>
              </w:tc>
              <w:tc>
                <w:tcPr>
                  <w:tcW w:w="330" w:type="pct"/>
                  <w:tcBorders>
                    <w:tl2br w:val="nil"/>
                    <w:tr2bl w:val="nil"/>
                  </w:tcBorders>
                  <w:vAlign w:val="center"/>
                </w:tcPr>
                <w:p w14:paraId="79DA3347">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324" w:type="pct"/>
                  <w:tcBorders>
                    <w:tl2br w:val="nil"/>
                    <w:tr2bl w:val="nil"/>
                  </w:tcBorders>
                  <w:vAlign w:val="center"/>
                </w:tcPr>
                <w:p w14:paraId="3EC566C9">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15</w:t>
                  </w:r>
                </w:p>
              </w:tc>
              <w:tc>
                <w:tcPr>
                  <w:tcW w:w="329" w:type="pct"/>
                  <w:tcBorders>
                    <w:tl2br w:val="nil"/>
                    <w:tr2bl w:val="nil"/>
                  </w:tcBorders>
                  <w:vAlign w:val="center"/>
                </w:tcPr>
                <w:p w14:paraId="5219203B">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c>
                <w:tcPr>
                  <w:tcW w:w="313" w:type="pct"/>
                  <w:tcBorders>
                    <w:tl2br w:val="nil"/>
                    <w:tr2bl w:val="nil"/>
                  </w:tcBorders>
                  <w:vAlign w:val="center"/>
                </w:tcPr>
                <w:p w14:paraId="3CE02083">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313" w:type="pct"/>
                  <w:tcBorders>
                    <w:tl2br w:val="nil"/>
                    <w:tr2bl w:val="nil"/>
                  </w:tcBorders>
                  <w:vAlign w:val="center"/>
                </w:tcPr>
                <w:p w14:paraId="34DA08D4">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13" w:type="pct"/>
                  <w:tcBorders>
                    <w:tl2br w:val="nil"/>
                    <w:tr2bl w:val="nil"/>
                  </w:tcBorders>
                  <w:vAlign w:val="center"/>
                </w:tcPr>
                <w:p w14:paraId="73B348FF">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76.8</w:t>
                  </w:r>
                </w:p>
              </w:tc>
              <w:tc>
                <w:tcPr>
                  <w:tcW w:w="313" w:type="pct"/>
                  <w:tcBorders>
                    <w:tl2br w:val="nil"/>
                    <w:tr2bl w:val="nil"/>
                  </w:tcBorders>
                  <w:vAlign w:val="center"/>
                </w:tcPr>
                <w:p w14:paraId="0D44FB6E">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r w14:paraId="58224F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vAlign w:val="center"/>
                </w:tcPr>
                <w:p w14:paraId="647C5A1A">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N3</w:t>
                  </w:r>
                </w:p>
              </w:tc>
              <w:tc>
                <w:tcPr>
                  <w:tcW w:w="237" w:type="pct"/>
                  <w:vMerge w:val="continue"/>
                  <w:tcBorders>
                    <w:tl2br w:val="nil"/>
                    <w:tr2bl w:val="nil"/>
                  </w:tcBorders>
                  <w:vAlign w:val="center"/>
                </w:tcPr>
                <w:p w14:paraId="6D2B8226">
                  <w:pPr>
                    <w:widowControl/>
                    <w:adjustRightInd w:val="0"/>
                    <w:snapToGrid w:val="0"/>
                    <w:jc w:val="center"/>
                    <w:rPr>
                      <w:rFonts w:hint="default" w:ascii="Times New Roman" w:hAnsi="Times New Roman" w:cs="Times New Roman"/>
                      <w:color w:val="auto"/>
                      <w:sz w:val="18"/>
                      <w:szCs w:val="18"/>
                    </w:rPr>
                  </w:pPr>
                </w:p>
              </w:tc>
              <w:tc>
                <w:tcPr>
                  <w:tcW w:w="585" w:type="pct"/>
                  <w:tcBorders>
                    <w:tl2br w:val="nil"/>
                    <w:tr2bl w:val="nil"/>
                  </w:tcBorders>
                </w:tcPr>
                <w:p w14:paraId="4F07158D">
                  <w:pPr>
                    <w:pStyle w:val="4"/>
                    <w:autoSpaceDE w:val="0"/>
                    <w:ind w:firstLine="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穿孔机</w:t>
                  </w:r>
                </w:p>
              </w:tc>
              <w:tc>
                <w:tcPr>
                  <w:tcW w:w="321" w:type="pct"/>
                  <w:tcBorders>
                    <w:tl2br w:val="nil"/>
                    <w:tr2bl w:val="nil"/>
                  </w:tcBorders>
                  <w:vAlign w:val="center"/>
                </w:tcPr>
                <w:p w14:paraId="2B72BA1B">
                  <w:pPr>
                    <w:autoSpaceDE w:val="0"/>
                    <w:autoSpaceDN w:val="0"/>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95</w:t>
                  </w:r>
                </w:p>
              </w:tc>
              <w:tc>
                <w:tcPr>
                  <w:tcW w:w="734" w:type="pct"/>
                  <w:tcBorders>
                    <w:tl2br w:val="nil"/>
                    <w:tr2bl w:val="nil"/>
                  </w:tcBorders>
                  <w:vAlign w:val="center"/>
                </w:tcPr>
                <w:p w14:paraId="2B2CEBE4">
                  <w:pPr>
                    <w:autoSpaceDE w:val="0"/>
                    <w:autoSpaceDN w:val="0"/>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基础减震+厂房隔声</w:t>
                  </w:r>
                </w:p>
              </w:tc>
              <w:tc>
                <w:tcPr>
                  <w:tcW w:w="324" w:type="pct"/>
                  <w:tcBorders>
                    <w:tl2br w:val="nil"/>
                    <w:tr2bl w:val="nil"/>
                  </w:tcBorders>
                  <w:vAlign w:val="center"/>
                </w:tcPr>
                <w:p w14:paraId="01E43ECA">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-176</w:t>
                  </w:r>
                </w:p>
              </w:tc>
              <w:tc>
                <w:tcPr>
                  <w:tcW w:w="324" w:type="pct"/>
                  <w:tcBorders>
                    <w:tl2br w:val="nil"/>
                    <w:tr2bl w:val="nil"/>
                  </w:tcBorders>
                  <w:vAlign w:val="center"/>
                </w:tcPr>
                <w:p w14:paraId="4470E9A6">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316</w:t>
                  </w:r>
                </w:p>
              </w:tc>
              <w:tc>
                <w:tcPr>
                  <w:tcW w:w="330" w:type="pct"/>
                  <w:tcBorders>
                    <w:tl2br w:val="nil"/>
                    <w:tr2bl w:val="nil"/>
                  </w:tcBorders>
                  <w:vAlign w:val="center"/>
                </w:tcPr>
                <w:p w14:paraId="63538D95">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24" w:type="pct"/>
                  <w:tcBorders>
                    <w:tl2br w:val="nil"/>
                    <w:tr2bl w:val="nil"/>
                  </w:tcBorders>
                  <w:vAlign w:val="center"/>
                </w:tcPr>
                <w:p w14:paraId="412FFFB3">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20</w:t>
                  </w:r>
                </w:p>
              </w:tc>
              <w:tc>
                <w:tcPr>
                  <w:tcW w:w="329" w:type="pct"/>
                  <w:tcBorders>
                    <w:tl2br w:val="nil"/>
                    <w:tr2bl w:val="nil"/>
                  </w:tcBorders>
                  <w:vAlign w:val="center"/>
                </w:tcPr>
                <w:p w14:paraId="4C3492D6">
                  <w:pPr>
                    <w:autoSpaceDE w:val="0"/>
                    <w:autoSpaceDN w:val="0"/>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85</w:t>
                  </w:r>
                </w:p>
              </w:tc>
              <w:tc>
                <w:tcPr>
                  <w:tcW w:w="313" w:type="pct"/>
                  <w:tcBorders>
                    <w:tl2br w:val="nil"/>
                    <w:tr2bl w:val="nil"/>
                  </w:tcBorders>
                  <w:vAlign w:val="center"/>
                </w:tcPr>
                <w:p w14:paraId="2716056A">
                  <w:pPr>
                    <w:autoSpaceDE w:val="0"/>
                    <w:autoSpaceDN w:val="0"/>
                    <w:adjustRightInd w:val="0"/>
                    <w:snapToGrid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连续</w:t>
                  </w:r>
                </w:p>
              </w:tc>
              <w:tc>
                <w:tcPr>
                  <w:tcW w:w="313" w:type="pct"/>
                  <w:tcBorders>
                    <w:tl2br w:val="nil"/>
                    <w:tr2bl w:val="nil"/>
                  </w:tcBorders>
                  <w:vAlign w:val="center"/>
                </w:tcPr>
                <w:p w14:paraId="1F70587B">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13" w:type="pct"/>
                  <w:tcBorders>
                    <w:tl2br w:val="nil"/>
                    <w:tr2bl w:val="nil"/>
                  </w:tcBorders>
                  <w:vAlign w:val="center"/>
                </w:tcPr>
                <w:p w14:paraId="4D00DC1F">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71.8</w:t>
                  </w:r>
                </w:p>
              </w:tc>
              <w:tc>
                <w:tcPr>
                  <w:tcW w:w="313" w:type="pct"/>
                  <w:tcBorders>
                    <w:tl2br w:val="nil"/>
                    <w:tr2bl w:val="nil"/>
                  </w:tcBorders>
                  <w:vAlign w:val="center"/>
                </w:tcPr>
                <w:p w14:paraId="78477CA0">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r w14:paraId="621C0B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vAlign w:val="center"/>
                </w:tcPr>
                <w:p w14:paraId="597FDCAE">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N4</w:t>
                  </w:r>
                </w:p>
              </w:tc>
              <w:tc>
                <w:tcPr>
                  <w:tcW w:w="237" w:type="pct"/>
                  <w:vMerge w:val="continue"/>
                  <w:tcBorders>
                    <w:tl2br w:val="nil"/>
                    <w:tr2bl w:val="nil"/>
                  </w:tcBorders>
                  <w:vAlign w:val="center"/>
                </w:tcPr>
                <w:p w14:paraId="0BC4B03C">
                  <w:pPr>
                    <w:widowControl/>
                    <w:adjustRightInd w:val="0"/>
                    <w:snapToGrid w:val="0"/>
                    <w:jc w:val="center"/>
                    <w:rPr>
                      <w:rFonts w:hint="default" w:ascii="Times New Roman" w:hAnsi="Times New Roman" w:cs="Times New Roman"/>
                      <w:color w:val="auto"/>
                      <w:sz w:val="18"/>
                      <w:szCs w:val="18"/>
                    </w:rPr>
                  </w:pPr>
                </w:p>
              </w:tc>
              <w:tc>
                <w:tcPr>
                  <w:tcW w:w="585" w:type="pct"/>
                  <w:tcBorders>
                    <w:tl2br w:val="nil"/>
                    <w:tr2bl w:val="nil"/>
                  </w:tcBorders>
                </w:tcPr>
                <w:p w14:paraId="1E9DCE37">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3辊精密减定径机</w:t>
                  </w:r>
                </w:p>
              </w:tc>
              <w:tc>
                <w:tcPr>
                  <w:tcW w:w="321" w:type="pct"/>
                  <w:tcBorders>
                    <w:tl2br w:val="nil"/>
                    <w:tr2bl w:val="nil"/>
                  </w:tcBorders>
                  <w:vAlign w:val="center"/>
                </w:tcPr>
                <w:p w14:paraId="784416DC">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w:t>
                  </w:r>
                </w:p>
              </w:tc>
              <w:tc>
                <w:tcPr>
                  <w:tcW w:w="734" w:type="pct"/>
                  <w:vMerge w:val="restart"/>
                  <w:tcBorders>
                    <w:tl2br w:val="nil"/>
                    <w:tr2bl w:val="nil"/>
                  </w:tcBorders>
                  <w:vAlign w:val="center"/>
                </w:tcPr>
                <w:p w14:paraId="0A259EA1">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基础减震+厂房隔声</w:t>
                  </w:r>
                </w:p>
              </w:tc>
              <w:tc>
                <w:tcPr>
                  <w:tcW w:w="324" w:type="pct"/>
                  <w:tcBorders>
                    <w:tl2br w:val="nil"/>
                    <w:tr2bl w:val="nil"/>
                  </w:tcBorders>
                  <w:vAlign w:val="center"/>
                </w:tcPr>
                <w:p w14:paraId="6438D599">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-120</w:t>
                  </w:r>
                </w:p>
              </w:tc>
              <w:tc>
                <w:tcPr>
                  <w:tcW w:w="324" w:type="pct"/>
                  <w:tcBorders>
                    <w:tl2br w:val="nil"/>
                    <w:tr2bl w:val="nil"/>
                  </w:tcBorders>
                  <w:vAlign w:val="center"/>
                </w:tcPr>
                <w:p w14:paraId="68C34E30">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282</w:t>
                  </w:r>
                </w:p>
              </w:tc>
              <w:tc>
                <w:tcPr>
                  <w:tcW w:w="330" w:type="pct"/>
                  <w:tcBorders>
                    <w:tl2br w:val="nil"/>
                    <w:tr2bl w:val="nil"/>
                  </w:tcBorders>
                  <w:vAlign w:val="center"/>
                </w:tcPr>
                <w:p w14:paraId="3AF2556C">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0.8</w:t>
                  </w:r>
                </w:p>
              </w:tc>
              <w:tc>
                <w:tcPr>
                  <w:tcW w:w="324" w:type="pct"/>
                  <w:tcBorders>
                    <w:tl2br w:val="nil"/>
                    <w:tr2bl w:val="nil"/>
                  </w:tcBorders>
                  <w:vAlign w:val="center"/>
                </w:tcPr>
                <w:p w14:paraId="5DAA9526">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329" w:type="pct"/>
                  <w:tcBorders>
                    <w:tl2br w:val="nil"/>
                    <w:tr2bl w:val="nil"/>
                  </w:tcBorders>
                  <w:vAlign w:val="center"/>
                </w:tcPr>
                <w:p w14:paraId="43A6E668">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313" w:type="pct"/>
                  <w:tcBorders>
                    <w:tl2br w:val="nil"/>
                    <w:tr2bl w:val="nil"/>
                  </w:tcBorders>
                  <w:vAlign w:val="center"/>
                </w:tcPr>
                <w:p w14:paraId="32E3CCCE">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313" w:type="pct"/>
                  <w:tcBorders>
                    <w:tl2br w:val="nil"/>
                    <w:tr2bl w:val="nil"/>
                  </w:tcBorders>
                  <w:vAlign w:val="center"/>
                </w:tcPr>
                <w:p w14:paraId="35E49902">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13" w:type="pct"/>
                  <w:tcBorders>
                    <w:tl2br w:val="nil"/>
                    <w:tr2bl w:val="nil"/>
                  </w:tcBorders>
                  <w:vAlign w:val="center"/>
                </w:tcPr>
                <w:p w14:paraId="5E14C7B0">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71.8</w:t>
                  </w:r>
                </w:p>
              </w:tc>
              <w:tc>
                <w:tcPr>
                  <w:tcW w:w="313" w:type="pct"/>
                  <w:tcBorders>
                    <w:tl2br w:val="nil"/>
                    <w:tr2bl w:val="nil"/>
                  </w:tcBorders>
                  <w:vAlign w:val="center"/>
                </w:tcPr>
                <w:p w14:paraId="3F41926F">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r w14:paraId="0571AE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vAlign w:val="center"/>
                </w:tcPr>
                <w:p w14:paraId="18C02608">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N5</w:t>
                  </w:r>
                </w:p>
              </w:tc>
              <w:tc>
                <w:tcPr>
                  <w:tcW w:w="237" w:type="pct"/>
                  <w:vMerge w:val="continue"/>
                  <w:tcBorders>
                    <w:tl2br w:val="nil"/>
                    <w:tr2bl w:val="nil"/>
                  </w:tcBorders>
                  <w:vAlign w:val="center"/>
                </w:tcPr>
                <w:p w14:paraId="68D68155">
                  <w:pPr>
                    <w:widowControl/>
                    <w:adjustRightInd w:val="0"/>
                    <w:snapToGrid w:val="0"/>
                    <w:jc w:val="center"/>
                    <w:rPr>
                      <w:rFonts w:hint="default" w:ascii="Times New Roman" w:hAnsi="Times New Roman" w:cs="Times New Roman"/>
                      <w:color w:val="auto"/>
                      <w:sz w:val="18"/>
                      <w:szCs w:val="18"/>
                    </w:rPr>
                  </w:pPr>
                </w:p>
              </w:tc>
              <w:tc>
                <w:tcPr>
                  <w:tcW w:w="585" w:type="pct"/>
                  <w:tcBorders>
                    <w:tl2br w:val="nil"/>
                    <w:tr2bl w:val="nil"/>
                  </w:tcBorders>
                </w:tcPr>
                <w:p w14:paraId="12DF1F57">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链式冷床</w:t>
                  </w:r>
                </w:p>
              </w:tc>
              <w:tc>
                <w:tcPr>
                  <w:tcW w:w="321" w:type="pct"/>
                  <w:tcBorders>
                    <w:tl2br w:val="nil"/>
                    <w:tr2bl w:val="nil"/>
                  </w:tcBorders>
                  <w:vAlign w:val="center"/>
                </w:tcPr>
                <w:p w14:paraId="3BCD30C7">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w:t>
                  </w:r>
                </w:p>
              </w:tc>
              <w:tc>
                <w:tcPr>
                  <w:tcW w:w="734" w:type="pct"/>
                  <w:vMerge w:val="continue"/>
                  <w:tcBorders>
                    <w:tl2br w:val="nil"/>
                    <w:tr2bl w:val="nil"/>
                  </w:tcBorders>
                  <w:vAlign w:val="center"/>
                </w:tcPr>
                <w:p w14:paraId="4F8F88DF">
                  <w:pPr>
                    <w:widowControl/>
                    <w:adjustRightInd w:val="0"/>
                    <w:snapToGrid w:val="0"/>
                    <w:jc w:val="center"/>
                    <w:textAlignment w:val="center"/>
                    <w:rPr>
                      <w:rFonts w:hint="default" w:ascii="Times New Roman" w:hAnsi="Times New Roman" w:cs="Times New Roman"/>
                      <w:color w:val="auto"/>
                      <w:sz w:val="18"/>
                      <w:szCs w:val="18"/>
                    </w:rPr>
                  </w:pPr>
                </w:p>
              </w:tc>
              <w:tc>
                <w:tcPr>
                  <w:tcW w:w="324" w:type="pct"/>
                  <w:tcBorders>
                    <w:tl2br w:val="nil"/>
                    <w:tr2bl w:val="nil"/>
                  </w:tcBorders>
                  <w:vAlign w:val="center"/>
                </w:tcPr>
                <w:p w14:paraId="106B58AC">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-149</w:t>
                  </w:r>
                </w:p>
              </w:tc>
              <w:tc>
                <w:tcPr>
                  <w:tcW w:w="324" w:type="pct"/>
                  <w:tcBorders>
                    <w:tl2br w:val="nil"/>
                    <w:tr2bl w:val="nil"/>
                  </w:tcBorders>
                  <w:vAlign w:val="center"/>
                </w:tcPr>
                <w:p w14:paraId="779C7840">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305</w:t>
                  </w:r>
                </w:p>
              </w:tc>
              <w:tc>
                <w:tcPr>
                  <w:tcW w:w="330" w:type="pct"/>
                  <w:tcBorders>
                    <w:tl2br w:val="nil"/>
                    <w:tr2bl w:val="nil"/>
                  </w:tcBorders>
                  <w:vAlign w:val="center"/>
                </w:tcPr>
                <w:p w14:paraId="5D57BB55">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324" w:type="pct"/>
                  <w:tcBorders>
                    <w:tl2br w:val="nil"/>
                    <w:tr2bl w:val="nil"/>
                  </w:tcBorders>
                  <w:vAlign w:val="center"/>
                </w:tcPr>
                <w:p w14:paraId="6381B90F">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29" w:type="pct"/>
                  <w:tcBorders>
                    <w:tl2br w:val="nil"/>
                    <w:tr2bl w:val="nil"/>
                  </w:tcBorders>
                  <w:vAlign w:val="center"/>
                </w:tcPr>
                <w:p w14:paraId="057F708F">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313" w:type="pct"/>
                  <w:tcBorders>
                    <w:tl2br w:val="nil"/>
                    <w:tr2bl w:val="nil"/>
                  </w:tcBorders>
                  <w:vAlign w:val="center"/>
                </w:tcPr>
                <w:p w14:paraId="13954CF1">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313" w:type="pct"/>
                  <w:tcBorders>
                    <w:tl2br w:val="nil"/>
                    <w:tr2bl w:val="nil"/>
                  </w:tcBorders>
                  <w:vAlign w:val="center"/>
                </w:tcPr>
                <w:p w14:paraId="105ADC87">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13" w:type="pct"/>
                  <w:tcBorders>
                    <w:tl2br w:val="nil"/>
                    <w:tr2bl w:val="nil"/>
                  </w:tcBorders>
                  <w:vAlign w:val="center"/>
                </w:tcPr>
                <w:p w14:paraId="5CC4155E">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71.8</w:t>
                  </w:r>
                </w:p>
              </w:tc>
              <w:tc>
                <w:tcPr>
                  <w:tcW w:w="313" w:type="pct"/>
                  <w:tcBorders>
                    <w:tl2br w:val="nil"/>
                    <w:tr2bl w:val="nil"/>
                  </w:tcBorders>
                  <w:vAlign w:val="center"/>
                </w:tcPr>
                <w:p w14:paraId="53CBFE9D">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r w14:paraId="2B54D9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vAlign w:val="center"/>
                </w:tcPr>
                <w:p w14:paraId="5D3D86B7">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N6</w:t>
                  </w:r>
                </w:p>
              </w:tc>
              <w:tc>
                <w:tcPr>
                  <w:tcW w:w="237" w:type="pct"/>
                  <w:vMerge w:val="continue"/>
                  <w:tcBorders>
                    <w:tl2br w:val="nil"/>
                    <w:tr2bl w:val="nil"/>
                  </w:tcBorders>
                  <w:vAlign w:val="center"/>
                </w:tcPr>
                <w:p w14:paraId="6D9CDC56">
                  <w:pPr>
                    <w:widowControl/>
                    <w:adjustRightInd w:val="0"/>
                    <w:snapToGrid w:val="0"/>
                    <w:jc w:val="center"/>
                    <w:rPr>
                      <w:rFonts w:hint="default" w:ascii="Times New Roman" w:hAnsi="Times New Roman" w:cs="Times New Roman"/>
                      <w:color w:val="auto"/>
                      <w:sz w:val="18"/>
                      <w:szCs w:val="18"/>
                    </w:rPr>
                  </w:pPr>
                </w:p>
              </w:tc>
              <w:tc>
                <w:tcPr>
                  <w:tcW w:w="585" w:type="pct"/>
                  <w:tcBorders>
                    <w:tl2br w:val="nil"/>
                    <w:tr2bl w:val="nil"/>
                  </w:tcBorders>
                </w:tcPr>
                <w:p w14:paraId="5DAD735B">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9辊无缝管专用校直机</w:t>
                  </w:r>
                </w:p>
              </w:tc>
              <w:tc>
                <w:tcPr>
                  <w:tcW w:w="321" w:type="pct"/>
                  <w:tcBorders>
                    <w:tl2br w:val="nil"/>
                    <w:tr2bl w:val="nil"/>
                  </w:tcBorders>
                  <w:vAlign w:val="center"/>
                </w:tcPr>
                <w:p w14:paraId="1AC82FC5">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734" w:type="pct"/>
                  <w:vMerge w:val="restart"/>
                  <w:tcBorders>
                    <w:tl2br w:val="nil"/>
                    <w:tr2bl w:val="nil"/>
                  </w:tcBorders>
                  <w:vAlign w:val="center"/>
                </w:tcPr>
                <w:p w14:paraId="24FB53A7">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基础减震+厂房隔声</w:t>
                  </w:r>
                </w:p>
              </w:tc>
              <w:tc>
                <w:tcPr>
                  <w:tcW w:w="324" w:type="pct"/>
                  <w:tcBorders>
                    <w:tl2br w:val="nil"/>
                    <w:tr2bl w:val="nil"/>
                  </w:tcBorders>
                  <w:vAlign w:val="center"/>
                </w:tcPr>
                <w:p w14:paraId="55E88AEF">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-163</w:t>
                  </w:r>
                </w:p>
              </w:tc>
              <w:tc>
                <w:tcPr>
                  <w:tcW w:w="324" w:type="pct"/>
                  <w:tcBorders>
                    <w:tl2br w:val="nil"/>
                    <w:tr2bl w:val="nil"/>
                  </w:tcBorders>
                  <w:vAlign w:val="center"/>
                </w:tcPr>
                <w:p w14:paraId="73C9C808">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329</w:t>
                  </w:r>
                </w:p>
              </w:tc>
              <w:tc>
                <w:tcPr>
                  <w:tcW w:w="330" w:type="pct"/>
                  <w:tcBorders>
                    <w:tl2br w:val="nil"/>
                    <w:tr2bl w:val="nil"/>
                  </w:tcBorders>
                  <w:vAlign w:val="center"/>
                </w:tcPr>
                <w:p w14:paraId="2BB24EA3">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w:t>
                  </w:r>
                </w:p>
              </w:tc>
              <w:tc>
                <w:tcPr>
                  <w:tcW w:w="324" w:type="pct"/>
                  <w:tcBorders>
                    <w:tl2br w:val="nil"/>
                    <w:tr2bl w:val="nil"/>
                  </w:tcBorders>
                  <w:vAlign w:val="center"/>
                </w:tcPr>
                <w:p w14:paraId="763ED00E">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29" w:type="pct"/>
                  <w:tcBorders>
                    <w:tl2br w:val="nil"/>
                    <w:tr2bl w:val="nil"/>
                  </w:tcBorders>
                  <w:vAlign w:val="center"/>
                </w:tcPr>
                <w:p w14:paraId="63C55FDF">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w:t>
                  </w:r>
                </w:p>
              </w:tc>
              <w:tc>
                <w:tcPr>
                  <w:tcW w:w="313" w:type="pct"/>
                  <w:tcBorders>
                    <w:tl2br w:val="nil"/>
                    <w:tr2bl w:val="nil"/>
                  </w:tcBorders>
                  <w:vAlign w:val="center"/>
                </w:tcPr>
                <w:p w14:paraId="77FE0799">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313" w:type="pct"/>
                  <w:tcBorders>
                    <w:tl2br w:val="nil"/>
                    <w:tr2bl w:val="nil"/>
                  </w:tcBorders>
                  <w:vAlign w:val="center"/>
                </w:tcPr>
                <w:p w14:paraId="0C5D2F24">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13" w:type="pct"/>
                  <w:tcBorders>
                    <w:tl2br w:val="nil"/>
                    <w:tr2bl w:val="nil"/>
                  </w:tcBorders>
                  <w:vAlign w:val="center"/>
                </w:tcPr>
                <w:p w14:paraId="0AD0343D">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66.8</w:t>
                  </w:r>
                </w:p>
              </w:tc>
              <w:tc>
                <w:tcPr>
                  <w:tcW w:w="313" w:type="pct"/>
                  <w:tcBorders>
                    <w:tl2br w:val="nil"/>
                    <w:tr2bl w:val="nil"/>
                  </w:tcBorders>
                  <w:vAlign w:val="center"/>
                </w:tcPr>
                <w:p w14:paraId="68D13AF1">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r w14:paraId="0DD1EB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vAlign w:val="center"/>
                </w:tcPr>
                <w:p w14:paraId="32581B82">
                  <w:pPr>
                    <w:widowControl/>
                    <w:adjustRightInd w:val="0"/>
                    <w:snapToGrid w:val="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N7</w:t>
                  </w:r>
                </w:p>
              </w:tc>
              <w:tc>
                <w:tcPr>
                  <w:tcW w:w="237" w:type="pct"/>
                  <w:vMerge w:val="continue"/>
                  <w:tcBorders>
                    <w:tl2br w:val="nil"/>
                    <w:tr2bl w:val="nil"/>
                  </w:tcBorders>
                  <w:vAlign w:val="center"/>
                </w:tcPr>
                <w:p w14:paraId="696382C5">
                  <w:pPr>
                    <w:widowControl/>
                    <w:adjustRightInd w:val="0"/>
                    <w:snapToGrid w:val="0"/>
                    <w:jc w:val="center"/>
                    <w:rPr>
                      <w:rFonts w:hint="default" w:ascii="Times New Roman" w:hAnsi="Times New Roman" w:cs="Times New Roman"/>
                      <w:color w:val="auto"/>
                      <w:sz w:val="18"/>
                      <w:szCs w:val="18"/>
                    </w:rPr>
                  </w:pPr>
                </w:p>
              </w:tc>
              <w:tc>
                <w:tcPr>
                  <w:tcW w:w="585" w:type="pct"/>
                  <w:tcBorders>
                    <w:tl2br w:val="nil"/>
                    <w:tr2bl w:val="nil"/>
                  </w:tcBorders>
                </w:tcPr>
                <w:p w14:paraId="6ABFF6B4">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切头去尾带锯</w:t>
                  </w:r>
                </w:p>
              </w:tc>
              <w:tc>
                <w:tcPr>
                  <w:tcW w:w="321" w:type="pct"/>
                  <w:tcBorders>
                    <w:tl2br w:val="nil"/>
                    <w:tr2bl w:val="nil"/>
                  </w:tcBorders>
                  <w:vAlign w:val="center"/>
                </w:tcPr>
                <w:p w14:paraId="4E34EC28">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w:t>
                  </w:r>
                </w:p>
              </w:tc>
              <w:tc>
                <w:tcPr>
                  <w:tcW w:w="734" w:type="pct"/>
                  <w:vMerge w:val="continue"/>
                  <w:tcBorders>
                    <w:tl2br w:val="nil"/>
                    <w:tr2bl w:val="nil"/>
                  </w:tcBorders>
                  <w:vAlign w:val="center"/>
                </w:tcPr>
                <w:p w14:paraId="198B5E4E">
                  <w:pPr>
                    <w:autoSpaceDE w:val="0"/>
                    <w:autoSpaceDN w:val="0"/>
                    <w:adjustRightInd w:val="0"/>
                    <w:snapToGrid w:val="0"/>
                    <w:jc w:val="center"/>
                    <w:rPr>
                      <w:rFonts w:hint="default" w:ascii="Times New Roman" w:hAnsi="Times New Roman" w:cs="Times New Roman"/>
                      <w:color w:val="auto"/>
                      <w:sz w:val="18"/>
                      <w:szCs w:val="18"/>
                    </w:rPr>
                  </w:pPr>
                </w:p>
              </w:tc>
              <w:tc>
                <w:tcPr>
                  <w:tcW w:w="324" w:type="pct"/>
                  <w:tcBorders>
                    <w:tl2br w:val="nil"/>
                    <w:tr2bl w:val="nil"/>
                  </w:tcBorders>
                  <w:vAlign w:val="center"/>
                </w:tcPr>
                <w:p w14:paraId="6E3B79F5">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-172</w:t>
                  </w:r>
                </w:p>
              </w:tc>
              <w:tc>
                <w:tcPr>
                  <w:tcW w:w="324" w:type="pct"/>
                  <w:tcBorders>
                    <w:tl2br w:val="nil"/>
                    <w:tr2bl w:val="nil"/>
                  </w:tcBorders>
                  <w:vAlign w:val="center"/>
                </w:tcPr>
                <w:p w14:paraId="3C49FBB1">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339</w:t>
                  </w:r>
                </w:p>
              </w:tc>
              <w:tc>
                <w:tcPr>
                  <w:tcW w:w="330" w:type="pct"/>
                  <w:tcBorders>
                    <w:tl2br w:val="nil"/>
                    <w:tr2bl w:val="nil"/>
                  </w:tcBorders>
                  <w:vAlign w:val="center"/>
                </w:tcPr>
                <w:p w14:paraId="64266638">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w:t>
                  </w:r>
                </w:p>
              </w:tc>
              <w:tc>
                <w:tcPr>
                  <w:tcW w:w="324" w:type="pct"/>
                  <w:tcBorders>
                    <w:tl2br w:val="nil"/>
                    <w:tr2bl w:val="nil"/>
                  </w:tcBorders>
                  <w:vAlign w:val="center"/>
                </w:tcPr>
                <w:p w14:paraId="3A5C5B01">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18</w:t>
                  </w:r>
                </w:p>
              </w:tc>
              <w:tc>
                <w:tcPr>
                  <w:tcW w:w="329" w:type="pct"/>
                  <w:tcBorders>
                    <w:tl2br w:val="nil"/>
                    <w:tr2bl w:val="nil"/>
                  </w:tcBorders>
                  <w:vAlign w:val="center"/>
                </w:tcPr>
                <w:p w14:paraId="7E0CBDC8">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313" w:type="pct"/>
                  <w:tcBorders>
                    <w:tl2br w:val="nil"/>
                    <w:tr2bl w:val="nil"/>
                  </w:tcBorders>
                  <w:vAlign w:val="center"/>
                </w:tcPr>
                <w:p w14:paraId="5F4F7152">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313" w:type="pct"/>
                  <w:tcBorders>
                    <w:tl2br w:val="nil"/>
                    <w:tr2bl w:val="nil"/>
                  </w:tcBorders>
                  <w:vAlign w:val="center"/>
                </w:tcPr>
                <w:p w14:paraId="37B201A2">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13" w:type="pct"/>
                  <w:tcBorders>
                    <w:tl2br w:val="nil"/>
                    <w:tr2bl w:val="nil"/>
                  </w:tcBorders>
                  <w:vAlign w:val="center"/>
                </w:tcPr>
                <w:p w14:paraId="5C1BAA30">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71.8</w:t>
                  </w:r>
                </w:p>
              </w:tc>
              <w:tc>
                <w:tcPr>
                  <w:tcW w:w="313" w:type="pct"/>
                  <w:tcBorders>
                    <w:tl2br w:val="nil"/>
                    <w:tr2bl w:val="nil"/>
                  </w:tcBorders>
                  <w:vAlign w:val="center"/>
                </w:tcPr>
                <w:p w14:paraId="796B05D3">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r w14:paraId="541DC1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vAlign w:val="center"/>
                </w:tcPr>
                <w:p w14:paraId="211035AB">
                  <w:pPr>
                    <w:widowControl/>
                    <w:adjustRightInd w:val="0"/>
                    <w:snapToGrid w:val="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N8</w:t>
                  </w:r>
                </w:p>
              </w:tc>
              <w:tc>
                <w:tcPr>
                  <w:tcW w:w="237" w:type="pct"/>
                  <w:vMerge w:val="continue"/>
                  <w:tcBorders>
                    <w:tl2br w:val="nil"/>
                    <w:tr2bl w:val="nil"/>
                  </w:tcBorders>
                  <w:vAlign w:val="center"/>
                </w:tcPr>
                <w:p w14:paraId="7EC01866">
                  <w:pPr>
                    <w:widowControl/>
                    <w:adjustRightInd w:val="0"/>
                    <w:snapToGrid w:val="0"/>
                    <w:jc w:val="center"/>
                    <w:rPr>
                      <w:rFonts w:hint="default" w:ascii="Times New Roman" w:hAnsi="Times New Roman" w:cs="Times New Roman"/>
                      <w:color w:val="auto"/>
                      <w:sz w:val="18"/>
                      <w:szCs w:val="18"/>
                    </w:rPr>
                  </w:pPr>
                </w:p>
              </w:tc>
              <w:tc>
                <w:tcPr>
                  <w:tcW w:w="585" w:type="pct"/>
                  <w:tcBorders>
                    <w:tl2br w:val="nil"/>
                    <w:tr2bl w:val="nil"/>
                  </w:tcBorders>
                </w:tcPr>
                <w:p w14:paraId="2E5FD453">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收集打包及辊道</w:t>
                  </w:r>
                </w:p>
              </w:tc>
              <w:tc>
                <w:tcPr>
                  <w:tcW w:w="321" w:type="pct"/>
                  <w:tcBorders>
                    <w:tl2br w:val="nil"/>
                    <w:tr2bl w:val="nil"/>
                  </w:tcBorders>
                  <w:vAlign w:val="center"/>
                </w:tcPr>
                <w:p w14:paraId="6E91AC9F">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c>
                <w:tcPr>
                  <w:tcW w:w="734" w:type="pct"/>
                  <w:vMerge w:val="continue"/>
                  <w:tcBorders>
                    <w:tl2br w:val="nil"/>
                    <w:tr2bl w:val="nil"/>
                  </w:tcBorders>
                  <w:vAlign w:val="center"/>
                </w:tcPr>
                <w:p w14:paraId="51E9C9BF">
                  <w:pPr>
                    <w:autoSpaceDE w:val="0"/>
                    <w:autoSpaceDN w:val="0"/>
                    <w:adjustRightInd w:val="0"/>
                    <w:snapToGrid w:val="0"/>
                    <w:jc w:val="center"/>
                    <w:rPr>
                      <w:rFonts w:hint="default" w:ascii="Times New Roman" w:hAnsi="Times New Roman" w:cs="Times New Roman"/>
                      <w:color w:val="auto"/>
                      <w:sz w:val="18"/>
                      <w:szCs w:val="18"/>
                    </w:rPr>
                  </w:pPr>
                </w:p>
              </w:tc>
              <w:tc>
                <w:tcPr>
                  <w:tcW w:w="324" w:type="pct"/>
                  <w:tcBorders>
                    <w:tl2br w:val="nil"/>
                    <w:tr2bl w:val="nil"/>
                  </w:tcBorders>
                  <w:vAlign w:val="center"/>
                </w:tcPr>
                <w:p w14:paraId="6EE7F82F">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-159</w:t>
                  </w:r>
                </w:p>
              </w:tc>
              <w:tc>
                <w:tcPr>
                  <w:tcW w:w="324" w:type="pct"/>
                  <w:tcBorders>
                    <w:tl2br w:val="nil"/>
                    <w:tr2bl w:val="nil"/>
                  </w:tcBorders>
                  <w:vAlign w:val="center"/>
                </w:tcPr>
                <w:p w14:paraId="26B9CBC7">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349</w:t>
                  </w:r>
                </w:p>
              </w:tc>
              <w:tc>
                <w:tcPr>
                  <w:tcW w:w="330" w:type="pct"/>
                  <w:tcBorders>
                    <w:tl2br w:val="nil"/>
                    <w:tr2bl w:val="nil"/>
                  </w:tcBorders>
                  <w:vAlign w:val="center"/>
                </w:tcPr>
                <w:p w14:paraId="695A6206">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w:t>
                  </w:r>
                </w:p>
              </w:tc>
              <w:tc>
                <w:tcPr>
                  <w:tcW w:w="324" w:type="pct"/>
                  <w:tcBorders>
                    <w:tl2br w:val="nil"/>
                    <w:tr2bl w:val="nil"/>
                  </w:tcBorders>
                  <w:vAlign w:val="center"/>
                </w:tcPr>
                <w:p w14:paraId="76713DF8">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19</w:t>
                  </w:r>
                </w:p>
              </w:tc>
              <w:tc>
                <w:tcPr>
                  <w:tcW w:w="329" w:type="pct"/>
                  <w:tcBorders>
                    <w:tl2br w:val="nil"/>
                    <w:tr2bl w:val="nil"/>
                  </w:tcBorders>
                  <w:vAlign w:val="center"/>
                </w:tcPr>
                <w:p w14:paraId="206D2C34">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w:t>
                  </w:r>
                </w:p>
              </w:tc>
              <w:tc>
                <w:tcPr>
                  <w:tcW w:w="313" w:type="pct"/>
                  <w:tcBorders>
                    <w:tl2br w:val="nil"/>
                    <w:tr2bl w:val="nil"/>
                  </w:tcBorders>
                  <w:vAlign w:val="center"/>
                </w:tcPr>
                <w:p w14:paraId="7E4F1D70">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313" w:type="pct"/>
                  <w:tcBorders>
                    <w:tl2br w:val="nil"/>
                    <w:tr2bl w:val="nil"/>
                  </w:tcBorders>
                  <w:vAlign w:val="center"/>
                </w:tcPr>
                <w:p w14:paraId="72993681">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13" w:type="pct"/>
                  <w:tcBorders>
                    <w:tl2br w:val="nil"/>
                    <w:tr2bl w:val="nil"/>
                  </w:tcBorders>
                  <w:vAlign w:val="center"/>
                </w:tcPr>
                <w:p w14:paraId="6C69CC31">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66.8</w:t>
                  </w:r>
                </w:p>
              </w:tc>
              <w:tc>
                <w:tcPr>
                  <w:tcW w:w="313" w:type="pct"/>
                  <w:tcBorders>
                    <w:tl2br w:val="nil"/>
                    <w:tr2bl w:val="nil"/>
                  </w:tcBorders>
                  <w:vAlign w:val="center"/>
                </w:tcPr>
                <w:p w14:paraId="36DD5404">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r w14:paraId="77AAF6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 w:type="pct"/>
                  <w:tcBorders>
                    <w:tl2br w:val="nil"/>
                    <w:tr2bl w:val="nil"/>
                  </w:tcBorders>
                  <w:vAlign w:val="center"/>
                </w:tcPr>
                <w:p w14:paraId="47501DF4">
                  <w:pPr>
                    <w:widowControl/>
                    <w:adjustRightInd w:val="0"/>
                    <w:snapToGrid w:val="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N9</w:t>
                  </w:r>
                </w:p>
              </w:tc>
              <w:tc>
                <w:tcPr>
                  <w:tcW w:w="237" w:type="pct"/>
                  <w:vMerge w:val="continue"/>
                  <w:tcBorders>
                    <w:tl2br w:val="nil"/>
                    <w:tr2bl w:val="nil"/>
                  </w:tcBorders>
                  <w:vAlign w:val="center"/>
                </w:tcPr>
                <w:p w14:paraId="11E2BA1A">
                  <w:pPr>
                    <w:widowControl/>
                    <w:adjustRightInd w:val="0"/>
                    <w:snapToGrid w:val="0"/>
                    <w:jc w:val="center"/>
                    <w:rPr>
                      <w:rFonts w:hint="default" w:ascii="Times New Roman" w:hAnsi="Times New Roman" w:cs="Times New Roman"/>
                      <w:color w:val="auto"/>
                      <w:sz w:val="18"/>
                      <w:szCs w:val="18"/>
                    </w:rPr>
                  </w:pPr>
                </w:p>
              </w:tc>
              <w:tc>
                <w:tcPr>
                  <w:tcW w:w="585" w:type="pct"/>
                  <w:tcBorders>
                    <w:tl2br w:val="nil"/>
                    <w:tr2bl w:val="nil"/>
                  </w:tcBorders>
                </w:tcPr>
                <w:p w14:paraId="47666AC8">
                  <w:pPr>
                    <w:pStyle w:val="4"/>
                    <w:autoSpaceDE w:val="0"/>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永磁变频空压机</w:t>
                  </w:r>
                </w:p>
              </w:tc>
              <w:tc>
                <w:tcPr>
                  <w:tcW w:w="321" w:type="pct"/>
                  <w:tcBorders>
                    <w:tl2br w:val="nil"/>
                    <w:tr2bl w:val="nil"/>
                  </w:tcBorders>
                  <w:vAlign w:val="center"/>
                </w:tcPr>
                <w:p w14:paraId="0018FA34">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w:t>
                  </w:r>
                </w:p>
              </w:tc>
              <w:tc>
                <w:tcPr>
                  <w:tcW w:w="734" w:type="pct"/>
                  <w:vMerge w:val="continue"/>
                  <w:tcBorders>
                    <w:tl2br w:val="nil"/>
                    <w:tr2bl w:val="nil"/>
                  </w:tcBorders>
                  <w:vAlign w:val="center"/>
                </w:tcPr>
                <w:p w14:paraId="5C7C2606">
                  <w:pPr>
                    <w:autoSpaceDE w:val="0"/>
                    <w:autoSpaceDN w:val="0"/>
                    <w:adjustRightInd w:val="0"/>
                    <w:snapToGrid w:val="0"/>
                    <w:jc w:val="center"/>
                    <w:rPr>
                      <w:rFonts w:hint="default" w:ascii="Times New Roman" w:hAnsi="Times New Roman" w:cs="Times New Roman"/>
                      <w:color w:val="auto"/>
                      <w:sz w:val="18"/>
                      <w:szCs w:val="18"/>
                    </w:rPr>
                  </w:pPr>
                </w:p>
              </w:tc>
              <w:tc>
                <w:tcPr>
                  <w:tcW w:w="324" w:type="pct"/>
                  <w:tcBorders>
                    <w:tl2br w:val="nil"/>
                    <w:tr2bl w:val="nil"/>
                  </w:tcBorders>
                  <w:vAlign w:val="center"/>
                </w:tcPr>
                <w:p w14:paraId="663DAD07">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-199</w:t>
                  </w:r>
                </w:p>
              </w:tc>
              <w:tc>
                <w:tcPr>
                  <w:tcW w:w="324" w:type="pct"/>
                  <w:tcBorders>
                    <w:tl2br w:val="nil"/>
                    <w:tr2bl w:val="nil"/>
                  </w:tcBorders>
                  <w:vAlign w:val="center"/>
                </w:tcPr>
                <w:p w14:paraId="36CC39F8">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358</w:t>
                  </w:r>
                </w:p>
              </w:tc>
              <w:tc>
                <w:tcPr>
                  <w:tcW w:w="330" w:type="pct"/>
                  <w:tcBorders>
                    <w:tl2br w:val="nil"/>
                    <w:tr2bl w:val="nil"/>
                  </w:tcBorders>
                  <w:vAlign w:val="center"/>
                </w:tcPr>
                <w:p w14:paraId="5EB4F7CB">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w:t>
                  </w:r>
                </w:p>
              </w:tc>
              <w:tc>
                <w:tcPr>
                  <w:tcW w:w="324" w:type="pct"/>
                  <w:tcBorders>
                    <w:tl2br w:val="nil"/>
                    <w:tr2bl w:val="nil"/>
                  </w:tcBorders>
                  <w:vAlign w:val="center"/>
                </w:tcPr>
                <w:p w14:paraId="2A678D2D">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329" w:type="pct"/>
                  <w:tcBorders>
                    <w:tl2br w:val="nil"/>
                    <w:tr2bl w:val="nil"/>
                  </w:tcBorders>
                  <w:vAlign w:val="center"/>
                </w:tcPr>
                <w:p w14:paraId="47B9FFB4">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313" w:type="pct"/>
                  <w:tcBorders>
                    <w:tl2br w:val="nil"/>
                    <w:tr2bl w:val="nil"/>
                  </w:tcBorders>
                  <w:vAlign w:val="center"/>
                </w:tcPr>
                <w:p w14:paraId="1497DE62">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313" w:type="pct"/>
                  <w:tcBorders>
                    <w:tl2br w:val="nil"/>
                    <w:tr2bl w:val="nil"/>
                  </w:tcBorders>
                  <w:vAlign w:val="center"/>
                </w:tcPr>
                <w:p w14:paraId="5E210CFE">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13" w:type="pct"/>
                  <w:tcBorders>
                    <w:tl2br w:val="nil"/>
                    <w:tr2bl w:val="nil"/>
                  </w:tcBorders>
                  <w:vAlign w:val="center"/>
                </w:tcPr>
                <w:p w14:paraId="30814E68">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71.8</w:t>
                  </w:r>
                </w:p>
              </w:tc>
              <w:tc>
                <w:tcPr>
                  <w:tcW w:w="313" w:type="pct"/>
                  <w:tcBorders>
                    <w:tl2br w:val="nil"/>
                    <w:tr2bl w:val="nil"/>
                  </w:tcBorders>
                  <w:vAlign w:val="center"/>
                </w:tcPr>
                <w:p w14:paraId="4FBC6F8D">
                  <w:pPr>
                    <w:autoSpaceDE w:val="0"/>
                    <w:autoSpaceDN w:val="0"/>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bl>
          <w:p w14:paraId="4D1CBD18">
            <w:pPr>
              <w:pStyle w:val="111"/>
              <w:spacing w:line="36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表4-6    工业企业噪声源强调查清单（室外声源）</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283"/>
              <w:gridCol w:w="734"/>
              <w:gridCol w:w="744"/>
              <w:gridCol w:w="766"/>
              <w:gridCol w:w="1692"/>
              <w:gridCol w:w="1459"/>
              <w:gridCol w:w="968"/>
            </w:tblGrid>
            <w:tr w14:paraId="10F16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restart"/>
                  <w:tcBorders>
                    <w:left w:val="nil"/>
                  </w:tcBorders>
                  <w:vAlign w:val="center"/>
                </w:tcPr>
                <w:p w14:paraId="39104EE8">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序号</w:t>
                  </w:r>
                </w:p>
              </w:tc>
              <w:tc>
                <w:tcPr>
                  <w:tcW w:w="779" w:type="pct"/>
                  <w:vMerge w:val="restart"/>
                  <w:vAlign w:val="center"/>
                </w:tcPr>
                <w:p w14:paraId="1102B5EC">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声源名称</w:t>
                  </w:r>
                </w:p>
              </w:tc>
              <w:tc>
                <w:tcPr>
                  <w:tcW w:w="1363" w:type="pct"/>
                  <w:gridSpan w:val="3"/>
                  <w:vAlign w:val="center"/>
                </w:tcPr>
                <w:p w14:paraId="68039E68">
                  <w:pPr>
                    <w:widowControl/>
                    <w:jc w:val="center"/>
                    <w:textAlignment w:val="center"/>
                    <w:rPr>
                      <w:rFonts w:hint="default" w:ascii="Times New Roman" w:hAnsi="Times New Roman" w:cs="Times New Roman"/>
                      <w:color w:val="auto"/>
                      <w:kern w:val="0"/>
                      <w:sz w:val="18"/>
                      <w:szCs w:val="18"/>
                      <w:highlight w:val="yellow"/>
                      <w:lang w:bidi="ar"/>
                    </w:rPr>
                  </w:pPr>
                  <w:r>
                    <w:rPr>
                      <w:rFonts w:hint="default" w:ascii="Times New Roman" w:hAnsi="Times New Roman" w:cs="Times New Roman"/>
                      <w:color w:val="auto"/>
                      <w:kern w:val="0"/>
                      <w:sz w:val="18"/>
                      <w:szCs w:val="18"/>
                      <w:lang w:bidi="ar"/>
                    </w:rPr>
                    <w:t>空间相对位置</w:t>
                  </w:r>
                </w:p>
              </w:tc>
              <w:tc>
                <w:tcPr>
                  <w:tcW w:w="1028" w:type="pct"/>
                  <w:vMerge w:val="restart"/>
                  <w:vAlign w:val="center"/>
                </w:tcPr>
                <w:p w14:paraId="0EA93B49">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声功率级（dB（A）</w:t>
                  </w:r>
                </w:p>
              </w:tc>
              <w:tc>
                <w:tcPr>
                  <w:tcW w:w="886" w:type="pct"/>
                  <w:vMerge w:val="restart"/>
                  <w:vAlign w:val="center"/>
                </w:tcPr>
                <w:p w14:paraId="57FAE49B">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声源控制措施</w:t>
                  </w:r>
                </w:p>
              </w:tc>
              <w:tc>
                <w:tcPr>
                  <w:tcW w:w="588" w:type="pct"/>
                  <w:vMerge w:val="restart"/>
                  <w:tcBorders>
                    <w:right w:val="nil"/>
                  </w:tcBorders>
                  <w:vAlign w:val="center"/>
                </w:tcPr>
                <w:p w14:paraId="7F71A539">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运行时段</w:t>
                  </w:r>
                </w:p>
              </w:tc>
            </w:tr>
            <w:tr w14:paraId="2F4F4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vMerge w:val="continue"/>
                  <w:tcBorders>
                    <w:left w:val="nil"/>
                  </w:tcBorders>
                  <w:vAlign w:val="center"/>
                </w:tcPr>
                <w:p w14:paraId="7CDD1297">
                  <w:pPr>
                    <w:widowControl/>
                    <w:jc w:val="center"/>
                    <w:textAlignment w:val="center"/>
                    <w:rPr>
                      <w:rFonts w:hint="default" w:ascii="Times New Roman" w:hAnsi="Times New Roman" w:cs="Times New Roman"/>
                      <w:color w:val="auto"/>
                      <w:kern w:val="0"/>
                      <w:sz w:val="18"/>
                      <w:szCs w:val="18"/>
                      <w:lang w:bidi="ar"/>
                    </w:rPr>
                  </w:pPr>
                </w:p>
              </w:tc>
              <w:tc>
                <w:tcPr>
                  <w:tcW w:w="779" w:type="pct"/>
                  <w:vMerge w:val="continue"/>
                  <w:vAlign w:val="center"/>
                </w:tcPr>
                <w:p w14:paraId="6881746F">
                  <w:pPr>
                    <w:widowControl/>
                    <w:jc w:val="center"/>
                    <w:textAlignment w:val="center"/>
                    <w:rPr>
                      <w:rFonts w:hint="default" w:ascii="Times New Roman" w:hAnsi="Times New Roman" w:cs="Times New Roman"/>
                      <w:color w:val="auto"/>
                      <w:kern w:val="0"/>
                      <w:sz w:val="18"/>
                      <w:szCs w:val="18"/>
                      <w:lang w:bidi="ar"/>
                    </w:rPr>
                  </w:pPr>
                </w:p>
              </w:tc>
              <w:tc>
                <w:tcPr>
                  <w:tcW w:w="446" w:type="pct"/>
                  <w:vAlign w:val="center"/>
                </w:tcPr>
                <w:p w14:paraId="2E9E8DDE">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x</w:t>
                  </w:r>
                </w:p>
              </w:tc>
              <w:tc>
                <w:tcPr>
                  <w:tcW w:w="452" w:type="pct"/>
                  <w:vAlign w:val="center"/>
                </w:tcPr>
                <w:p w14:paraId="562C3100">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y</w:t>
                  </w:r>
                </w:p>
              </w:tc>
              <w:tc>
                <w:tcPr>
                  <w:tcW w:w="465" w:type="pct"/>
                  <w:vAlign w:val="center"/>
                </w:tcPr>
                <w:p w14:paraId="3BE5A143">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z</w:t>
                  </w:r>
                </w:p>
              </w:tc>
              <w:tc>
                <w:tcPr>
                  <w:tcW w:w="1028" w:type="pct"/>
                  <w:vMerge w:val="continue"/>
                  <w:vAlign w:val="center"/>
                </w:tcPr>
                <w:p w14:paraId="034EFE5A">
                  <w:pPr>
                    <w:widowControl/>
                    <w:jc w:val="center"/>
                    <w:textAlignment w:val="center"/>
                    <w:rPr>
                      <w:rFonts w:hint="default" w:ascii="Times New Roman" w:hAnsi="Times New Roman" w:cs="Times New Roman"/>
                      <w:color w:val="auto"/>
                      <w:kern w:val="0"/>
                      <w:sz w:val="18"/>
                      <w:szCs w:val="18"/>
                      <w:lang w:bidi="ar"/>
                    </w:rPr>
                  </w:pPr>
                </w:p>
              </w:tc>
              <w:tc>
                <w:tcPr>
                  <w:tcW w:w="886" w:type="pct"/>
                  <w:vMerge w:val="continue"/>
                  <w:vAlign w:val="center"/>
                </w:tcPr>
                <w:p w14:paraId="1EE34DB2">
                  <w:pPr>
                    <w:widowControl/>
                    <w:jc w:val="center"/>
                    <w:textAlignment w:val="center"/>
                    <w:rPr>
                      <w:rFonts w:hint="default" w:ascii="Times New Roman" w:hAnsi="Times New Roman" w:cs="Times New Roman"/>
                      <w:color w:val="auto"/>
                      <w:kern w:val="0"/>
                      <w:sz w:val="18"/>
                      <w:szCs w:val="18"/>
                      <w:lang w:bidi="ar"/>
                    </w:rPr>
                  </w:pPr>
                </w:p>
              </w:tc>
              <w:tc>
                <w:tcPr>
                  <w:tcW w:w="588" w:type="pct"/>
                  <w:vMerge w:val="continue"/>
                  <w:tcBorders>
                    <w:right w:val="nil"/>
                  </w:tcBorders>
                  <w:vAlign w:val="center"/>
                </w:tcPr>
                <w:p w14:paraId="643C2E1D">
                  <w:pPr>
                    <w:widowControl/>
                    <w:jc w:val="center"/>
                    <w:textAlignment w:val="center"/>
                    <w:rPr>
                      <w:rFonts w:hint="default" w:ascii="Times New Roman" w:hAnsi="Times New Roman" w:cs="Times New Roman"/>
                      <w:color w:val="auto"/>
                      <w:kern w:val="0"/>
                      <w:sz w:val="18"/>
                      <w:szCs w:val="18"/>
                      <w:lang w:bidi="ar"/>
                    </w:rPr>
                  </w:pPr>
                </w:p>
              </w:tc>
            </w:tr>
            <w:tr w14:paraId="1FB05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3" w:type="pct"/>
                  <w:tcBorders>
                    <w:left w:val="nil"/>
                  </w:tcBorders>
                  <w:vAlign w:val="center"/>
                </w:tcPr>
                <w:p w14:paraId="1B01AAC9">
                  <w:pPr>
                    <w:autoSpaceDE w:val="0"/>
                    <w:autoSpaceDN w:val="0"/>
                    <w:adjustRightInd w:val="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rPr>
                    <w:t>N1</w:t>
                  </w:r>
                </w:p>
              </w:tc>
              <w:tc>
                <w:tcPr>
                  <w:tcW w:w="779" w:type="pct"/>
                  <w:vAlign w:val="center"/>
                </w:tcPr>
                <w:p w14:paraId="07A98271">
                  <w:pPr>
                    <w:autoSpaceDE w:val="0"/>
                    <w:autoSpaceDN w:val="0"/>
                    <w:adjustRightInd w:val="0"/>
                    <w:jc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rPr>
                    <w:t>水泵</w:t>
                  </w:r>
                </w:p>
              </w:tc>
              <w:tc>
                <w:tcPr>
                  <w:tcW w:w="446" w:type="pct"/>
                  <w:vAlign w:val="center"/>
                </w:tcPr>
                <w:p w14:paraId="686C4383">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-185</w:t>
                  </w:r>
                </w:p>
              </w:tc>
              <w:tc>
                <w:tcPr>
                  <w:tcW w:w="452" w:type="pct"/>
                  <w:vAlign w:val="center"/>
                </w:tcPr>
                <w:p w14:paraId="00DDA57E">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349</w:t>
                  </w:r>
                </w:p>
              </w:tc>
              <w:tc>
                <w:tcPr>
                  <w:tcW w:w="465" w:type="pct"/>
                  <w:vAlign w:val="center"/>
                </w:tcPr>
                <w:p w14:paraId="002AE065">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1028" w:type="pct"/>
                  <w:vAlign w:val="center"/>
                </w:tcPr>
                <w:p w14:paraId="3A6CC3D0">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85</w:t>
                  </w:r>
                </w:p>
              </w:tc>
              <w:tc>
                <w:tcPr>
                  <w:tcW w:w="886" w:type="pct"/>
                  <w:vAlign w:val="center"/>
                </w:tcPr>
                <w:p w14:paraId="73CD5A40">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基础减震</w:t>
                  </w:r>
                </w:p>
              </w:tc>
              <w:tc>
                <w:tcPr>
                  <w:tcW w:w="588" w:type="pct"/>
                  <w:tcBorders>
                    <w:right w:val="nil"/>
                  </w:tcBorders>
                  <w:vAlign w:val="center"/>
                </w:tcPr>
                <w:p w14:paraId="2ECE9A93">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昼夜</w:t>
                  </w:r>
                </w:p>
              </w:tc>
            </w:tr>
          </w:tbl>
          <w:p w14:paraId="1B73BD2A">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3.2预测点布设</w:t>
            </w:r>
          </w:p>
          <w:p w14:paraId="422CBF30">
            <w:pPr>
              <w:spacing w:line="360" w:lineRule="auto"/>
              <w:ind w:firstLine="480" w:firstLineChars="200"/>
              <w:rPr>
                <w:rFonts w:hint="default" w:ascii="Times New Roman" w:hAnsi="Times New Roman" w:cs="Times New Roman"/>
                <w:color w:val="auto"/>
                <w:sz w:val="24"/>
                <w:szCs w:val="28"/>
              </w:rPr>
            </w:pPr>
            <w:r>
              <w:rPr>
                <w:rFonts w:hint="default" w:ascii="Times New Roman" w:hAnsi="Times New Roman" w:cs="Times New Roman"/>
                <w:color w:val="auto"/>
                <w:sz w:val="24"/>
                <w:szCs w:val="28"/>
              </w:rPr>
              <w:t>本项目在南方钢铁有限公司现有厂区范围内进行建设，因此本次噪声预测在南方钢铁有限公司厂界内共设置6个预测点（1#预测点～6#预测点）。其中</w:t>
            </w:r>
            <w:r>
              <w:rPr>
                <w:rFonts w:hint="default" w:ascii="Times New Roman" w:hAnsi="Times New Roman" w:cs="Times New Roman"/>
                <w:color w:val="auto"/>
                <w:sz w:val="24"/>
              </w:rPr>
              <w:t>厂界西设置1个预测点（1#）、厂界南设置2个预测点（2#—3#）、厂界东设置1个预测点（4#）；厂界北设置2个预测点（5#、6#）。</w:t>
            </w:r>
          </w:p>
          <w:p w14:paraId="49AF607D">
            <w:pPr>
              <w:spacing w:line="360" w:lineRule="auto"/>
              <w:ind w:firstLine="480" w:firstLineChars="200"/>
              <w:rPr>
                <w:rFonts w:hint="default" w:ascii="Times New Roman" w:hAnsi="Times New Roman" w:cs="Times New Roman"/>
                <w:color w:val="auto"/>
                <w:sz w:val="24"/>
                <w:szCs w:val="28"/>
              </w:rPr>
            </w:pPr>
            <w:r>
              <w:rPr>
                <w:rFonts w:hint="default" w:ascii="Times New Roman" w:hAnsi="Times New Roman" w:cs="Times New Roman"/>
                <w:color w:val="auto"/>
                <w:sz w:val="24"/>
                <w:szCs w:val="28"/>
              </w:rPr>
              <w:t>具体点位如下：</w:t>
            </w:r>
          </w:p>
          <w:p w14:paraId="68158342">
            <w:pPr>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95265" cy="2987040"/>
                  <wp:effectExtent l="9525" t="9525" r="10160" b="13335"/>
                  <wp:docPr id="11"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7"/>
                          <pic:cNvPicPr>
                            <a:picLocks noChangeAspect="1"/>
                          </pic:cNvPicPr>
                        </pic:nvPicPr>
                        <pic:blipFill>
                          <a:blip r:embed="rId26"/>
                          <a:stretch>
                            <a:fillRect/>
                          </a:stretch>
                        </pic:blipFill>
                        <pic:spPr>
                          <a:xfrm>
                            <a:off x="0" y="0"/>
                            <a:ext cx="5295265" cy="298704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1C5971BE">
            <w:pPr>
              <w:spacing w:line="360" w:lineRule="auto"/>
              <w:ind w:firstLine="422" w:firstLineChars="20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图4-1  噪声预测点位布设图</w:t>
            </w:r>
          </w:p>
          <w:p w14:paraId="2E6D35AE">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3.3地形数据</w:t>
            </w:r>
          </w:p>
          <w:p w14:paraId="2EB11BC5">
            <w:pPr>
              <w:spacing w:line="360" w:lineRule="auto"/>
              <w:ind w:firstLine="480" w:firstLineChars="200"/>
              <w:rPr>
                <w:rFonts w:hint="default" w:ascii="Times New Roman" w:hAnsi="Times New Roman" w:cs="Times New Roman"/>
                <w:b/>
                <w:bCs/>
                <w:color w:val="auto"/>
                <w:sz w:val="24"/>
              </w:rPr>
            </w:pPr>
            <w:r>
              <w:rPr>
                <w:rFonts w:hint="default" w:ascii="Times New Roman" w:hAnsi="Times New Roman" w:cs="Times New Roman"/>
                <w:color w:val="auto"/>
                <w:sz w:val="24"/>
                <w:szCs w:val="28"/>
              </w:rPr>
              <w:t>从</w:t>
            </w:r>
            <w:r>
              <w:rPr>
                <w:rFonts w:hint="default" w:ascii="Times New Roman" w:hAnsi="Times New Roman" w:cs="Times New Roman"/>
                <w:color w:val="auto"/>
                <w:sz w:val="24"/>
                <w:szCs w:val="28"/>
              </w:rPr>
              <w:fldChar w:fldCharType="begin"/>
            </w:r>
            <w:r>
              <w:rPr>
                <w:rFonts w:hint="default" w:ascii="Times New Roman" w:hAnsi="Times New Roman" w:cs="Times New Roman"/>
                <w:color w:val="auto"/>
                <w:sz w:val="24"/>
                <w:szCs w:val="28"/>
              </w:rPr>
              <w:instrText xml:space="preserve"> HYPERLINK "http://srtm.csi.cgiar.org/selection/inputcoor.asp下载90m分辨率地形高程数据文件srtm_57_07.asc" </w:instrText>
            </w:r>
            <w:r>
              <w:rPr>
                <w:rFonts w:hint="default" w:ascii="Times New Roman" w:hAnsi="Times New Roman" w:cs="Times New Roman"/>
                <w:color w:val="auto"/>
                <w:sz w:val="24"/>
                <w:szCs w:val="28"/>
              </w:rPr>
              <w:fldChar w:fldCharType="separate"/>
            </w:r>
            <w:r>
              <w:rPr>
                <w:rFonts w:hint="default" w:ascii="Times New Roman" w:hAnsi="Times New Roman" w:cs="Times New Roman"/>
                <w:color w:val="auto"/>
                <w:sz w:val="24"/>
                <w:szCs w:val="28"/>
              </w:rPr>
              <w:t>http://srtm.csi.cgiar.org/selection/inputcoor.asp下载90m分辨率地形高程数据文件srtm_57_08.asc</w:t>
            </w:r>
            <w:r>
              <w:rPr>
                <w:rFonts w:hint="default" w:ascii="Times New Roman" w:hAnsi="Times New Roman" w:cs="Times New Roman"/>
                <w:color w:val="auto"/>
                <w:sz w:val="24"/>
                <w:szCs w:val="28"/>
              </w:rPr>
              <w:fldChar w:fldCharType="end"/>
            </w:r>
            <w:r>
              <w:rPr>
                <w:rFonts w:hint="default" w:ascii="Times New Roman" w:hAnsi="Times New Roman" w:cs="Times New Roman"/>
                <w:color w:val="auto"/>
                <w:sz w:val="24"/>
                <w:szCs w:val="28"/>
              </w:rPr>
              <w:t>，应用GLOBAL Mapper v10.02，选择完全包含预测范围的区域，选取的范围为（102°46′12.3600″E～102°47′15.7200″E，24°05′11.9400″N～24°05′44.9160″N）设置为UTM投影，导出生成AERMAP所需的数字高程DEM文件。</w:t>
            </w:r>
          </w:p>
          <w:p w14:paraId="5B8319F3">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3.4噪声预测结果</w:t>
            </w:r>
          </w:p>
          <w:p w14:paraId="4F8760C2">
            <w:pPr>
              <w:widowControl/>
              <w:autoSpaceDE w:val="0"/>
              <w:autoSpaceDN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（1）室外声源预测模式</w:t>
            </w:r>
          </w:p>
          <w:p w14:paraId="1797D862">
            <w:pPr>
              <w:widowControl/>
              <w:autoSpaceDE w:val="0"/>
              <w:autoSpaceDN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根据《环境影响评价技术导则  声环境》（HJ2.4-2021），</w:t>
            </w:r>
            <w:r>
              <w:rPr>
                <w:rFonts w:hint="default" w:ascii="Times New Roman" w:hAnsi="Times New Roman" w:cs="Times New Roman"/>
                <w:color w:val="auto"/>
                <w:sz w:val="24"/>
                <w:lang w:bidi="ar"/>
              </w:rPr>
              <w:t>无指向性点声源几何发散衰减的基本公式：</w:t>
            </w:r>
          </w:p>
          <w:p w14:paraId="3754DC47">
            <w:pPr>
              <w:autoSpaceDE w:val="0"/>
              <w:autoSpaceDN w:val="0"/>
              <w:adjustRightInd w:val="0"/>
              <w:spacing w:before="120" w:beforeLines="50" w:after="120" w:afterLines="50" w:line="360" w:lineRule="auto"/>
              <w:jc w:val="center"/>
              <w:rPr>
                <w:rFonts w:hint="default" w:ascii="Times New Roman" w:hAnsi="Times New Roman" w:cs="Times New Roman"/>
                <w:color w:val="auto"/>
                <w:sz w:val="24"/>
                <w:lang w:val="pt-BR"/>
              </w:rPr>
            </w:pPr>
            <w:r>
              <w:rPr>
                <w:rFonts w:hint="default" w:ascii="Times New Roman" w:hAnsi="Times New Roman" w:cs="Times New Roman"/>
                <w:i/>
                <w:iCs/>
                <w:color w:val="auto"/>
                <w:sz w:val="24"/>
                <w:lang w:val="pt-BR" w:bidi="ar"/>
              </w:rPr>
              <w:t>L</w:t>
            </w:r>
            <w:r>
              <w:rPr>
                <w:rFonts w:hint="default" w:ascii="Times New Roman" w:hAnsi="Times New Roman" w:cs="Times New Roman"/>
                <w:i/>
                <w:iCs/>
                <w:color w:val="auto"/>
                <w:sz w:val="24"/>
                <w:lang w:bidi="ar"/>
              </w:rPr>
              <w:t>p</w:t>
            </w:r>
            <w:r>
              <w:rPr>
                <w:rFonts w:hint="default" w:ascii="Times New Roman" w:hAnsi="Times New Roman" w:cs="Times New Roman"/>
                <w:i/>
                <w:iCs/>
                <w:color w:val="auto"/>
                <w:sz w:val="24"/>
                <w:lang w:val="pt-BR" w:bidi="ar"/>
              </w:rPr>
              <w:t>(r)</w:t>
            </w:r>
            <w:r>
              <w:rPr>
                <w:rFonts w:hint="default" w:ascii="Times New Roman" w:hAnsi="Times New Roman" w:cs="Times New Roman"/>
                <w:color w:val="auto"/>
                <w:sz w:val="24"/>
                <w:lang w:val="pt-BR" w:bidi="ar"/>
              </w:rPr>
              <w:t>=</w:t>
            </w:r>
            <w:r>
              <w:rPr>
                <w:rFonts w:hint="default" w:ascii="Times New Roman" w:hAnsi="Times New Roman" w:cs="Times New Roman"/>
                <w:i/>
                <w:iCs/>
                <w:color w:val="auto"/>
                <w:sz w:val="24"/>
                <w:lang w:val="pt-BR" w:bidi="ar"/>
              </w:rPr>
              <w:t>Lr</w:t>
            </w:r>
            <w:r>
              <w:rPr>
                <w:rFonts w:hint="default" w:ascii="Times New Roman" w:hAnsi="Times New Roman" w:cs="Times New Roman"/>
                <w:i/>
                <w:iCs/>
                <w:color w:val="auto"/>
                <w:sz w:val="24"/>
                <w:vertAlign w:val="subscript"/>
                <w:lang w:val="pt-BR" w:bidi="ar"/>
              </w:rPr>
              <w:t>0</w:t>
            </w:r>
            <w:r>
              <w:rPr>
                <w:rFonts w:hint="default" w:ascii="Times New Roman" w:hAnsi="Times New Roman" w:cs="Times New Roman"/>
                <w:color w:val="auto"/>
                <w:sz w:val="24"/>
                <w:lang w:val="pt-BR" w:bidi="ar"/>
              </w:rPr>
              <w:t>-20lg</w:t>
            </w:r>
            <w:r>
              <w:rPr>
                <w:rFonts w:hint="default" w:ascii="Times New Roman" w:hAnsi="Times New Roman" w:cs="Times New Roman"/>
                <w:i/>
                <w:iCs/>
                <w:color w:val="auto"/>
                <w:sz w:val="24"/>
                <w:lang w:val="pt-BR" w:bidi="ar"/>
              </w:rPr>
              <w:t>(r/r</w:t>
            </w:r>
            <w:r>
              <w:rPr>
                <w:rFonts w:hint="default" w:ascii="Times New Roman" w:hAnsi="Times New Roman" w:cs="Times New Roman"/>
                <w:i/>
                <w:iCs/>
                <w:color w:val="auto"/>
                <w:sz w:val="24"/>
                <w:vertAlign w:val="subscript"/>
                <w:lang w:val="pt-BR" w:bidi="ar"/>
              </w:rPr>
              <w:t>0</w:t>
            </w:r>
            <w:r>
              <w:rPr>
                <w:rFonts w:hint="default" w:ascii="Times New Roman" w:hAnsi="Times New Roman" w:cs="Times New Roman"/>
                <w:i/>
                <w:iCs/>
                <w:color w:val="auto"/>
                <w:sz w:val="24"/>
                <w:lang w:val="pt-BR" w:bidi="ar"/>
              </w:rPr>
              <w:t>)</w:t>
            </w:r>
          </w:p>
          <w:p w14:paraId="4D935DDE">
            <w:pPr>
              <w:autoSpaceDE w:val="0"/>
              <w:autoSpaceDN w:val="0"/>
              <w:adjustRightInd w:val="0"/>
              <w:spacing w:line="360" w:lineRule="auto"/>
              <w:ind w:firstLine="480" w:firstLineChars="2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式中：</w:t>
            </w:r>
          </w:p>
          <w:p w14:paraId="2984F1D4">
            <w:pPr>
              <w:autoSpaceDE w:val="0"/>
              <w:autoSpaceDN w:val="0"/>
              <w:adjustRightInd w:val="0"/>
              <w:spacing w:line="360" w:lineRule="auto"/>
              <w:ind w:firstLine="1200" w:firstLineChars="500"/>
              <w:jc w:val="left"/>
              <w:rPr>
                <w:rFonts w:hint="default" w:ascii="Times New Roman" w:hAnsi="Times New Roman" w:cs="Times New Roman"/>
                <w:color w:val="auto"/>
                <w:sz w:val="24"/>
              </w:rPr>
            </w:pPr>
            <w:r>
              <w:rPr>
                <w:rFonts w:hint="default" w:ascii="Times New Roman" w:hAnsi="Times New Roman" w:cs="Times New Roman"/>
                <w:i/>
                <w:iCs/>
                <w:color w:val="auto"/>
                <w:sz w:val="24"/>
                <w:lang w:val="pt-BR" w:bidi="ar"/>
              </w:rPr>
              <w:t>L</w:t>
            </w:r>
            <w:r>
              <w:rPr>
                <w:rFonts w:hint="default" w:ascii="Times New Roman" w:hAnsi="Times New Roman" w:cs="Times New Roman"/>
                <w:i/>
                <w:iCs/>
                <w:color w:val="auto"/>
                <w:sz w:val="24"/>
                <w:lang w:bidi="ar"/>
              </w:rPr>
              <w:t>p</w:t>
            </w:r>
            <w:r>
              <w:rPr>
                <w:rFonts w:hint="default" w:ascii="Times New Roman" w:hAnsi="Times New Roman" w:cs="Times New Roman"/>
                <w:i/>
                <w:iCs/>
                <w:color w:val="auto"/>
                <w:sz w:val="24"/>
                <w:lang w:val="pt-BR" w:bidi="ar"/>
              </w:rPr>
              <w:t>(r)</w:t>
            </w:r>
            <w:r>
              <w:rPr>
                <w:rFonts w:hint="default" w:ascii="Times New Roman" w:hAnsi="Times New Roman" w:cs="Times New Roman"/>
                <w:color w:val="auto"/>
                <w:sz w:val="24"/>
                <w:lang w:bidi="ar"/>
              </w:rPr>
              <w:t>—预测点处声压级，dB；</w:t>
            </w:r>
          </w:p>
          <w:p w14:paraId="6C3E263C">
            <w:pPr>
              <w:autoSpaceDE w:val="0"/>
              <w:autoSpaceDN w:val="0"/>
              <w:adjustRightInd w:val="0"/>
              <w:spacing w:line="360" w:lineRule="auto"/>
              <w:ind w:firstLine="1200" w:firstLineChars="500"/>
              <w:jc w:val="left"/>
              <w:rPr>
                <w:rFonts w:hint="default" w:ascii="Times New Roman" w:hAnsi="Times New Roman" w:cs="Times New Roman"/>
                <w:color w:val="auto"/>
                <w:sz w:val="24"/>
              </w:rPr>
            </w:pPr>
            <w:r>
              <w:rPr>
                <w:rFonts w:hint="default" w:ascii="Times New Roman" w:hAnsi="Times New Roman" w:cs="Times New Roman"/>
                <w:i/>
                <w:iCs/>
                <w:color w:val="auto"/>
                <w:sz w:val="24"/>
                <w:lang w:val="pt-BR" w:bidi="ar"/>
              </w:rPr>
              <w:t>Lr</w:t>
            </w:r>
            <w:r>
              <w:rPr>
                <w:rFonts w:hint="default" w:ascii="Times New Roman" w:hAnsi="Times New Roman" w:cs="Times New Roman"/>
                <w:i/>
                <w:iCs/>
                <w:color w:val="auto"/>
                <w:sz w:val="24"/>
                <w:vertAlign w:val="subscript"/>
                <w:lang w:val="pt-BR" w:bidi="ar"/>
              </w:rPr>
              <w:t>0</w:t>
            </w:r>
            <w:r>
              <w:rPr>
                <w:rFonts w:hint="default" w:ascii="Times New Roman" w:hAnsi="Times New Roman" w:cs="Times New Roman"/>
                <w:color w:val="auto"/>
                <w:sz w:val="24"/>
                <w:lang w:bidi="ar"/>
              </w:rPr>
              <w:t>—参考位置r</w:t>
            </w:r>
            <w:r>
              <w:rPr>
                <w:rFonts w:hint="default" w:ascii="Times New Roman" w:hAnsi="Times New Roman" w:cs="Times New Roman"/>
                <w:color w:val="auto"/>
                <w:sz w:val="24"/>
                <w:vertAlign w:val="subscript"/>
                <w:lang w:bidi="ar"/>
              </w:rPr>
              <w:t>0</w:t>
            </w:r>
            <w:r>
              <w:rPr>
                <w:rFonts w:hint="default" w:ascii="Times New Roman" w:hAnsi="Times New Roman" w:cs="Times New Roman"/>
                <w:color w:val="auto"/>
                <w:sz w:val="24"/>
                <w:lang w:bidi="ar"/>
              </w:rPr>
              <w:t>处的声压级，dB；</w:t>
            </w:r>
          </w:p>
          <w:p w14:paraId="274DABEF">
            <w:pPr>
              <w:autoSpaceDE w:val="0"/>
              <w:autoSpaceDN w:val="0"/>
              <w:adjustRightInd w:val="0"/>
              <w:spacing w:line="360" w:lineRule="auto"/>
              <w:ind w:firstLine="1200" w:firstLineChars="500"/>
              <w:jc w:val="left"/>
              <w:rPr>
                <w:rFonts w:hint="default" w:ascii="Times New Roman" w:hAnsi="Times New Roman" w:cs="Times New Roman"/>
                <w:color w:val="auto"/>
                <w:sz w:val="24"/>
              </w:rPr>
            </w:pPr>
            <w:r>
              <w:rPr>
                <w:rFonts w:hint="default" w:ascii="Times New Roman" w:hAnsi="Times New Roman" w:cs="Times New Roman"/>
                <w:i/>
                <w:iCs/>
                <w:color w:val="auto"/>
                <w:sz w:val="24"/>
                <w:lang w:bidi="ar"/>
              </w:rPr>
              <w:t>r</w:t>
            </w:r>
            <w:r>
              <w:rPr>
                <w:rFonts w:hint="default" w:ascii="Times New Roman" w:hAnsi="Times New Roman" w:cs="Times New Roman"/>
                <w:color w:val="auto"/>
                <w:sz w:val="24"/>
                <w:lang w:bidi="ar"/>
              </w:rPr>
              <w:t>—预测点距声源的距离；</w:t>
            </w:r>
          </w:p>
          <w:p w14:paraId="69C9A519">
            <w:pPr>
              <w:autoSpaceDE w:val="0"/>
              <w:autoSpaceDN w:val="0"/>
              <w:adjustRightInd w:val="0"/>
              <w:spacing w:line="360" w:lineRule="auto"/>
              <w:ind w:firstLine="1200" w:firstLineChars="500"/>
              <w:jc w:val="left"/>
              <w:rPr>
                <w:rFonts w:hint="default" w:ascii="Times New Roman" w:hAnsi="Times New Roman" w:cs="Times New Roman"/>
                <w:color w:val="auto"/>
                <w:sz w:val="24"/>
              </w:rPr>
            </w:pPr>
            <w:r>
              <w:rPr>
                <w:rFonts w:hint="default" w:ascii="Times New Roman" w:hAnsi="Times New Roman" w:cs="Times New Roman"/>
                <w:i/>
                <w:iCs/>
                <w:color w:val="auto"/>
                <w:sz w:val="24"/>
                <w:lang w:bidi="ar"/>
              </w:rPr>
              <w:t>r</w:t>
            </w:r>
            <w:r>
              <w:rPr>
                <w:rFonts w:hint="default" w:ascii="Times New Roman" w:hAnsi="Times New Roman" w:cs="Times New Roman"/>
                <w:i/>
                <w:iCs/>
                <w:color w:val="auto"/>
                <w:sz w:val="24"/>
                <w:vertAlign w:val="subscript"/>
                <w:lang w:bidi="ar"/>
              </w:rPr>
              <w:t>0</w:t>
            </w:r>
            <w:r>
              <w:rPr>
                <w:rFonts w:hint="default" w:ascii="Times New Roman" w:hAnsi="Times New Roman" w:cs="Times New Roman"/>
                <w:color w:val="auto"/>
                <w:sz w:val="24"/>
                <w:lang w:bidi="ar"/>
              </w:rPr>
              <w:t>—参考位置距声源的距离；</w:t>
            </w:r>
          </w:p>
          <w:p w14:paraId="77CF8F8A">
            <w:pPr>
              <w:autoSpaceDE w:val="0"/>
              <w:autoSpaceDN w:val="0"/>
              <w:adjustRightInd w:val="0"/>
              <w:snapToGrid w:val="0"/>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lang w:bidi="ar"/>
              </w:rPr>
              <w:t>建设项目在各受声点的声源叠加按下列公式计算：</w:t>
            </w:r>
          </w:p>
          <w:p w14:paraId="70C28AB4">
            <w:pPr>
              <w:autoSpaceDE w:val="0"/>
              <w:autoSpaceDN w:val="0"/>
              <w:adjustRightInd w:val="0"/>
              <w:snapToGrid w:val="0"/>
              <w:spacing w:line="360" w:lineRule="auto"/>
              <w:jc w:val="center"/>
              <w:rPr>
                <w:rFonts w:hint="default" w:ascii="Times New Roman" w:hAnsi="Times New Roman" w:cs="Times New Roman"/>
                <w:color w:val="auto"/>
                <w:sz w:val="24"/>
              </w:rPr>
            </w:pPr>
            <w:r>
              <w:rPr>
                <w:rFonts w:hint="default" w:ascii="Times New Roman" w:hAnsi="Times New Roman" w:cs="Times New Roman"/>
                <w:i/>
                <w:iCs/>
                <w:color w:val="auto"/>
                <w:sz w:val="24"/>
                <w:lang w:bidi="ar"/>
              </w:rPr>
              <w:t>Lp</w:t>
            </w:r>
            <w:r>
              <w:rPr>
                <w:rFonts w:hint="default" w:ascii="Times New Roman" w:hAnsi="Times New Roman" w:cs="Times New Roman"/>
                <w:color w:val="auto"/>
                <w:sz w:val="24"/>
                <w:lang w:bidi="ar"/>
              </w:rPr>
              <w:t>=10lg［</w:t>
            </w:r>
            <w:r>
              <w:rPr>
                <w:rFonts w:hint="default" w:ascii="Times New Roman" w:hAnsi="Times New Roman" w:cs="Times New Roman"/>
                <w:color w:val="auto"/>
                <w:sz w:val="24"/>
                <w:lang w:bidi="ar"/>
              </w:rPr>
              <w:object>
                <v:shape id="_x0000_i1033" o:spt="75" type="#_x0000_t75" style="height:33.75pt;width:29.25pt;" o:ole="t" filled="f" o:preferrelative="t" stroked="f" coordsize="21600,21600">
                  <v:path/>
                  <v:fill on="f" focussize="0,0"/>
                  <v:stroke on="f" joinstyle="miter"/>
                  <v:imagedata r:id="rId28" o:title=""/>
                  <o:lock v:ext="edit" aspectratio="t"/>
                  <w10:wrap type="none"/>
                  <w10:anchorlock/>
                </v:shape>
                <o:OLEObject Type="Embed" ProgID="Equation.3" ShapeID="_x0000_i1033" DrawAspect="Content" ObjectID="_1468075733" r:id="rId27">
                  <o:LockedField>false</o:LockedField>
                </o:OLEObject>
              </w:object>
            </w:r>
            <w:r>
              <w:rPr>
                <w:rFonts w:hint="default" w:ascii="Times New Roman" w:hAnsi="Times New Roman" w:cs="Times New Roman"/>
                <w:color w:val="auto"/>
                <w:sz w:val="24"/>
                <w:vertAlign w:val="superscript"/>
                <w:lang w:bidi="ar"/>
              </w:rPr>
              <w:t>0.1Li</w:t>
            </w:r>
            <w:r>
              <w:rPr>
                <w:rFonts w:hint="default" w:ascii="Times New Roman" w:hAnsi="Times New Roman" w:cs="Times New Roman"/>
                <w:color w:val="auto"/>
                <w:sz w:val="24"/>
                <w:lang w:bidi="ar"/>
              </w:rPr>
              <w:t>］</w:t>
            </w:r>
          </w:p>
          <w:p w14:paraId="7250190B">
            <w:pPr>
              <w:autoSpaceDE w:val="0"/>
              <w:autoSpaceDN w:val="0"/>
              <w:adjustRightInd w:val="0"/>
              <w:snapToGrid w:val="0"/>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式中：</w:t>
            </w:r>
          </w:p>
          <w:p w14:paraId="05DDAC5E">
            <w:pPr>
              <w:autoSpaceDE w:val="0"/>
              <w:autoSpaceDN w:val="0"/>
              <w:adjustRightInd w:val="0"/>
              <w:snapToGrid w:val="0"/>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lang w:bidi="ar"/>
              </w:rPr>
              <w:t>Li—第i个声源声值；</w:t>
            </w:r>
          </w:p>
          <w:p w14:paraId="242A3EE2">
            <w:pPr>
              <w:autoSpaceDE w:val="0"/>
              <w:autoSpaceDN w:val="0"/>
              <w:adjustRightInd w:val="0"/>
              <w:spacing w:line="360" w:lineRule="auto"/>
              <w:ind w:firstLine="1200" w:firstLineChars="500"/>
              <w:jc w:val="left"/>
              <w:rPr>
                <w:rFonts w:hint="default" w:ascii="Times New Roman" w:hAnsi="Times New Roman" w:cs="Times New Roman"/>
                <w:color w:val="auto"/>
                <w:sz w:val="24"/>
              </w:rPr>
            </w:pPr>
            <w:r>
              <w:rPr>
                <w:rFonts w:hint="default" w:ascii="Times New Roman" w:hAnsi="Times New Roman" w:cs="Times New Roman"/>
                <w:i/>
                <w:iCs/>
                <w:color w:val="auto"/>
                <w:sz w:val="24"/>
                <w:lang w:bidi="ar"/>
              </w:rPr>
              <w:t>Lp</w:t>
            </w:r>
            <w:r>
              <w:rPr>
                <w:rFonts w:hint="default" w:ascii="Times New Roman" w:hAnsi="Times New Roman" w:cs="Times New Roman"/>
                <w:color w:val="auto"/>
                <w:sz w:val="24"/>
                <w:lang w:bidi="ar"/>
              </w:rPr>
              <w:t>—某点噪声总叠加值；</w:t>
            </w:r>
          </w:p>
          <w:p w14:paraId="03BB2871">
            <w:pPr>
              <w:autoSpaceDE w:val="0"/>
              <w:autoSpaceDN w:val="0"/>
              <w:adjustRightInd w:val="0"/>
              <w:spacing w:line="360" w:lineRule="auto"/>
              <w:ind w:firstLine="1200" w:firstLineChars="500"/>
              <w:jc w:val="left"/>
              <w:rPr>
                <w:rFonts w:hint="default" w:ascii="Times New Roman" w:hAnsi="Times New Roman" w:cs="Times New Roman"/>
                <w:color w:val="auto"/>
                <w:sz w:val="24"/>
              </w:rPr>
            </w:pPr>
            <w:r>
              <w:rPr>
                <w:rFonts w:hint="default" w:ascii="Times New Roman" w:hAnsi="Times New Roman" w:cs="Times New Roman"/>
                <w:color w:val="auto"/>
                <w:sz w:val="24"/>
                <w:lang w:bidi="ar"/>
              </w:rPr>
              <w:t>n—声源个数。</w:t>
            </w:r>
          </w:p>
          <w:p w14:paraId="3E0B1D57">
            <w:pPr>
              <w:widowControl/>
              <w:autoSpaceDE w:val="0"/>
              <w:autoSpaceDN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（2）室内声源预测模式</w:t>
            </w:r>
          </w:p>
          <w:p w14:paraId="4B71657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根据《环境影响评价技术导则  声环境》（HJ2.4-2021），先计算某室内声源靠近围护结构处产生的倍频带声压级或A声级，计算公式如下：</w:t>
            </w:r>
          </w:p>
          <w:p w14:paraId="584ECF1D">
            <w:pPr>
              <w:spacing w:line="360" w:lineRule="auto"/>
              <w:ind w:firstLine="420" w:firstLineChars="200"/>
              <w:jc w:val="center"/>
              <w:rPr>
                <w:rFonts w:hint="default" w:ascii="Times New Roman" w:hAnsi="Times New Roman" w:cs="Times New Roman"/>
                <w:color w:val="auto"/>
                <w:sz w:val="24"/>
              </w:rPr>
            </w:pPr>
            <w:r>
              <w:rPr>
                <w:rFonts w:hint="default" w:ascii="Times New Roman" w:hAnsi="Times New Roman" w:cs="Times New Roman"/>
                <w:color w:val="auto"/>
              </w:rPr>
              <w:drawing>
                <wp:inline distT="0" distB="0" distL="114300" distR="114300">
                  <wp:extent cx="3028950" cy="666750"/>
                  <wp:effectExtent l="0" t="0" r="0" b="0"/>
                  <wp:docPr id="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1"/>
                          <pic:cNvPicPr>
                            <a:picLocks noChangeAspect="1"/>
                          </pic:cNvPicPr>
                        </pic:nvPicPr>
                        <pic:blipFill>
                          <a:blip r:embed="rId29"/>
                          <a:stretch>
                            <a:fillRect/>
                          </a:stretch>
                        </pic:blipFill>
                        <pic:spPr>
                          <a:xfrm>
                            <a:off x="0" y="0"/>
                            <a:ext cx="3028950" cy="666750"/>
                          </a:xfrm>
                          <a:prstGeom prst="rect">
                            <a:avLst/>
                          </a:prstGeom>
                          <a:noFill/>
                          <a:ln>
                            <a:noFill/>
                          </a:ln>
                        </pic:spPr>
                      </pic:pic>
                    </a:graphicData>
                  </a:graphic>
                </wp:inline>
              </w:drawing>
            </w:r>
          </w:p>
          <w:p w14:paraId="626C648C">
            <w:pPr>
              <w:widowControl/>
              <w:autoSpaceDE w:val="0"/>
              <w:autoSpaceDN w:val="0"/>
              <w:spacing w:line="360" w:lineRule="auto"/>
              <w:ind w:firstLine="480" w:firstLineChars="2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式中：</w:t>
            </w:r>
          </w:p>
          <w:p w14:paraId="735A46F7">
            <w:pPr>
              <w:widowControl/>
              <w:autoSpaceDE w:val="0"/>
              <w:autoSpaceDN w:val="0"/>
              <w:spacing w:line="360" w:lineRule="auto"/>
              <w:ind w:firstLine="1200" w:firstLineChars="5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L</w:t>
            </w:r>
            <w:r>
              <w:rPr>
                <w:rFonts w:hint="default" w:ascii="Times New Roman" w:hAnsi="Times New Roman" w:cs="Times New Roman"/>
                <w:color w:val="auto"/>
                <w:sz w:val="24"/>
                <w:vertAlign w:val="subscript"/>
                <w:lang w:bidi="ar"/>
              </w:rPr>
              <w:t>p1</w:t>
            </w:r>
            <w:r>
              <w:rPr>
                <w:rFonts w:hint="default" w:ascii="Times New Roman" w:hAnsi="Times New Roman" w:cs="Times New Roman"/>
                <w:color w:val="auto"/>
                <w:sz w:val="24"/>
                <w:lang w:bidi="ar"/>
              </w:rPr>
              <w:t>—靠近开口处 （或窗户）室内某倍频带的声压级或A声级，dB；</w:t>
            </w:r>
          </w:p>
          <w:p w14:paraId="69617873">
            <w:pPr>
              <w:widowControl/>
              <w:autoSpaceDE w:val="0"/>
              <w:autoSpaceDN w:val="0"/>
              <w:spacing w:line="360" w:lineRule="auto"/>
              <w:ind w:firstLine="1200" w:firstLineChars="5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Lw—点声源声功率级（A计权或倍频带），dB；</w:t>
            </w:r>
          </w:p>
          <w:p w14:paraId="5B56C465">
            <w:pPr>
              <w:widowControl/>
              <w:autoSpaceDE w:val="0"/>
              <w:autoSpaceDN w:val="0"/>
              <w:spacing w:line="360" w:lineRule="auto"/>
              <w:ind w:firstLine="1200" w:firstLineChars="5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Q—指向性因数；通常对无指向性声源，当声源放在房间中心时，Q=1；当放在一面墙的中心时，Q=2；当放在两面墙夹角处时，Q=4；当放在三面墙夹角处时，Q=8；</w:t>
            </w:r>
          </w:p>
          <w:p w14:paraId="2AB930C2">
            <w:pPr>
              <w:widowControl/>
              <w:autoSpaceDE w:val="0"/>
              <w:autoSpaceDN w:val="0"/>
              <w:spacing w:line="360" w:lineRule="auto"/>
              <w:ind w:firstLine="1200" w:firstLineChars="5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R—房间常数；R=Sa/(1-a），S为房间内表面面积，m</w:t>
            </w:r>
            <w:r>
              <w:rPr>
                <w:rFonts w:hint="default" w:ascii="Times New Roman" w:hAnsi="Times New Roman" w:cs="Times New Roman"/>
                <w:color w:val="auto"/>
                <w:sz w:val="24"/>
                <w:vertAlign w:val="superscript"/>
                <w:lang w:bidi="ar"/>
              </w:rPr>
              <w:t>2</w:t>
            </w:r>
            <w:r>
              <w:rPr>
                <w:rFonts w:hint="default" w:ascii="Times New Roman" w:hAnsi="Times New Roman" w:cs="Times New Roman"/>
                <w:color w:val="auto"/>
                <w:sz w:val="24"/>
                <w:lang w:bidi="ar"/>
              </w:rPr>
              <w:t>；a为平均吸声系数；</w:t>
            </w:r>
          </w:p>
          <w:p w14:paraId="1D9042B1">
            <w:pPr>
              <w:widowControl/>
              <w:autoSpaceDE w:val="0"/>
              <w:autoSpaceDN w:val="0"/>
              <w:spacing w:line="360" w:lineRule="auto"/>
              <w:ind w:firstLine="1200" w:firstLineChars="5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r—声源到靠近围护结构某点处的距离，m。</w:t>
            </w:r>
          </w:p>
          <w:p w14:paraId="425B4D54">
            <w:pPr>
              <w:widowControl/>
              <w:autoSpaceDE w:val="0"/>
              <w:autoSpaceDN w:val="0"/>
              <w:spacing w:line="360" w:lineRule="auto"/>
              <w:ind w:firstLine="480" w:firstLineChars="2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然后按如下式计算出所有室内声源在围护结构处产生的i倍频带叠加声压级：</w:t>
            </w:r>
          </w:p>
          <w:p w14:paraId="43B25EDD">
            <w:pPr>
              <w:spacing w:line="360" w:lineRule="auto"/>
              <w:ind w:firstLine="420" w:firstLineChars="200"/>
              <w:jc w:val="center"/>
              <w:rPr>
                <w:rFonts w:hint="default" w:ascii="Times New Roman" w:hAnsi="Times New Roman" w:cs="Times New Roman"/>
                <w:color w:val="auto"/>
                <w:sz w:val="24"/>
              </w:rPr>
            </w:pPr>
            <w:r>
              <w:rPr>
                <w:rFonts w:hint="default" w:ascii="Times New Roman" w:hAnsi="Times New Roman" w:cs="Times New Roman"/>
                <w:color w:val="auto"/>
              </w:rPr>
              <w:drawing>
                <wp:inline distT="0" distB="0" distL="114300" distR="114300">
                  <wp:extent cx="2762250" cy="714375"/>
                  <wp:effectExtent l="0" t="0" r="0" b="9525"/>
                  <wp:docPr id="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2"/>
                          <pic:cNvPicPr>
                            <a:picLocks noChangeAspect="1"/>
                          </pic:cNvPicPr>
                        </pic:nvPicPr>
                        <pic:blipFill>
                          <a:blip r:embed="rId30"/>
                          <a:stretch>
                            <a:fillRect/>
                          </a:stretch>
                        </pic:blipFill>
                        <pic:spPr>
                          <a:xfrm>
                            <a:off x="0" y="0"/>
                            <a:ext cx="2762250" cy="714375"/>
                          </a:xfrm>
                          <a:prstGeom prst="rect">
                            <a:avLst/>
                          </a:prstGeom>
                          <a:noFill/>
                          <a:ln>
                            <a:noFill/>
                          </a:ln>
                        </pic:spPr>
                      </pic:pic>
                    </a:graphicData>
                  </a:graphic>
                </wp:inline>
              </w:drawing>
            </w:r>
          </w:p>
          <w:p w14:paraId="2CEE2BD6">
            <w:pPr>
              <w:widowControl/>
              <w:autoSpaceDE w:val="0"/>
              <w:autoSpaceDN w:val="0"/>
              <w:spacing w:line="360" w:lineRule="auto"/>
              <w:ind w:firstLine="480" w:firstLineChars="2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式中：</w:t>
            </w:r>
          </w:p>
          <w:p w14:paraId="48148BA1">
            <w:pPr>
              <w:widowControl/>
              <w:autoSpaceDE w:val="0"/>
              <w:autoSpaceDN w:val="0"/>
              <w:spacing w:line="360" w:lineRule="auto"/>
              <w:ind w:firstLine="1200" w:firstLineChars="5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L</w:t>
            </w:r>
            <w:r>
              <w:rPr>
                <w:rFonts w:hint="default" w:ascii="Times New Roman" w:hAnsi="Times New Roman" w:cs="Times New Roman"/>
                <w:color w:val="auto"/>
                <w:sz w:val="24"/>
                <w:vertAlign w:val="subscript"/>
                <w:lang w:bidi="ar"/>
              </w:rPr>
              <w:t>pli</w:t>
            </w:r>
            <w:r>
              <w:rPr>
                <w:rFonts w:hint="default" w:ascii="Times New Roman" w:hAnsi="Times New Roman" w:cs="Times New Roman"/>
                <w:color w:val="auto"/>
                <w:sz w:val="24"/>
                <w:lang w:bidi="ar"/>
              </w:rPr>
              <w:t>(T)—靠近围护结构处室内N个声源i倍频带的叠加声压级，dB；</w:t>
            </w:r>
          </w:p>
          <w:p w14:paraId="573D85FD">
            <w:pPr>
              <w:widowControl/>
              <w:autoSpaceDE w:val="0"/>
              <w:autoSpaceDN w:val="0"/>
              <w:spacing w:line="360" w:lineRule="auto"/>
              <w:ind w:firstLine="1200" w:firstLineChars="5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Lpi—室内j声源i倍频带的声压级，dB；</w:t>
            </w:r>
          </w:p>
          <w:p w14:paraId="6E4A2754">
            <w:pPr>
              <w:widowControl/>
              <w:autoSpaceDE w:val="0"/>
              <w:autoSpaceDN w:val="0"/>
              <w:spacing w:line="360" w:lineRule="auto"/>
              <w:ind w:firstLine="1200" w:firstLineChars="5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N—室内声源总数。</w:t>
            </w:r>
          </w:p>
          <w:p w14:paraId="2DD3BB5A">
            <w:pPr>
              <w:widowControl/>
              <w:autoSpaceDE w:val="0"/>
              <w:autoSpaceDN w:val="0"/>
              <w:spacing w:line="360" w:lineRule="auto"/>
              <w:ind w:firstLine="480" w:firstLineChars="2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在室内近似为扩散声场时，按下式计算出靠近室外围护结构处的声压级：</w:t>
            </w:r>
          </w:p>
          <w:p w14:paraId="2EC72CA9">
            <w:pPr>
              <w:spacing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L</w:t>
            </w:r>
            <w:r>
              <w:rPr>
                <w:rFonts w:hint="default" w:ascii="Times New Roman" w:hAnsi="Times New Roman" w:cs="Times New Roman"/>
                <w:color w:val="auto"/>
                <w:sz w:val="28"/>
                <w:szCs w:val="28"/>
                <w:vertAlign w:val="subscript"/>
              </w:rPr>
              <w:t>p2i</w:t>
            </w:r>
            <w:r>
              <w:rPr>
                <w:rFonts w:hint="default" w:ascii="Times New Roman" w:hAnsi="Times New Roman" w:cs="Times New Roman"/>
                <w:color w:val="auto"/>
                <w:sz w:val="28"/>
                <w:szCs w:val="28"/>
              </w:rPr>
              <w:t>(T)=L</w:t>
            </w:r>
            <w:r>
              <w:rPr>
                <w:rFonts w:hint="default" w:ascii="Times New Roman" w:hAnsi="Times New Roman" w:cs="Times New Roman"/>
                <w:color w:val="auto"/>
                <w:sz w:val="28"/>
                <w:szCs w:val="28"/>
                <w:vertAlign w:val="subscript"/>
              </w:rPr>
              <w:t>pli</w:t>
            </w:r>
            <w:r>
              <w:rPr>
                <w:rFonts w:hint="default" w:ascii="Times New Roman" w:hAnsi="Times New Roman" w:cs="Times New Roman"/>
                <w:color w:val="auto"/>
                <w:sz w:val="28"/>
                <w:szCs w:val="28"/>
              </w:rPr>
              <w:t>(T)-(TL</w:t>
            </w:r>
            <w:r>
              <w:rPr>
                <w:rFonts w:hint="default" w:ascii="Times New Roman" w:hAnsi="Times New Roman" w:cs="Times New Roman"/>
                <w:color w:val="auto"/>
                <w:sz w:val="28"/>
                <w:szCs w:val="28"/>
                <w:vertAlign w:val="subscript"/>
              </w:rPr>
              <w:t>i</w:t>
            </w:r>
            <w:r>
              <w:rPr>
                <w:rFonts w:hint="default" w:ascii="Times New Roman" w:hAnsi="Times New Roman" w:cs="Times New Roman"/>
                <w:color w:val="auto"/>
                <w:sz w:val="28"/>
                <w:szCs w:val="28"/>
              </w:rPr>
              <w:t>+6)</w:t>
            </w:r>
          </w:p>
          <w:p w14:paraId="2A09156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3985F6BE">
            <w:pPr>
              <w:spacing w:line="360" w:lineRule="auto"/>
              <w:ind w:firstLine="1200" w:firstLineChars="500"/>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L</w:t>
            </w:r>
            <w:r>
              <w:rPr>
                <w:rFonts w:hint="default" w:ascii="Times New Roman" w:hAnsi="Times New Roman" w:cs="Times New Roman"/>
                <w:color w:val="auto"/>
                <w:sz w:val="24"/>
                <w:vertAlign w:val="subscript"/>
                <w:lang w:bidi="ar"/>
              </w:rPr>
              <w:t>2pi</w:t>
            </w:r>
            <w:r>
              <w:rPr>
                <w:rFonts w:hint="default" w:ascii="Times New Roman" w:hAnsi="Times New Roman" w:cs="Times New Roman"/>
                <w:color w:val="auto"/>
                <w:sz w:val="24"/>
                <w:lang w:bidi="ar"/>
              </w:rPr>
              <w:t>（T）—靠近围护结构处室外N个声源i倍频带的叠加声压级，dB；</w:t>
            </w:r>
          </w:p>
          <w:p w14:paraId="63579BF5">
            <w:pPr>
              <w:widowControl/>
              <w:autoSpaceDE w:val="0"/>
              <w:autoSpaceDN w:val="0"/>
              <w:spacing w:line="360" w:lineRule="auto"/>
              <w:ind w:firstLine="1200" w:firstLineChars="5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L</w:t>
            </w:r>
            <w:r>
              <w:rPr>
                <w:rFonts w:hint="default" w:ascii="Times New Roman" w:hAnsi="Times New Roman" w:cs="Times New Roman"/>
                <w:color w:val="auto"/>
                <w:sz w:val="24"/>
                <w:vertAlign w:val="subscript"/>
                <w:lang w:bidi="ar"/>
              </w:rPr>
              <w:t>1pi</w:t>
            </w:r>
            <w:r>
              <w:rPr>
                <w:rFonts w:hint="default" w:ascii="Times New Roman" w:hAnsi="Times New Roman" w:cs="Times New Roman"/>
                <w:color w:val="auto"/>
                <w:sz w:val="24"/>
                <w:lang w:bidi="ar"/>
              </w:rPr>
              <w:t>（T）—靠近围护结构处室内N个声源i倍频带的叠加声压级，dB；</w:t>
            </w:r>
          </w:p>
          <w:p w14:paraId="3306E40A">
            <w:pPr>
              <w:widowControl/>
              <w:autoSpaceDE w:val="0"/>
              <w:autoSpaceDN w:val="0"/>
              <w:spacing w:line="360" w:lineRule="auto"/>
              <w:ind w:firstLine="1200" w:firstLineChars="5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T</w:t>
            </w:r>
            <w:r>
              <w:rPr>
                <w:rFonts w:hint="default" w:ascii="Times New Roman" w:hAnsi="Times New Roman" w:cs="Times New Roman"/>
                <w:color w:val="auto"/>
                <w:sz w:val="24"/>
                <w:vertAlign w:val="subscript"/>
                <w:lang w:bidi="ar"/>
              </w:rPr>
              <w:t>L</w:t>
            </w:r>
            <w:r>
              <w:rPr>
                <w:rFonts w:hint="default" w:ascii="Times New Roman" w:hAnsi="Times New Roman" w:cs="Times New Roman"/>
                <w:color w:val="auto"/>
                <w:sz w:val="24"/>
                <w:lang w:bidi="ar"/>
              </w:rPr>
              <w:t>—围护结构i倍频带的隔声量，dB。</w:t>
            </w:r>
          </w:p>
          <w:p w14:paraId="2A672BE6">
            <w:pPr>
              <w:widowControl/>
              <w:autoSpaceDE w:val="0"/>
              <w:autoSpaceDN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lang w:bidi="ar"/>
              </w:rPr>
              <w:t>然后按下式将室外声源的声压级和透过面积换算成等效的室外声源，计算出中心位置位于透</w:t>
            </w:r>
            <w:r>
              <w:rPr>
                <w:rFonts w:hint="default" w:ascii="Times New Roman" w:hAnsi="Times New Roman" w:cs="Times New Roman"/>
                <w:color w:val="auto"/>
                <w:sz w:val="24"/>
              </w:rPr>
              <w:t>声面积（S）处的等效声源的倍频带声功率级。</w:t>
            </w:r>
          </w:p>
          <w:p w14:paraId="530BEF58">
            <w:pPr>
              <w:spacing w:line="360"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Lw =L</w:t>
            </w:r>
            <w:r>
              <w:rPr>
                <w:rFonts w:hint="default" w:ascii="Times New Roman" w:hAnsi="Times New Roman" w:cs="Times New Roman"/>
                <w:color w:val="auto"/>
                <w:sz w:val="28"/>
                <w:szCs w:val="28"/>
                <w:vertAlign w:val="subscript"/>
              </w:rPr>
              <w:t>P2</w:t>
            </w:r>
            <w:r>
              <w:rPr>
                <w:rFonts w:hint="default" w:ascii="Times New Roman" w:hAnsi="Times New Roman" w:cs="Times New Roman"/>
                <w:color w:val="auto"/>
                <w:sz w:val="28"/>
                <w:szCs w:val="28"/>
              </w:rPr>
              <w:t>(T)+10lgS</w:t>
            </w:r>
          </w:p>
          <w:p w14:paraId="0BE9E62D">
            <w:pPr>
              <w:widowControl/>
              <w:autoSpaceDE w:val="0"/>
              <w:autoSpaceDN w:val="0"/>
              <w:spacing w:line="360" w:lineRule="auto"/>
              <w:ind w:firstLine="480" w:firstLineChars="2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式中：</w:t>
            </w:r>
          </w:p>
          <w:p w14:paraId="273012B5">
            <w:pPr>
              <w:widowControl/>
              <w:autoSpaceDE w:val="0"/>
              <w:autoSpaceDN w:val="0"/>
              <w:spacing w:line="360" w:lineRule="auto"/>
              <w:ind w:firstLine="960" w:firstLineChars="4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Lw—中心位置位于透声面积（S）处的等效声源的倍频带声功率级，dB；</w:t>
            </w:r>
          </w:p>
          <w:p w14:paraId="7A4A72BB">
            <w:pPr>
              <w:widowControl/>
              <w:autoSpaceDE w:val="0"/>
              <w:autoSpaceDN w:val="0"/>
              <w:spacing w:line="360" w:lineRule="auto"/>
              <w:ind w:firstLine="960" w:firstLineChars="4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L</w:t>
            </w:r>
            <w:r>
              <w:rPr>
                <w:rFonts w:hint="default" w:ascii="Times New Roman" w:hAnsi="Times New Roman" w:cs="Times New Roman"/>
                <w:color w:val="auto"/>
                <w:sz w:val="24"/>
                <w:vertAlign w:val="subscript"/>
                <w:lang w:bidi="ar"/>
              </w:rPr>
              <w:t>p2</w:t>
            </w:r>
            <w:r>
              <w:rPr>
                <w:rFonts w:hint="default" w:ascii="Times New Roman" w:hAnsi="Times New Roman" w:cs="Times New Roman"/>
                <w:color w:val="auto"/>
                <w:sz w:val="24"/>
                <w:lang w:bidi="ar"/>
              </w:rPr>
              <w:t>(T)—靠近围护结构处室外声源的声压级，dB；</w:t>
            </w:r>
          </w:p>
          <w:p w14:paraId="15206CFE">
            <w:pPr>
              <w:widowControl/>
              <w:autoSpaceDE w:val="0"/>
              <w:autoSpaceDN w:val="0"/>
              <w:spacing w:line="360" w:lineRule="auto"/>
              <w:ind w:firstLine="960" w:firstLineChars="4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S—透声面积，m</w:t>
            </w:r>
            <w:r>
              <w:rPr>
                <w:rFonts w:hint="default" w:ascii="Times New Roman" w:hAnsi="Times New Roman" w:cs="Times New Roman"/>
                <w:color w:val="auto"/>
                <w:sz w:val="24"/>
                <w:vertAlign w:val="superscript"/>
                <w:lang w:bidi="ar"/>
              </w:rPr>
              <w:t>2</w:t>
            </w:r>
            <w:r>
              <w:rPr>
                <w:rFonts w:hint="default" w:ascii="Times New Roman" w:hAnsi="Times New Roman" w:cs="Times New Roman"/>
                <w:color w:val="auto"/>
                <w:sz w:val="24"/>
                <w:lang w:bidi="ar"/>
              </w:rPr>
              <w:t>。</w:t>
            </w:r>
          </w:p>
          <w:p w14:paraId="180205E5">
            <w:pPr>
              <w:widowControl/>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然后按室外声源预测方法计算预测点处的A声级。</w:t>
            </w:r>
          </w:p>
          <w:p w14:paraId="20A8EFD2">
            <w:pPr>
              <w:widowControl/>
              <w:autoSpaceDE w:val="0"/>
              <w:autoSpaceDN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（3）预测思路</w:t>
            </w:r>
          </w:p>
          <w:p w14:paraId="0C0505A9">
            <w:pPr>
              <w:adjustRightInd w:val="0"/>
              <w:spacing w:line="360" w:lineRule="auto"/>
              <w:ind w:firstLine="482"/>
              <w:rPr>
                <w:rFonts w:hint="default" w:ascii="Times New Roman" w:hAnsi="Times New Roman" w:cs="Times New Roman"/>
                <w:color w:val="auto"/>
              </w:rPr>
            </w:pPr>
            <w:r>
              <w:rPr>
                <w:rFonts w:hint="default" w:ascii="Times New Roman" w:hAnsi="Times New Roman" w:cs="Times New Roman"/>
                <w:color w:val="auto"/>
                <w:sz w:val="24"/>
              </w:rPr>
              <w:t>项目位于南方钢铁有限公司现有厂界范围内，厂界噪声影响分析须叠加南方钢铁有限公司运行时噪声现状值，南方钢铁有限公司现有的型钢生产线目前正常运行，因此本次环评采用建设单位提供的2024年各季度的自行监测数据最大值作为项目的背景值。建设单位提供的2024年各季度的自行监测报告中厂界共设置了4个监测点位，其最大值具体如下：</w:t>
            </w:r>
          </w:p>
          <w:p w14:paraId="37B6EAFA">
            <w:pPr>
              <w:pStyle w:val="111"/>
              <w:spacing w:line="36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表4-7   2024年厂界噪声自行监测结果    单位：dB(A)</w:t>
            </w:r>
          </w:p>
          <w:tbl>
            <w:tblPr>
              <w:tblStyle w:val="35"/>
              <w:tblW w:w="4995" w:type="pct"/>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90"/>
              <w:gridCol w:w="731"/>
              <w:gridCol w:w="2087"/>
              <w:gridCol w:w="1062"/>
              <w:gridCol w:w="2018"/>
              <w:gridCol w:w="1049"/>
              <w:gridCol w:w="695"/>
            </w:tblGrid>
            <w:tr w14:paraId="2E9837B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358" w:type="pct"/>
                  <w:vMerge w:val="restart"/>
                  <w:tcBorders>
                    <w:tl2br w:val="nil"/>
                    <w:tr2bl w:val="nil"/>
                  </w:tcBorders>
                  <w:vAlign w:val="center"/>
                </w:tcPr>
                <w:p w14:paraId="7F6156B4">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监测点位</w:t>
                  </w:r>
                </w:p>
              </w:tc>
              <w:tc>
                <w:tcPr>
                  <w:tcW w:w="444" w:type="pct"/>
                  <w:vMerge w:val="restart"/>
                  <w:tcBorders>
                    <w:tl2br w:val="nil"/>
                    <w:tr2bl w:val="nil"/>
                  </w:tcBorders>
                  <w:vAlign w:val="center"/>
                </w:tcPr>
                <w:p w14:paraId="54482815">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时段</w:t>
                  </w:r>
                </w:p>
              </w:tc>
              <w:tc>
                <w:tcPr>
                  <w:tcW w:w="3774" w:type="pct"/>
                  <w:gridSpan w:val="4"/>
                  <w:tcBorders>
                    <w:tl2br w:val="nil"/>
                    <w:tr2bl w:val="nil"/>
                  </w:tcBorders>
                  <w:vAlign w:val="center"/>
                </w:tcPr>
                <w:p w14:paraId="6F368EA9">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噪声值dB(A)</w:t>
                  </w:r>
                </w:p>
              </w:tc>
              <w:tc>
                <w:tcPr>
                  <w:tcW w:w="422" w:type="pct"/>
                  <w:vMerge w:val="restart"/>
                  <w:tcBorders>
                    <w:tl2br w:val="nil"/>
                    <w:tr2bl w:val="nil"/>
                  </w:tcBorders>
                  <w:vAlign w:val="center"/>
                </w:tcPr>
                <w:p w14:paraId="1B0BCBDA">
                  <w:pPr>
                    <w:autoSpaceDN w:val="0"/>
                    <w:jc w:val="center"/>
                    <w:textAlignment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最大值</w:t>
                  </w:r>
                </w:p>
              </w:tc>
            </w:tr>
            <w:tr w14:paraId="57D5CF1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8" w:type="pct"/>
                  <w:vMerge w:val="continue"/>
                  <w:tcBorders>
                    <w:tl2br w:val="nil"/>
                    <w:tr2bl w:val="nil"/>
                  </w:tcBorders>
                  <w:vAlign w:val="center"/>
                </w:tcPr>
                <w:p w14:paraId="209F7427">
                  <w:pPr>
                    <w:autoSpaceDN w:val="0"/>
                    <w:jc w:val="center"/>
                    <w:textAlignment w:val="center"/>
                    <w:rPr>
                      <w:rFonts w:hint="default" w:ascii="Times New Roman" w:hAnsi="Times New Roman" w:cs="Times New Roman"/>
                      <w:color w:val="auto"/>
                      <w:sz w:val="18"/>
                      <w:szCs w:val="18"/>
                    </w:rPr>
                  </w:pPr>
                </w:p>
              </w:tc>
              <w:tc>
                <w:tcPr>
                  <w:tcW w:w="444" w:type="pct"/>
                  <w:vMerge w:val="continue"/>
                  <w:tcBorders>
                    <w:tl2br w:val="nil"/>
                    <w:tr2bl w:val="nil"/>
                  </w:tcBorders>
                  <w:vAlign w:val="center"/>
                </w:tcPr>
                <w:p w14:paraId="2037C6E0">
                  <w:pPr>
                    <w:autoSpaceDN w:val="0"/>
                    <w:jc w:val="center"/>
                    <w:textAlignment w:val="center"/>
                    <w:rPr>
                      <w:rFonts w:hint="default" w:ascii="Times New Roman" w:hAnsi="Times New Roman" w:cs="Times New Roman"/>
                      <w:color w:val="auto"/>
                      <w:sz w:val="18"/>
                      <w:szCs w:val="18"/>
                    </w:rPr>
                  </w:pPr>
                </w:p>
              </w:tc>
              <w:tc>
                <w:tcPr>
                  <w:tcW w:w="1267" w:type="pct"/>
                  <w:tcBorders>
                    <w:tl2br w:val="nil"/>
                    <w:tr2bl w:val="nil"/>
                  </w:tcBorders>
                  <w:vAlign w:val="center"/>
                </w:tcPr>
                <w:p w14:paraId="16D53686">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2024/01/13~2024/01/14</w:t>
                  </w:r>
                </w:p>
              </w:tc>
              <w:tc>
                <w:tcPr>
                  <w:tcW w:w="645" w:type="pct"/>
                  <w:tcBorders>
                    <w:tl2br w:val="nil"/>
                    <w:tr2bl w:val="nil"/>
                  </w:tcBorders>
                  <w:vAlign w:val="center"/>
                </w:tcPr>
                <w:p w14:paraId="0C998089">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2024/06/24</w:t>
                  </w:r>
                </w:p>
              </w:tc>
              <w:tc>
                <w:tcPr>
                  <w:tcW w:w="1225" w:type="pct"/>
                  <w:tcBorders>
                    <w:tl2br w:val="nil"/>
                    <w:tr2bl w:val="nil"/>
                  </w:tcBorders>
                  <w:vAlign w:val="center"/>
                </w:tcPr>
                <w:p w14:paraId="77E4B0AD">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2024/08/16~2024/08/17</w:t>
                  </w:r>
                </w:p>
              </w:tc>
              <w:tc>
                <w:tcPr>
                  <w:tcW w:w="636" w:type="pct"/>
                  <w:tcBorders>
                    <w:tl2br w:val="nil"/>
                    <w:tr2bl w:val="nil"/>
                  </w:tcBorders>
                  <w:vAlign w:val="center"/>
                </w:tcPr>
                <w:p w14:paraId="1B5AE3CC">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2024/10/24</w:t>
                  </w:r>
                </w:p>
              </w:tc>
              <w:tc>
                <w:tcPr>
                  <w:tcW w:w="422" w:type="pct"/>
                  <w:vMerge w:val="continue"/>
                  <w:tcBorders>
                    <w:tl2br w:val="nil"/>
                    <w:tr2bl w:val="nil"/>
                  </w:tcBorders>
                  <w:vAlign w:val="center"/>
                </w:tcPr>
                <w:p w14:paraId="08E1C1D5">
                  <w:pPr>
                    <w:autoSpaceDN w:val="0"/>
                    <w:jc w:val="center"/>
                    <w:textAlignment w:val="center"/>
                    <w:rPr>
                      <w:rFonts w:hint="default" w:ascii="Times New Roman" w:hAnsi="Times New Roman" w:cs="Times New Roman"/>
                      <w:b/>
                      <w:bCs/>
                      <w:color w:val="auto"/>
                      <w:sz w:val="18"/>
                      <w:szCs w:val="18"/>
                    </w:rPr>
                  </w:pPr>
                </w:p>
              </w:tc>
            </w:tr>
            <w:tr w14:paraId="39A2CD1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8" w:type="pct"/>
                  <w:vMerge w:val="restart"/>
                  <w:tcBorders>
                    <w:tl2br w:val="nil"/>
                    <w:tr2bl w:val="nil"/>
                  </w:tcBorders>
                  <w:vAlign w:val="center"/>
                </w:tcPr>
                <w:p w14:paraId="407750F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厂区东</w:t>
                  </w:r>
                </w:p>
              </w:tc>
              <w:tc>
                <w:tcPr>
                  <w:tcW w:w="444" w:type="pct"/>
                  <w:tcBorders>
                    <w:tl2br w:val="nil"/>
                    <w:tr2bl w:val="nil"/>
                  </w:tcBorders>
                  <w:vAlign w:val="center"/>
                </w:tcPr>
                <w:p w14:paraId="3C6B08B9">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 间</w:t>
                  </w:r>
                </w:p>
              </w:tc>
              <w:tc>
                <w:tcPr>
                  <w:tcW w:w="1267" w:type="pct"/>
                  <w:tcBorders>
                    <w:tl2br w:val="nil"/>
                    <w:tr2bl w:val="nil"/>
                  </w:tcBorders>
                  <w:vAlign w:val="center"/>
                </w:tcPr>
                <w:p w14:paraId="713A82FC">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54</w:t>
                  </w:r>
                </w:p>
              </w:tc>
              <w:tc>
                <w:tcPr>
                  <w:tcW w:w="645" w:type="pct"/>
                  <w:tcBorders>
                    <w:tl2br w:val="nil"/>
                    <w:tr2bl w:val="nil"/>
                  </w:tcBorders>
                  <w:vAlign w:val="center"/>
                </w:tcPr>
                <w:p w14:paraId="6CBFFF52">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54</w:t>
                  </w:r>
                </w:p>
              </w:tc>
              <w:tc>
                <w:tcPr>
                  <w:tcW w:w="1225" w:type="pct"/>
                  <w:tcBorders>
                    <w:tl2br w:val="nil"/>
                    <w:tr2bl w:val="nil"/>
                  </w:tcBorders>
                  <w:vAlign w:val="center"/>
                </w:tcPr>
                <w:p w14:paraId="1CB2DDB5">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w:t>
                  </w:r>
                </w:p>
              </w:tc>
              <w:tc>
                <w:tcPr>
                  <w:tcW w:w="636" w:type="pct"/>
                  <w:tcBorders>
                    <w:tl2br w:val="nil"/>
                    <w:tr2bl w:val="nil"/>
                  </w:tcBorders>
                  <w:vAlign w:val="center"/>
                </w:tcPr>
                <w:p w14:paraId="14F03868">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422" w:type="pct"/>
                  <w:tcBorders>
                    <w:tl2br w:val="nil"/>
                    <w:tr2bl w:val="nil"/>
                  </w:tcBorders>
                  <w:vAlign w:val="center"/>
                </w:tcPr>
                <w:p w14:paraId="5EB0A47A">
                  <w:pPr>
                    <w:autoSpaceDN w:val="0"/>
                    <w:jc w:val="center"/>
                    <w:textAlignment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60</w:t>
                  </w:r>
                </w:p>
              </w:tc>
            </w:tr>
            <w:tr w14:paraId="61607A4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8" w:type="pct"/>
                  <w:vMerge w:val="continue"/>
                  <w:tcBorders>
                    <w:tl2br w:val="nil"/>
                    <w:tr2bl w:val="nil"/>
                  </w:tcBorders>
                  <w:vAlign w:val="center"/>
                </w:tcPr>
                <w:p w14:paraId="35A2ACFE">
                  <w:pPr>
                    <w:jc w:val="center"/>
                    <w:rPr>
                      <w:rFonts w:hint="default" w:ascii="Times New Roman" w:hAnsi="Times New Roman" w:cs="Times New Roman"/>
                      <w:color w:val="auto"/>
                      <w:sz w:val="18"/>
                      <w:szCs w:val="18"/>
                    </w:rPr>
                  </w:pPr>
                </w:p>
              </w:tc>
              <w:tc>
                <w:tcPr>
                  <w:tcW w:w="444" w:type="pct"/>
                  <w:tcBorders>
                    <w:tl2br w:val="nil"/>
                    <w:tr2bl w:val="nil"/>
                  </w:tcBorders>
                  <w:vAlign w:val="center"/>
                </w:tcPr>
                <w:p w14:paraId="3CD36A9C">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夜 间</w:t>
                  </w:r>
                </w:p>
              </w:tc>
              <w:tc>
                <w:tcPr>
                  <w:tcW w:w="1267" w:type="pct"/>
                  <w:tcBorders>
                    <w:tl2br w:val="nil"/>
                    <w:tr2bl w:val="nil"/>
                  </w:tcBorders>
                  <w:vAlign w:val="center"/>
                </w:tcPr>
                <w:p w14:paraId="15ADB073">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45</w:t>
                  </w:r>
                </w:p>
              </w:tc>
              <w:tc>
                <w:tcPr>
                  <w:tcW w:w="645" w:type="pct"/>
                  <w:tcBorders>
                    <w:tl2br w:val="nil"/>
                    <w:tr2bl w:val="nil"/>
                  </w:tcBorders>
                  <w:vAlign w:val="center"/>
                </w:tcPr>
                <w:p w14:paraId="4356F415">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w:t>
                  </w:r>
                </w:p>
              </w:tc>
              <w:tc>
                <w:tcPr>
                  <w:tcW w:w="1225" w:type="pct"/>
                  <w:tcBorders>
                    <w:tl2br w:val="nil"/>
                    <w:tr2bl w:val="nil"/>
                  </w:tcBorders>
                  <w:vAlign w:val="center"/>
                </w:tcPr>
                <w:p w14:paraId="79DEAE54">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w:t>
                  </w:r>
                </w:p>
              </w:tc>
              <w:tc>
                <w:tcPr>
                  <w:tcW w:w="636" w:type="pct"/>
                  <w:tcBorders>
                    <w:tl2br w:val="nil"/>
                    <w:tr2bl w:val="nil"/>
                  </w:tcBorders>
                  <w:vAlign w:val="center"/>
                </w:tcPr>
                <w:p w14:paraId="6ED2D183">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51</w:t>
                  </w:r>
                </w:p>
              </w:tc>
              <w:tc>
                <w:tcPr>
                  <w:tcW w:w="422" w:type="pct"/>
                  <w:tcBorders>
                    <w:tl2br w:val="nil"/>
                    <w:tr2bl w:val="nil"/>
                  </w:tcBorders>
                  <w:vAlign w:val="center"/>
                </w:tcPr>
                <w:p w14:paraId="28BC7851">
                  <w:pPr>
                    <w:autoSpaceDN w:val="0"/>
                    <w:jc w:val="center"/>
                    <w:textAlignment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53</w:t>
                  </w:r>
                </w:p>
              </w:tc>
            </w:tr>
            <w:tr w14:paraId="07BADCF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8" w:type="pct"/>
                  <w:vMerge w:val="restart"/>
                  <w:tcBorders>
                    <w:tl2br w:val="nil"/>
                    <w:tr2bl w:val="nil"/>
                  </w:tcBorders>
                  <w:vAlign w:val="center"/>
                </w:tcPr>
                <w:p w14:paraId="4D4051E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厂区南</w:t>
                  </w:r>
                </w:p>
              </w:tc>
              <w:tc>
                <w:tcPr>
                  <w:tcW w:w="444" w:type="pct"/>
                  <w:tcBorders>
                    <w:tl2br w:val="nil"/>
                    <w:tr2bl w:val="nil"/>
                  </w:tcBorders>
                  <w:vAlign w:val="center"/>
                </w:tcPr>
                <w:p w14:paraId="37940AA0">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 间</w:t>
                  </w:r>
                </w:p>
              </w:tc>
              <w:tc>
                <w:tcPr>
                  <w:tcW w:w="1267" w:type="pct"/>
                  <w:tcBorders>
                    <w:tl2br w:val="nil"/>
                    <w:tr2bl w:val="nil"/>
                  </w:tcBorders>
                  <w:vAlign w:val="center"/>
                </w:tcPr>
                <w:p w14:paraId="45687CEF">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55</w:t>
                  </w:r>
                </w:p>
              </w:tc>
              <w:tc>
                <w:tcPr>
                  <w:tcW w:w="645" w:type="pct"/>
                  <w:tcBorders>
                    <w:tl2br w:val="nil"/>
                    <w:tr2bl w:val="nil"/>
                  </w:tcBorders>
                  <w:vAlign w:val="center"/>
                </w:tcPr>
                <w:p w14:paraId="548DAA60">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57</w:t>
                  </w:r>
                </w:p>
              </w:tc>
              <w:tc>
                <w:tcPr>
                  <w:tcW w:w="1225" w:type="pct"/>
                  <w:tcBorders>
                    <w:tl2br w:val="nil"/>
                    <w:tr2bl w:val="nil"/>
                  </w:tcBorders>
                  <w:vAlign w:val="center"/>
                </w:tcPr>
                <w:p w14:paraId="59CDFEA3">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52</w:t>
                  </w:r>
                </w:p>
              </w:tc>
              <w:tc>
                <w:tcPr>
                  <w:tcW w:w="636" w:type="pct"/>
                  <w:tcBorders>
                    <w:tl2br w:val="nil"/>
                    <w:tr2bl w:val="nil"/>
                  </w:tcBorders>
                  <w:vAlign w:val="center"/>
                </w:tcPr>
                <w:p w14:paraId="4EAEA448">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59</w:t>
                  </w:r>
                </w:p>
              </w:tc>
              <w:tc>
                <w:tcPr>
                  <w:tcW w:w="422" w:type="pct"/>
                  <w:tcBorders>
                    <w:tl2br w:val="nil"/>
                    <w:tr2bl w:val="nil"/>
                  </w:tcBorders>
                  <w:vAlign w:val="center"/>
                </w:tcPr>
                <w:p w14:paraId="1CE13BAB">
                  <w:pPr>
                    <w:autoSpaceDN w:val="0"/>
                    <w:jc w:val="center"/>
                    <w:textAlignment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59</w:t>
                  </w:r>
                </w:p>
              </w:tc>
            </w:tr>
            <w:tr w14:paraId="0FE987C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8" w:type="pct"/>
                  <w:vMerge w:val="continue"/>
                  <w:tcBorders>
                    <w:tl2br w:val="nil"/>
                    <w:tr2bl w:val="nil"/>
                  </w:tcBorders>
                  <w:vAlign w:val="center"/>
                </w:tcPr>
                <w:p w14:paraId="26BC0BBC">
                  <w:pPr>
                    <w:jc w:val="center"/>
                    <w:rPr>
                      <w:rFonts w:hint="default" w:ascii="Times New Roman" w:hAnsi="Times New Roman" w:cs="Times New Roman"/>
                      <w:color w:val="auto"/>
                      <w:sz w:val="18"/>
                      <w:szCs w:val="18"/>
                    </w:rPr>
                  </w:pPr>
                </w:p>
              </w:tc>
              <w:tc>
                <w:tcPr>
                  <w:tcW w:w="444" w:type="pct"/>
                  <w:tcBorders>
                    <w:tl2br w:val="nil"/>
                    <w:tr2bl w:val="nil"/>
                  </w:tcBorders>
                  <w:vAlign w:val="center"/>
                </w:tcPr>
                <w:p w14:paraId="171AE585">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夜 间</w:t>
                  </w:r>
                </w:p>
              </w:tc>
              <w:tc>
                <w:tcPr>
                  <w:tcW w:w="1267" w:type="pct"/>
                  <w:tcBorders>
                    <w:tl2br w:val="nil"/>
                    <w:tr2bl w:val="nil"/>
                  </w:tcBorders>
                  <w:vAlign w:val="center"/>
                </w:tcPr>
                <w:p w14:paraId="7DE3D7F5">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46</w:t>
                  </w:r>
                </w:p>
              </w:tc>
              <w:tc>
                <w:tcPr>
                  <w:tcW w:w="645" w:type="pct"/>
                  <w:tcBorders>
                    <w:tl2br w:val="nil"/>
                    <w:tr2bl w:val="nil"/>
                  </w:tcBorders>
                  <w:vAlign w:val="center"/>
                </w:tcPr>
                <w:p w14:paraId="28E0DE7F">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54</w:t>
                  </w:r>
                </w:p>
              </w:tc>
              <w:tc>
                <w:tcPr>
                  <w:tcW w:w="1225" w:type="pct"/>
                  <w:tcBorders>
                    <w:tl2br w:val="nil"/>
                    <w:tr2bl w:val="nil"/>
                  </w:tcBorders>
                  <w:vAlign w:val="center"/>
                </w:tcPr>
                <w:p w14:paraId="55C477CA">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52</w:t>
                  </w:r>
                </w:p>
              </w:tc>
              <w:tc>
                <w:tcPr>
                  <w:tcW w:w="636" w:type="pct"/>
                  <w:tcBorders>
                    <w:tl2br w:val="nil"/>
                    <w:tr2bl w:val="nil"/>
                  </w:tcBorders>
                  <w:vAlign w:val="center"/>
                </w:tcPr>
                <w:p w14:paraId="6D346F6D">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w:t>
                  </w:r>
                </w:p>
              </w:tc>
              <w:tc>
                <w:tcPr>
                  <w:tcW w:w="422" w:type="pct"/>
                  <w:tcBorders>
                    <w:tl2br w:val="nil"/>
                    <w:tr2bl w:val="nil"/>
                  </w:tcBorders>
                  <w:vAlign w:val="center"/>
                </w:tcPr>
                <w:p w14:paraId="0FA389C8">
                  <w:pPr>
                    <w:autoSpaceDN w:val="0"/>
                    <w:jc w:val="center"/>
                    <w:textAlignment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54</w:t>
                  </w:r>
                </w:p>
              </w:tc>
            </w:tr>
            <w:tr w14:paraId="17BB91B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8" w:type="pct"/>
                  <w:vMerge w:val="restart"/>
                  <w:tcBorders>
                    <w:tl2br w:val="nil"/>
                    <w:tr2bl w:val="nil"/>
                  </w:tcBorders>
                  <w:vAlign w:val="center"/>
                </w:tcPr>
                <w:p w14:paraId="0D0A0FF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厂区西</w:t>
                  </w:r>
                </w:p>
              </w:tc>
              <w:tc>
                <w:tcPr>
                  <w:tcW w:w="444" w:type="pct"/>
                  <w:tcBorders>
                    <w:tl2br w:val="nil"/>
                    <w:tr2bl w:val="nil"/>
                  </w:tcBorders>
                  <w:vAlign w:val="center"/>
                </w:tcPr>
                <w:p w14:paraId="5613658C">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 间</w:t>
                  </w:r>
                </w:p>
              </w:tc>
              <w:tc>
                <w:tcPr>
                  <w:tcW w:w="1267" w:type="pct"/>
                  <w:tcBorders>
                    <w:tl2br w:val="nil"/>
                    <w:tr2bl w:val="nil"/>
                  </w:tcBorders>
                  <w:vAlign w:val="center"/>
                </w:tcPr>
                <w:p w14:paraId="412B9E80">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57</w:t>
                  </w:r>
                </w:p>
              </w:tc>
              <w:tc>
                <w:tcPr>
                  <w:tcW w:w="645" w:type="pct"/>
                  <w:tcBorders>
                    <w:tl2br w:val="nil"/>
                    <w:tr2bl w:val="nil"/>
                  </w:tcBorders>
                  <w:vAlign w:val="center"/>
                </w:tcPr>
                <w:p w14:paraId="416C6AE4">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57</w:t>
                  </w:r>
                </w:p>
              </w:tc>
              <w:tc>
                <w:tcPr>
                  <w:tcW w:w="1225" w:type="pct"/>
                  <w:tcBorders>
                    <w:tl2br w:val="nil"/>
                    <w:tr2bl w:val="nil"/>
                  </w:tcBorders>
                  <w:vAlign w:val="center"/>
                </w:tcPr>
                <w:p w14:paraId="774D9739">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54</w:t>
                  </w:r>
                </w:p>
              </w:tc>
              <w:tc>
                <w:tcPr>
                  <w:tcW w:w="636" w:type="pct"/>
                  <w:tcBorders>
                    <w:tl2br w:val="nil"/>
                    <w:tr2bl w:val="nil"/>
                  </w:tcBorders>
                  <w:vAlign w:val="center"/>
                </w:tcPr>
                <w:p w14:paraId="76AF6335">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422" w:type="pct"/>
                  <w:tcBorders>
                    <w:tl2br w:val="nil"/>
                    <w:tr2bl w:val="nil"/>
                  </w:tcBorders>
                  <w:vAlign w:val="center"/>
                </w:tcPr>
                <w:p w14:paraId="417DF20C">
                  <w:pPr>
                    <w:autoSpaceDN w:val="0"/>
                    <w:jc w:val="center"/>
                    <w:textAlignment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57</w:t>
                  </w:r>
                </w:p>
              </w:tc>
            </w:tr>
            <w:tr w14:paraId="52A8707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8" w:type="pct"/>
                  <w:vMerge w:val="continue"/>
                  <w:tcBorders>
                    <w:tl2br w:val="nil"/>
                    <w:tr2bl w:val="nil"/>
                  </w:tcBorders>
                  <w:vAlign w:val="center"/>
                </w:tcPr>
                <w:p w14:paraId="11D1439E">
                  <w:pPr>
                    <w:jc w:val="center"/>
                    <w:rPr>
                      <w:rFonts w:hint="default" w:ascii="Times New Roman" w:hAnsi="Times New Roman" w:cs="Times New Roman"/>
                      <w:color w:val="auto"/>
                      <w:sz w:val="18"/>
                      <w:szCs w:val="18"/>
                    </w:rPr>
                  </w:pPr>
                </w:p>
              </w:tc>
              <w:tc>
                <w:tcPr>
                  <w:tcW w:w="444" w:type="pct"/>
                  <w:tcBorders>
                    <w:tl2br w:val="nil"/>
                    <w:tr2bl w:val="nil"/>
                  </w:tcBorders>
                  <w:vAlign w:val="center"/>
                </w:tcPr>
                <w:p w14:paraId="241BB1BB">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夜 间</w:t>
                  </w:r>
                </w:p>
              </w:tc>
              <w:tc>
                <w:tcPr>
                  <w:tcW w:w="1267" w:type="pct"/>
                  <w:tcBorders>
                    <w:tl2br w:val="nil"/>
                    <w:tr2bl w:val="nil"/>
                  </w:tcBorders>
                  <w:vAlign w:val="center"/>
                </w:tcPr>
                <w:p w14:paraId="557E28A7">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w:t>
                  </w:r>
                </w:p>
              </w:tc>
              <w:tc>
                <w:tcPr>
                  <w:tcW w:w="645" w:type="pct"/>
                  <w:tcBorders>
                    <w:tl2br w:val="nil"/>
                    <w:tr2bl w:val="nil"/>
                  </w:tcBorders>
                  <w:vAlign w:val="center"/>
                </w:tcPr>
                <w:p w14:paraId="63EA60B6">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52</w:t>
                  </w:r>
                </w:p>
              </w:tc>
              <w:tc>
                <w:tcPr>
                  <w:tcW w:w="1225" w:type="pct"/>
                  <w:tcBorders>
                    <w:tl2br w:val="nil"/>
                    <w:tr2bl w:val="nil"/>
                  </w:tcBorders>
                  <w:vAlign w:val="center"/>
                </w:tcPr>
                <w:p w14:paraId="318D2259">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51</w:t>
                  </w:r>
                </w:p>
              </w:tc>
              <w:tc>
                <w:tcPr>
                  <w:tcW w:w="636" w:type="pct"/>
                  <w:tcBorders>
                    <w:tl2br w:val="nil"/>
                    <w:tr2bl w:val="nil"/>
                  </w:tcBorders>
                  <w:vAlign w:val="center"/>
                </w:tcPr>
                <w:p w14:paraId="0E6B9052">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51</w:t>
                  </w:r>
                </w:p>
              </w:tc>
              <w:tc>
                <w:tcPr>
                  <w:tcW w:w="422" w:type="pct"/>
                  <w:tcBorders>
                    <w:tl2br w:val="nil"/>
                    <w:tr2bl w:val="nil"/>
                  </w:tcBorders>
                  <w:vAlign w:val="center"/>
                </w:tcPr>
                <w:p w14:paraId="4F8C410D">
                  <w:pPr>
                    <w:autoSpaceDN w:val="0"/>
                    <w:jc w:val="center"/>
                    <w:textAlignment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52</w:t>
                  </w:r>
                </w:p>
              </w:tc>
            </w:tr>
            <w:tr w14:paraId="6AC58D9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8" w:type="pct"/>
                  <w:vMerge w:val="restart"/>
                  <w:tcBorders>
                    <w:tl2br w:val="nil"/>
                    <w:tr2bl w:val="nil"/>
                  </w:tcBorders>
                  <w:vAlign w:val="center"/>
                </w:tcPr>
                <w:p w14:paraId="22EEFF1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厂区北</w:t>
                  </w:r>
                </w:p>
              </w:tc>
              <w:tc>
                <w:tcPr>
                  <w:tcW w:w="444" w:type="pct"/>
                  <w:tcBorders>
                    <w:tl2br w:val="nil"/>
                    <w:tr2bl w:val="nil"/>
                  </w:tcBorders>
                  <w:vAlign w:val="center"/>
                </w:tcPr>
                <w:p w14:paraId="45BCCCE1">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 间</w:t>
                  </w:r>
                </w:p>
              </w:tc>
              <w:tc>
                <w:tcPr>
                  <w:tcW w:w="1267" w:type="pct"/>
                  <w:tcBorders>
                    <w:tl2br w:val="nil"/>
                    <w:tr2bl w:val="nil"/>
                  </w:tcBorders>
                  <w:vAlign w:val="center"/>
                </w:tcPr>
                <w:p w14:paraId="770C9E10">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58</w:t>
                  </w:r>
                </w:p>
              </w:tc>
              <w:tc>
                <w:tcPr>
                  <w:tcW w:w="645" w:type="pct"/>
                  <w:tcBorders>
                    <w:tl2br w:val="nil"/>
                    <w:tr2bl w:val="nil"/>
                  </w:tcBorders>
                  <w:vAlign w:val="center"/>
                </w:tcPr>
                <w:p w14:paraId="3A18D335">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w:t>
                  </w:r>
                </w:p>
              </w:tc>
              <w:tc>
                <w:tcPr>
                  <w:tcW w:w="1225" w:type="pct"/>
                  <w:tcBorders>
                    <w:tl2br w:val="nil"/>
                    <w:tr2bl w:val="nil"/>
                  </w:tcBorders>
                  <w:vAlign w:val="center"/>
                </w:tcPr>
                <w:p w14:paraId="656B7AC8">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55</w:t>
                  </w:r>
                </w:p>
              </w:tc>
              <w:tc>
                <w:tcPr>
                  <w:tcW w:w="636" w:type="pct"/>
                  <w:tcBorders>
                    <w:tl2br w:val="nil"/>
                    <w:tr2bl w:val="nil"/>
                  </w:tcBorders>
                  <w:vAlign w:val="center"/>
                </w:tcPr>
                <w:p w14:paraId="67524563">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64</w:t>
                  </w:r>
                </w:p>
              </w:tc>
              <w:tc>
                <w:tcPr>
                  <w:tcW w:w="422" w:type="pct"/>
                  <w:tcBorders>
                    <w:tl2br w:val="nil"/>
                    <w:tr2bl w:val="nil"/>
                  </w:tcBorders>
                  <w:vAlign w:val="center"/>
                </w:tcPr>
                <w:p w14:paraId="5A3CD509">
                  <w:pPr>
                    <w:autoSpaceDN w:val="0"/>
                    <w:jc w:val="center"/>
                    <w:textAlignment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64</w:t>
                  </w:r>
                </w:p>
              </w:tc>
            </w:tr>
            <w:tr w14:paraId="5E8611A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8" w:type="pct"/>
                  <w:vMerge w:val="continue"/>
                  <w:tcBorders>
                    <w:tl2br w:val="nil"/>
                    <w:tr2bl w:val="nil"/>
                  </w:tcBorders>
                  <w:vAlign w:val="center"/>
                </w:tcPr>
                <w:p w14:paraId="37D5B319">
                  <w:pPr>
                    <w:jc w:val="center"/>
                    <w:rPr>
                      <w:rFonts w:hint="default" w:ascii="Times New Roman" w:hAnsi="Times New Roman" w:cs="Times New Roman"/>
                      <w:color w:val="auto"/>
                      <w:sz w:val="18"/>
                      <w:szCs w:val="18"/>
                    </w:rPr>
                  </w:pPr>
                </w:p>
              </w:tc>
              <w:tc>
                <w:tcPr>
                  <w:tcW w:w="444" w:type="pct"/>
                  <w:tcBorders>
                    <w:tl2br w:val="nil"/>
                    <w:tr2bl w:val="nil"/>
                  </w:tcBorders>
                  <w:vAlign w:val="center"/>
                </w:tcPr>
                <w:p w14:paraId="1C448673">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夜 间</w:t>
                  </w:r>
                </w:p>
              </w:tc>
              <w:tc>
                <w:tcPr>
                  <w:tcW w:w="1267" w:type="pct"/>
                  <w:tcBorders>
                    <w:tl2br w:val="nil"/>
                    <w:tr2bl w:val="nil"/>
                  </w:tcBorders>
                  <w:vAlign w:val="center"/>
                </w:tcPr>
                <w:p w14:paraId="0BE69E61">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49</w:t>
                  </w:r>
                </w:p>
              </w:tc>
              <w:tc>
                <w:tcPr>
                  <w:tcW w:w="645" w:type="pct"/>
                  <w:tcBorders>
                    <w:tl2br w:val="nil"/>
                    <w:tr2bl w:val="nil"/>
                  </w:tcBorders>
                  <w:vAlign w:val="center"/>
                </w:tcPr>
                <w:p w14:paraId="2956B659">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54</w:t>
                  </w:r>
                </w:p>
              </w:tc>
              <w:tc>
                <w:tcPr>
                  <w:tcW w:w="1225" w:type="pct"/>
                  <w:tcBorders>
                    <w:tl2br w:val="nil"/>
                    <w:tr2bl w:val="nil"/>
                  </w:tcBorders>
                  <w:vAlign w:val="center"/>
                </w:tcPr>
                <w:p w14:paraId="7E9E3644">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54</w:t>
                  </w:r>
                </w:p>
              </w:tc>
              <w:tc>
                <w:tcPr>
                  <w:tcW w:w="636" w:type="pct"/>
                  <w:tcBorders>
                    <w:tl2br w:val="nil"/>
                    <w:tr2bl w:val="nil"/>
                  </w:tcBorders>
                  <w:vAlign w:val="center"/>
                </w:tcPr>
                <w:p w14:paraId="1694C8EA">
                  <w:pPr>
                    <w:autoSpaceDN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54</w:t>
                  </w:r>
                </w:p>
              </w:tc>
              <w:tc>
                <w:tcPr>
                  <w:tcW w:w="422" w:type="pct"/>
                  <w:tcBorders>
                    <w:tl2br w:val="nil"/>
                    <w:tr2bl w:val="nil"/>
                  </w:tcBorders>
                  <w:vAlign w:val="center"/>
                </w:tcPr>
                <w:p w14:paraId="64EC765F">
                  <w:pPr>
                    <w:autoSpaceDN w:val="0"/>
                    <w:jc w:val="center"/>
                    <w:textAlignment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54</w:t>
                  </w:r>
                </w:p>
              </w:tc>
            </w:tr>
          </w:tbl>
          <w:p w14:paraId="585FDFCD">
            <w:pPr>
              <w:tabs>
                <w:tab w:val="left" w:pos="2395"/>
              </w:tabs>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此外，由于通海南方不锈钢有限公司厂区范围内的《年产30万吨型钢连轧生产线技改项目》目前处于在建阶段，《年产35万吨环保镀锌型钢项目》为拟建阶段；因此本次预测以本项目噪声贡献值+在建项目贡献值+拟建项目贡献值+现有的噪声背景值作为评价量（即贡献值（本项目、在建项目、拟建项目）+背景值=预测值）。</w:t>
            </w:r>
          </w:p>
          <w:p w14:paraId="711994C9">
            <w:pPr>
              <w:tabs>
                <w:tab w:val="left" w:pos="2395"/>
              </w:tabs>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在建项目噪声源源强见下表：</w:t>
            </w:r>
          </w:p>
          <w:p w14:paraId="7D6DD0A3">
            <w:pPr>
              <w:pStyle w:val="111"/>
              <w:spacing w:line="36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表4-8   在建项目新增噪声源强一览表   单位：dB(A)</w:t>
            </w:r>
          </w:p>
          <w:tbl>
            <w:tblPr>
              <w:tblStyle w:val="35"/>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30"/>
              <w:gridCol w:w="386"/>
              <w:gridCol w:w="473"/>
              <w:gridCol w:w="1232"/>
              <w:gridCol w:w="628"/>
              <w:gridCol w:w="473"/>
              <w:gridCol w:w="430"/>
              <w:gridCol w:w="697"/>
              <w:gridCol w:w="579"/>
              <w:gridCol w:w="514"/>
              <w:gridCol w:w="658"/>
              <w:gridCol w:w="707"/>
              <w:gridCol w:w="530"/>
            </w:tblGrid>
            <w:tr w14:paraId="5C29AF9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64" w:type="pct"/>
                  <w:vMerge w:val="restart"/>
                  <w:tcBorders>
                    <w:tl2br w:val="nil"/>
                    <w:tr2bl w:val="nil"/>
                  </w:tcBorders>
                  <w:vAlign w:val="center"/>
                </w:tcPr>
                <w:p w14:paraId="3BB66EDD">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噪声源</w:t>
                  </w:r>
                </w:p>
              </w:tc>
              <w:tc>
                <w:tcPr>
                  <w:tcW w:w="234" w:type="pct"/>
                  <w:vMerge w:val="restart"/>
                  <w:tcBorders>
                    <w:tl2br w:val="nil"/>
                    <w:tr2bl w:val="nil"/>
                  </w:tcBorders>
                  <w:vAlign w:val="center"/>
                </w:tcPr>
                <w:p w14:paraId="5DDCB229">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台数</w:t>
                  </w:r>
                </w:p>
              </w:tc>
              <w:tc>
                <w:tcPr>
                  <w:tcW w:w="287" w:type="pct"/>
                  <w:vMerge w:val="restart"/>
                  <w:tcBorders>
                    <w:tl2br w:val="nil"/>
                    <w:tr2bl w:val="nil"/>
                  </w:tcBorders>
                  <w:vAlign w:val="center"/>
                </w:tcPr>
                <w:p w14:paraId="1C0A31C6">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源强</w:t>
                  </w:r>
                </w:p>
              </w:tc>
              <w:tc>
                <w:tcPr>
                  <w:tcW w:w="747" w:type="pct"/>
                  <w:vMerge w:val="restart"/>
                  <w:tcBorders>
                    <w:tl2br w:val="nil"/>
                    <w:tr2bl w:val="nil"/>
                  </w:tcBorders>
                  <w:vAlign w:val="center"/>
                </w:tcPr>
                <w:p w14:paraId="6D9A566C">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降噪措施</w:t>
                  </w:r>
                </w:p>
              </w:tc>
              <w:tc>
                <w:tcPr>
                  <w:tcW w:w="929" w:type="pct"/>
                  <w:gridSpan w:val="3"/>
                  <w:tcBorders>
                    <w:tl2br w:val="nil"/>
                    <w:tr2bl w:val="nil"/>
                  </w:tcBorders>
                  <w:vAlign w:val="center"/>
                </w:tcPr>
                <w:p w14:paraId="307B8C7A">
                  <w:pPr>
                    <w:pStyle w:val="13"/>
                    <w:adjustRightInd w:val="0"/>
                    <w:spacing w:before="0" w:after="0" w:line="240" w:lineRule="auto"/>
                    <w:ind w:right="0"/>
                    <w:jc w:val="center"/>
                    <w:rPr>
                      <w:rFonts w:hint="default" w:ascii="Times New Roman" w:hAnsi="Times New Roman" w:cs="Times New Roman" w:eastAsiaTheme="minorEastAsia"/>
                      <w:color w:val="auto"/>
                      <w:szCs w:val="18"/>
                    </w:rPr>
                  </w:pPr>
                  <w:r>
                    <w:rPr>
                      <w:rFonts w:hint="default" w:ascii="Times New Roman" w:hAnsi="Times New Roman" w:cs="Times New Roman" w:eastAsiaTheme="minorEastAsia"/>
                      <w:color w:val="auto"/>
                      <w:szCs w:val="18"/>
                    </w:rPr>
                    <w:t>空间相对位置/m</w:t>
                  </w:r>
                </w:p>
              </w:tc>
              <w:tc>
                <w:tcPr>
                  <w:tcW w:w="423" w:type="pct"/>
                  <w:vMerge w:val="restart"/>
                  <w:tcBorders>
                    <w:tl2br w:val="nil"/>
                    <w:tr2bl w:val="nil"/>
                  </w:tcBorders>
                  <w:vAlign w:val="center"/>
                </w:tcPr>
                <w:p w14:paraId="12D3D097">
                  <w:pPr>
                    <w:widowControl/>
                    <w:adjustRightInd w:val="0"/>
                    <w:snapToGrid w:val="0"/>
                    <w:jc w:val="center"/>
                    <w:textAlignment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 w:val="18"/>
                      <w:szCs w:val="18"/>
                    </w:rPr>
                    <w:t>距室内边界距离（m）</w:t>
                  </w:r>
                </w:p>
              </w:tc>
              <w:tc>
                <w:tcPr>
                  <w:tcW w:w="351" w:type="pct"/>
                  <w:vMerge w:val="restart"/>
                  <w:tcBorders>
                    <w:tl2br w:val="nil"/>
                    <w:tr2bl w:val="nil"/>
                  </w:tcBorders>
                  <w:vAlign w:val="center"/>
                </w:tcPr>
                <w:p w14:paraId="1C3069F6">
                  <w:pPr>
                    <w:widowControl/>
                    <w:adjustRightInd w:val="0"/>
                    <w:snapToGrid w:val="0"/>
                    <w:jc w:val="center"/>
                    <w:textAlignment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室内边界声级</w:t>
                  </w:r>
                </w:p>
                <w:p w14:paraId="2BC6C145">
                  <w:pPr>
                    <w:widowControl/>
                    <w:adjustRightInd w:val="0"/>
                    <w:snapToGrid w:val="0"/>
                    <w:jc w:val="center"/>
                    <w:textAlignment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kern w:val="0"/>
                      <w:sz w:val="18"/>
                      <w:szCs w:val="18"/>
                    </w:rPr>
                    <w:t>/dB(A)</w:t>
                  </w:r>
                </w:p>
              </w:tc>
              <w:tc>
                <w:tcPr>
                  <w:tcW w:w="312" w:type="pct"/>
                  <w:vMerge w:val="restart"/>
                  <w:tcBorders>
                    <w:tl2br w:val="nil"/>
                    <w:tr2bl w:val="nil"/>
                  </w:tcBorders>
                  <w:vAlign w:val="center"/>
                </w:tcPr>
                <w:p w14:paraId="75C3CFDE">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运行时段</w:t>
                  </w:r>
                </w:p>
              </w:tc>
              <w:tc>
                <w:tcPr>
                  <w:tcW w:w="399" w:type="pct"/>
                  <w:vMerge w:val="restart"/>
                  <w:tcBorders>
                    <w:tl2br w:val="nil"/>
                    <w:tr2bl w:val="nil"/>
                  </w:tcBorders>
                  <w:vAlign w:val="center"/>
                </w:tcPr>
                <w:p w14:paraId="726590A9">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eastAsiaTheme="minorEastAsia"/>
                      <w:color w:val="auto"/>
                      <w:sz w:val="18"/>
                      <w:szCs w:val="18"/>
                    </w:rPr>
                    <w:t>建筑物插入损失/ dB(A)</w:t>
                  </w:r>
                </w:p>
              </w:tc>
              <w:tc>
                <w:tcPr>
                  <w:tcW w:w="750" w:type="pct"/>
                  <w:gridSpan w:val="2"/>
                  <w:tcBorders>
                    <w:tl2br w:val="nil"/>
                    <w:tr2bl w:val="nil"/>
                  </w:tcBorders>
                  <w:vAlign w:val="center"/>
                </w:tcPr>
                <w:p w14:paraId="364A5BB4">
                  <w:pPr>
                    <w:pStyle w:val="13"/>
                    <w:adjustRightInd w:val="0"/>
                    <w:spacing w:before="0" w:after="0" w:line="240" w:lineRule="auto"/>
                    <w:ind w:right="0"/>
                    <w:jc w:val="center"/>
                    <w:rPr>
                      <w:rFonts w:hint="default" w:ascii="Times New Roman" w:hAnsi="Times New Roman" w:cs="Times New Roman" w:eastAsiaTheme="minorEastAsia"/>
                      <w:color w:val="auto"/>
                      <w:szCs w:val="18"/>
                    </w:rPr>
                  </w:pPr>
                  <w:r>
                    <w:rPr>
                      <w:rFonts w:hint="default" w:ascii="Times New Roman" w:hAnsi="Times New Roman" w:cs="Times New Roman" w:eastAsiaTheme="minorEastAsia"/>
                      <w:color w:val="auto"/>
                      <w:szCs w:val="18"/>
                    </w:rPr>
                    <w:t>建筑物外噪声</w:t>
                  </w:r>
                </w:p>
              </w:tc>
            </w:tr>
            <w:tr w14:paraId="5652D5C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64" w:type="pct"/>
                  <w:vMerge w:val="continue"/>
                  <w:tcBorders>
                    <w:tl2br w:val="nil"/>
                    <w:tr2bl w:val="nil"/>
                  </w:tcBorders>
                  <w:vAlign w:val="center"/>
                </w:tcPr>
                <w:p w14:paraId="4BDF2794">
                  <w:pPr>
                    <w:adjustRightInd w:val="0"/>
                    <w:snapToGrid w:val="0"/>
                    <w:spacing w:line="280" w:lineRule="exact"/>
                    <w:jc w:val="center"/>
                    <w:rPr>
                      <w:rFonts w:hint="default" w:ascii="Times New Roman" w:hAnsi="Times New Roman" w:cs="Times New Roman"/>
                      <w:color w:val="auto"/>
                      <w:sz w:val="18"/>
                      <w:szCs w:val="18"/>
                    </w:rPr>
                  </w:pPr>
                </w:p>
              </w:tc>
              <w:tc>
                <w:tcPr>
                  <w:tcW w:w="234" w:type="pct"/>
                  <w:vMerge w:val="continue"/>
                  <w:tcBorders>
                    <w:tl2br w:val="nil"/>
                    <w:tr2bl w:val="nil"/>
                  </w:tcBorders>
                  <w:vAlign w:val="center"/>
                </w:tcPr>
                <w:p w14:paraId="459C2624">
                  <w:pPr>
                    <w:adjustRightInd w:val="0"/>
                    <w:snapToGrid w:val="0"/>
                    <w:spacing w:line="280" w:lineRule="exact"/>
                    <w:jc w:val="center"/>
                    <w:rPr>
                      <w:rFonts w:hint="default" w:ascii="Times New Roman" w:hAnsi="Times New Roman" w:cs="Times New Roman"/>
                      <w:color w:val="auto"/>
                      <w:sz w:val="18"/>
                      <w:szCs w:val="18"/>
                    </w:rPr>
                  </w:pPr>
                </w:p>
              </w:tc>
              <w:tc>
                <w:tcPr>
                  <w:tcW w:w="287" w:type="pct"/>
                  <w:vMerge w:val="continue"/>
                  <w:tcBorders>
                    <w:tl2br w:val="nil"/>
                    <w:tr2bl w:val="nil"/>
                  </w:tcBorders>
                  <w:vAlign w:val="center"/>
                </w:tcPr>
                <w:p w14:paraId="69533FF6">
                  <w:pPr>
                    <w:adjustRightInd w:val="0"/>
                    <w:snapToGrid w:val="0"/>
                    <w:spacing w:line="280" w:lineRule="exact"/>
                    <w:jc w:val="center"/>
                    <w:rPr>
                      <w:rFonts w:hint="default" w:ascii="Times New Roman" w:hAnsi="Times New Roman" w:cs="Times New Roman"/>
                      <w:color w:val="auto"/>
                      <w:sz w:val="18"/>
                      <w:szCs w:val="18"/>
                    </w:rPr>
                  </w:pPr>
                </w:p>
              </w:tc>
              <w:tc>
                <w:tcPr>
                  <w:tcW w:w="747" w:type="pct"/>
                  <w:vMerge w:val="continue"/>
                  <w:tcBorders>
                    <w:tl2br w:val="nil"/>
                    <w:tr2bl w:val="nil"/>
                  </w:tcBorders>
                  <w:vAlign w:val="center"/>
                </w:tcPr>
                <w:p w14:paraId="5E63C55D">
                  <w:pPr>
                    <w:adjustRightInd w:val="0"/>
                    <w:snapToGrid w:val="0"/>
                    <w:spacing w:line="280" w:lineRule="exact"/>
                    <w:jc w:val="center"/>
                    <w:rPr>
                      <w:rFonts w:hint="default" w:ascii="Times New Roman" w:hAnsi="Times New Roman" w:cs="Times New Roman"/>
                      <w:color w:val="auto"/>
                      <w:sz w:val="18"/>
                      <w:szCs w:val="18"/>
                    </w:rPr>
                  </w:pPr>
                </w:p>
              </w:tc>
              <w:tc>
                <w:tcPr>
                  <w:tcW w:w="381" w:type="pct"/>
                  <w:tcBorders>
                    <w:tl2br w:val="nil"/>
                    <w:tr2bl w:val="nil"/>
                  </w:tcBorders>
                  <w:vAlign w:val="center"/>
                </w:tcPr>
                <w:p w14:paraId="70B96B04">
                  <w:pPr>
                    <w:pStyle w:val="13"/>
                    <w:adjustRightInd w:val="0"/>
                    <w:spacing w:before="0" w:after="0" w:line="240" w:lineRule="auto"/>
                    <w:ind w:right="0"/>
                    <w:jc w:val="center"/>
                    <w:rPr>
                      <w:rFonts w:hint="default" w:ascii="Times New Roman" w:hAnsi="Times New Roman" w:cs="Times New Roman"/>
                      <w:color w:val="auto"/>
                      <w:szCs w:val="18"/>
                    </w:rPr>
                  </w:pPr>
                  <w:r>
                    <w:rPr>
                      <w:rFonts w:hint="default" w:ascii="Times New Roman" w:hAnsi="Times New Roman" w:cs="Times New Roman" w:eastAsiaTheme="minorEastAsia"/>
                      <w:color w:val="auto"/>
                      <w:szCs w:val="18"/>
                    </w:rPr>
                    <w:t>X</w:t>
                  </w:r>
                </w:p>
              </w:tc>
              <w:tc>
                <w:tcPr>
                  <w:tcW w:w="287" w:type="pct"/>
                  <w:tcBorders>
                    <w:tl2br w:val="nil"/>
                    <w:tr2bl w:val="nil"/>
                  </w:tcBorders>
                  <w:vAlign w:val="center"/>
                </w:tcPr>
                <w:p w14:paraId="0097281C">
                  <w:pPr>
                    <w:pStyle w:val="13"/>
                    <w:adjustRightInd w:val="0"/>
                    <w:spacing w:before="0" w:after="0" w:line="240" w:lineRule="auto"/>
                    <w:ind w:right="0"/>
                    <w:jc w:val="center"/>
                    <w:rPr>
                      <w:rFonts w:hint="default" w:ascii="Times New Roman" w:hAnsi="Times New Roman" w:cs="Times New Roman"/>
                      <w:color w:val="auto"/>
                      <w:szCs w:val="18"/>
                    </w:rPr>
                  </w:pPr>
                  <w:r>
                    <w:rPr>
                      <w:rFonts w:hint="default" w:ascii="Times New Roman" w:hAnsi="Times New Roman" w:cs="Times New Roman" w:eastAsiaTheme="minorEastAsia"/>
                      <w:color w:val="auto"/>
                      <w:szCs w:val="18"/>
                    </w:rPr>
                    <w:t>Y</w:t>
                  </w:r>
                </w:p>
              </w:tc>
              <w:tc>
                <w:tcPr>
                  <w:tcW w:w="260" w:type="pct"/>
                  <w:tcBorders>
                    <w:tl2br w:val="nil"/>
                    <w:tr2bl w:val="nil"/>
                  </w:tcBorders>
                  <w:vAlign w:val="center"/>
                </w:tcPr>
                <w:p w14:paraId="69DC2CFD">
                  <w:pPr>
                    <w:pStyle w:val="13"/>
                    <w:adjustRightInd w:val="0"/>
                    <w:spacing w:before="0" w:after="0" w:line="240" w:lineRule="auto"/>
                    <w:ind w:right="0"/>
                    <w:jc w:val="center"/>
                    <w:rPr>
                      <w:rFonts w:hint="default" w:ascii="Times New Roman" w:hAnsi="Times New Roman" w:cs="Times New Roman"/>
                      <w:color w:val="auto"/>
                      <w:szCs w:val="18"/>
                    </w:rPr>
                  </w:pPr>
                  <w:r>
                    <w:rPr>
                      <w:rFonts w:hint="default" w:ascii="Times New Roman" w:hAnsi="Times New Roman" w:cs="Times New Roman" w:eastAsiaTheme="minorEastAsia"/>
                      <w:color w:val="auto"/>
                      <w:szCs w:val="18"/>
                    </w:rPr>
                    <w:t>Z</w:t>
                  </w:r>
                </w:p>
              </w:tc>
              <w:tc>
                <w:tcPr>
                  <w:tcW w:w="423" w:type="pct"/>
                  <w:vMerge w:val="continue"/>
                  <w:tcBorders>
                    <w:tl2br w:val="nil"/>
                    <w:tr2bl w:val="nil"/>
                  </w:tcBorders>
                  <w:vAlign w:val="center"/>
                </w:tcPr>
                <w:p w14:paraId="5CE6F5A1">
                  <w:pPr>
                    <w:pStyle w:val="13"/>
                    <w:adjustRightInd w:val="0"/>
                    <w:spacing w:before="0" w:after="0" w:line="240" w:lineRule="auto"/>
                    <w:ind w:right="0"/>
                    <w:jc w:val="center"/>
                    <w:rPr>
                      <w:rFonts w:hint="default" w:ascii="Times New Roman" w:hAnsi="Times New Roman" w:cs="Times New Roman" w:eastAsiaTheme="minorEastAsia"/>
                      <w:color w:val="auto"/>
                      <w:szCs w:val="18"/>
                    </w:rPr>
                  </w:pPr>
                </w:p>
              </w:tc>
              <w:tc>
                <w:tcPr>
                  <w:tcW w:w="351" w:type="pct"/>
                  <w:vMerge w:val="continue"/>
                  <w:tcBorders>
                    <w:tl2br w:val="nil"/>
                    <w:tr2bl w:val="nil"/>
                  </w:tcBorders>
                  <w:vAlign w:val="center"/>
                </w:tcPr>
                <w:p w14:paraId="69D24DD4">
                  <w:pPr>
                    <w:pStyle w:val="13"/>
                    <w:adjustRightInd w:val="0"/>
                    <w:spacing w:before="0" w:after="0" w:line="240" w:lineRule="auto"/>
                    <w:ind w:right="0"/>
                    <w:jc w:val="center"/>
                    <w:rPr>
                      <w:rFonts w:hint="default" w:ascii="Times New Roman" w:hAnsi="Times New Roman" w:cs="Times New Roman" w:eastAsiaTheme="minorEastAsia"/>
                      <w:color w:val="auto"/>
                      <w:szCs w:val="18"/>
                    </w:rPr>
                  </w:pPr>
                </w:p>
              </w:tc>
              <w:tc>
                <w:tcPr>
                  <w:tcW w:w="312" w:type="pct"/>
                  <w:vMerge w:val="continue"/>
                  <w:tcBorders>
                    <w:tl2br w:val="nil"/>
                    <w:tr2bl w:val="nil"/>
                  </w:tcBorders>
                  <w:vAlign w:val="center"/>
                </w:tcPr>
                <w:p w14:paraId="26C201FC">
                  <w:pPr>
                    <w:adjustRightInd w:val="0"/>
                    <w:snapToGrid w:val="0"/>
                    <w:spacing w:line="280" w:lineRule="exact"/>
                    <w:jc w:val="center"/>
                    <w:rPr>
                      <w:rFonts w:hint="default" w:ascii="Times New Roman" w:hAnsi="Times New Roman" w:cs="Times New Roman"/>
                      <w:color w:val="auto"/>
                      <w:sz w:val="18"/>
                      <w:szCs w:val="18"/>
                    </w:rPr>
                  </w:pPr>
                </w:p>
              </w:tc>
              <w:tc>
                <w:tcPr>
                  <w:tcW w:w="399" w:type="pct"/>
                  <w:vMerge w:val="continue"/>
                  <w:tcBorders>
                    <w:tl2br w:val="nil"/>
                    <w:tr2bl w:val="nil"/>
                  </w:tcBorders>
                  <w:vAlign w:val="center"/>
                </w:tcPr>
                <w:p w14:paraId="4A26A845">
                  <w:pPr>
                    <w:adjustRightInd w:val="0"/>
                    <w:snapToGrid w:val="0"/>
                    <w:spacing w:line="280" w:lineRule="exact"/>
                    <w:jc w:val="center"/>
                    <w:rPr>
                      <w:rFonts w:hint="default" w:ascii="Times New Roman" w:hAnsi="Times New Roman" w:cs="Times New Roman"/>
                      <w:color w:val="auto"/>
                      <w:sz w:val="18"/>
                      <w:szCs w:val="18"/>
                    </w:rPr>
                  </w:pPr>
                </w:p>
              </w:tc>
              <w:tc>
                <w:tcPr>
                  <w:tcW w:w="429" w:type="pct"/>
                  <w:tcBorders>
                    <w:tl2br w:val="nil"/>
                    <w:tr2bl w:val="nil"/>
                  </w:tcBorders>
                  <w:vAlign w:val="center"/>
                </w:tcPr>
                <w:p w14:paraId="5433D4F0">
                  <w:pPr>
                    <w:pStyle w:val="13"/>
                    <w:adjustRightInd w:val="0"/>
                    <w:spacing w:before="0" w:after="0" w:line="240" w:lineRule="auto"/>
                    <w:ind w:right="0"/>
                    <w:jc w:val="center"/>
                    <w:rPr>
                      <w:rFonts w:hint="default" w:ascii="Times New Roman" w:hAnsi="Times New Roman" w:cs="Times New Roman"/>
                      <w:color w:val="auto"/>
                      <w:szCs w:val="18"/>
                    </w:rPr>
                  </w:pPr>
                  <w:r>
                    <w:rPr>
                      <w:rFonts w:hint="default" w:ascii="Times New Roman" w:hAnsi="Times New Roman" w:cs="Times New Roman" w:eastAsiaTheme="minorEastAsia"/>
                      <w:color w:val="auto"/>
                      <w:szCs w:val="18"/>
                    </w:rPr>
                    <w:t>声压级/dB(A)</w:t>
                  </w:r>
                </w:p>
              </w:tc>
              <w:tc>
                <w:tcPr>
                  <w:tcW w:w="320" w:type="pct"/>
                  <w:tcBorders>
                    <w:tl2br w:val="nil"/>
                    <w:tr2bl w:val="nil"/>
                  </w:tcBorders>
                  <w:vAlign w:val="center"/>
                </w:tcPr>
                <w:p w14:paraId="0F330E10">
                  <w:pPr>
                    <w:pStyle w:val="13"/>
                    <w:adjustRightInd w:val="0"/>
                    <w:spacing w:before="0" w:after="0" w:line="240" w:lineRule="auto"/>
                    <w:ind w:right="0"/>
                    <w:jc w:val="center"/>
                    <w:rPr>
                      <w:rFonts w:hint="default" w:ascii="Times New Roman" w:hAnsi="Times New Roman" w:cs="Times New Roman"/>
                      <w:color w:val="auto"/>
                      <w:szCs w:val="18"/>
                    </w:rPr>
                  </w:pPr>
                  <w:r>
                    <w:rPr>
                      <w:rFonts w:hint="default" w:ascii="Times New Roman" w:hAnsi="Times New Roman" w:cs="Times New Roman" w:eastAsiaTheme="minorEastAsia"/>
                      <w:color w:val="auto"/>
                      <w:szCs w:val="18"/>
                    </w:rPr>
                    <w:t>建筑物外距离/m</w:t>
                  </w:r>
                </w:p>
              </w:tc>
            </w:tr>
            <w:tr w14:paraId="10CDEB4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64" w:type="pct"/>
                  <w:tcBorders>
                    <w:tl2br w:val="nil"/>
                    <w:tr2bl w:val="nil"/>
                  </w:tcBorders>
                  <w:vAlign w:val="center"/>
                </w:tcPr>
                <w:p w14:paraId="1FA6ED7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粗轧机</w:t>
                  </w:r>
                </w:p>
              </w:tc>
              <w:tc>
                <w:tcPr>
                  <w:tcW w:w="234" w:type="pct"/>
                  <w:tcBorders>
                    <w:tl2br w:val="nil"/>
                    <w:tr2bl w:val="nil"/>
                  </w:tcBorders>
                  <w:vAlign w:val="center"/>
                </w:tcPr>
                <w:p w14:paraId="6456368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6列</w:t>
                  </w:r>
                </w:p>
              </w:tc>
              <w:tc>
                <w:tcPr>
                  <w:tcW w:w="287" w:type="pct"/>
                  <w:tcBorders>
                    <w:tl2br w:val="nil"/>
                    <w:tr2bl w:val="nil"/>
                  </w:tcBorders>
                  <w:vAlign w:val="center"/>
                </w:tcPr>
                <w:p w14:paraId="556D61AD">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w:t>
                  </w:r>
                </w:p>
              </w:tc>
              <w:tc>
                <w:tcPr>
                  <w:tcW w:w="747" w:type="pct"/>
                  <w:tcBorders>
                    <w:tl2br w:val="nil"/>
                    <w:tr2bl w:val="nil"/>
                  </w:tcBorders>
                  <w:vAlign w:val="center"/>
                </w:tcPr>
                <w:p w14:paraId="5F5B8BD6">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厂房隔音、减振</w:t>
                  </w:r>
                </w:p>
              </w:tc>
              <w:tc>
                <w:tcPr>
                  <w:tcW w:w="381" w:type="pct"/>
                  <w:tcBorders>
                    <w:tl2br w:val="nil"/>
                    <w:tr2bl w:val="nil"/>
                  </w:tcBorders>
                  <w:vAlign w:val="center"/>
                </w:tcPr>
                <w:p w14:paraId="2C008A72">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-189</w:t>
                  </w:r>
                </w:p>
              </w:tc>
              <w:tc>
                <w:tcPr>
                  <w:tcW w:w="287" w:type="pct"/>
                  <w:tcBorders>
                    <w:tl2br w:val="nil"/>
                    <w:tr2bl w:val="nil"/>
                  </w:tcBorders>
                  <w:vAlign w:val="center"/>
                </w:tcPr>
                <w:p w14:paraId="24BF5B1D">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548</w:t>
                  </w:r>
                </w:p>
              </w:tc>
              <w:tc>
                <w:tcPr>
                  <w:tcW w:w="260" w:type="pct"/>
                  <w:tcBorders>
                    <w:tl2br w:val="nil"/>
                    <w:tr2bl w:val="nil"/>
                  </w:tcBorders>
                  <w:vAlign w:val="center"/>
                </w:tcPr>
                <w:p w14:paraId="57905CCE">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w:t>
                  </w:r>
                </w:p>
              </w:tc>
              <w:tc>
                <w:tcPr>
                  <w:tcW w:w="423" w:type="pct"/>
                  <w:tcBorders>
                    <w:tl2br w:val="nil"/>
                    <w:tr2bl w:val="nil"/>
                  </w:tcBorders>
                  <w:vAlign w:val="center"/>
                </w:tcPr>
                <w:p w14:paraId="65E00B38">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351" w:type="pct"/>
                  <w:tcBorders>
                    <w:tl2br w:val="nil"/>
                    <w:tr2bl w:val="nil"/>
                  </w:tcBorders>
                  <w:vAlign w:val="center"/>
                </w:tcPr>
                <w:p w14:paraId="7D5B113F">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312" w:type="pct"/>
                  <w:tcBorders>
                    <w:tl2br w:val="nil"/>
                    <w:tr2bl w:val="nil"/>
                  </w:tcBorders>
                  <w:vAlign w:val="center"/>
                </w:tcPr>
                <w:p w14:paraId="7F884AA9">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399" w:type="pct"/>
                  <w:tcBorders>
                    <w:tl2br w:val="nil"/>
                    <w:tr2bl w:val="nil"/>
                  </w:tcBorders>
                  <w:vAlign w:val="center"/>
                </w:tcPr>
                <w:p w14:paraId="6D34F6BE">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429" w:type="pct"/>
                  <w:tcBorders>
                    <w:tl2br w:val="nil"/>
                    <w:tr2bl w:val="nil"/>
                  </w:tcBorders>
                  <w:vAlign w:val="center"/>
                </w:tcPr>
                <w:p w14:paraId="0328ED7C">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71.8</w:t>
                  </w:r>
                </w:p>
              </w:tc>
              <w:tc>
                <w:tcPr>
                  <w:tcW w:w="320" w:type="pct"/>
                  <w:tcBorders>
                    <w:tl2br w:val="nil"/>
                    <w:tr2bl w:val="nil"/>
                  </w:tcBorders>
                  <w:vAlign w:val="center"/>
                </w:tcPr>
                <w:p w14:paraId="57E82559">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r w14:paraId="507BDE7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64" w:type="pct"/>
                  <w:tcBorders>
                    <w:tl2br w:val="nil"/>
                    <w:tr2bl w:val="nil"/>
                  </w:tcBorders>
                  <w:vAlign w:val="center"/>
                </w:tcPr>
                <w:p w14:paraId="5EEF1D3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精轧机</w:t>
                  </w:r>
                </w:p>
              </w:tc>
              <w:tc>
                <w:tcPr>
                  <w:tcW w:w="234" w:type="pct"/>
                  <w:tcBorders>
                    <w:tl2br w:val="nil"/>
                    <w:tr2bl w:val="nil"/>
                  </w:tcBorders>
                  <w:vAlign w:val="center"/>
                </w:tcPr>
                <w:p w14:paraId="2CC6F03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11列</w:t>
                  </w:r>
                </w:p>
              </w:tc>
              <w:tc>
                <w:tcPr>
                  <w:tcW w:w="287" w:type="pct"/>
                  <w:tcBorders>
                    <w:tl2br w:val="nil"/>
                    <w:tr2bl w:val="nil"/>
                  </w:tcBorders>
                  <w:vAlign w:val="center"/>
                </w:tcPr>
                <w:p w14:paraId="68B316FD">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747" w:type="pct"/>
                  <w:tcBorders>
                    <w:tl2br w:val="nil"/>
                    <w:tr2bl w:val="nil"/>
                  </w:tcBorders>
                  <w:vAlign w:val="center"/>
                </w:tcPr>
                <w:p w14:paraId="6A30108D">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厂房隔音、减振</w:t>
                  </w:r>
                </w:p>
              </w:tc>
              <w:tc>
                <w:tcPr>
                  <w:tcW w:w="381" w:type="pct"/>
                  <w:tcBorders>
                    <w:tl2br w:val="nil"/>
                    <w:tr2bl w:val="nil"/>
                  </w:tcBorders>
                  <w:vAlign w:val="center"/>
                </w:tcPr>
                <w:p w14:paraId="15B6C5F4">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-189</w:t>
                  </w:r>
                </w:p>
              </w:tc>
              <w:tc>
                <w:tcPr>
                  <w:tcW w:w="287" w:type="pct"/>
                  <w:tcBorders>
                    <w:tl2br w:val="nil"/>
                    <w:tr2bl w:val="nil"/>
                  </w:tcBorders>
                  <w:vAlign w:val="center"/>
                </w:tcPr>
                <w:p w14:paraId="42BCE0EE">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548</w:t>
                  </w:r>
                </w:p>
              </w:tc>
              <w:tc>
                <w:tcPr>
                  <w:tcW w:w="260" w:type="pct"/>
                  <w:tcBorders>
                    <w:tl2br w:val="nil"/>
                    <w:tr2bl w:val="nil"/>
                  </w:tcBorders>
                  <w:vAlign w:val="center"/>
                </w:tcPr>
                <w:p w14:paraId="599D0456">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w:t>
                  </w:r>
                </w:p>
              </w:tc>
              <w:tc>
                <w:tcPr>
                  <w:tcW w:w="423" w:type="pct"/>
                  <w:tcBorders>
                    <w:tl2br w:val="nil"/>
                    <w:tr2bl w:val="nil"/>
                  </w:tcBorders>
                  <w:vAlign w:val="center"/>
                </w:tcPr>
                <w:p w14:paraId="63601204">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51" w:type="pct"/>
                  <w:tcBorders>
                    <w:tl2br w:val="nil"/>
                    <w:tr2bl w:val="nil"/>
                  </w:tcBorders>
                  <w:vAlign w:val="center"/>
                </w:tcPr>
                <w:p w14:paraId="3280F3F4">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w:t>
                  </w:r>
                </w:p>
              </w:tc>
              <w:tc>
                <w:tcPr>
                  <w:tcW w:w="312" w:type="pct"/>
                  <w:tcBorders>
                    <w:tl2br w:val="nil"/>
                    <w:tr2bl w:val="nil"/>
                  </w:tcBorders>
                  <w:vAlign w:val="center"/>
                </w:tcPr>
                <w:p w14:paraId="22160B7D">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399" w:type="pct"/>
                  <w:tcBorders>
                    <w:tl2br w:val="nil"/>
                    <w:tr2bl w:val="nil"/>
                  </w:tcBorders>
                  <w:vAlign w:val="center"/>
                </w:tcPr>
                <w:p w14:paraId="67FBEA0B">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429" w:type="pct"/>
                  <w:tcBorders>
                    <w:tl2br w:val="nil"/>
                    <w:tr2bl w:val="nil"/>
                  </w:tcBorders>
                  <w:vAlign w:val="center"/>
                </w:tcPr>
                <w:p w14:paraId="4B8D15F0">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61.8</w:t>
                  </w:r>
                </w:p>
              </w:tc>
              <w:tc>
                <w:tcPr>
                  <w:tcW w:w="320" w:type="pct"/>
                  <w:tcBorders>
                    <w:tl2br w:val="nil"/>
                    <w:tr2bl w:val="nil"/>
                  </w:tcBorders>
                  <w:vAlign w:val="center"/>
                </w:tcPr>
                <w:p w14:paraId="6D053833">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r w14:paraId="4CF0243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64" w:type="pct"/>
                  <w:tcBorders>
                    <w:tl2br w:val="nil"/>
                    <w:tr2bl w:val="nil"/>
                  </w:tcBorders>
                  <w:vAlign w:val="center"/>
                </w:tcPr>
                <w:p w14:paraId="524E431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粗轧机变频电机</w:t>
                  </w:r>
                </w:p>
              </w:tc>
              <w:tc>
                <w:tcPr>
                  <w:tcW w:w="234" w:type="pct"/>
                  <w:tcBorders>
                    <w:tl2br w:val="nil"/>
                    <w:tr2bl w:val="nil"/>
                  </w:tcBorders>
                  <w:vAlign w:val="center"/>
                </w:tcPr>
                <w:p w14:paraId="7F5EA4F6">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6台</w:t>
                  </w:r>
                </w:p>
              </w:tc>
              <w:tc>
                <w:tcPr>
                  <w:tcW w:w="287" w:type="pct"/>
                  <w:tcBorders>
                    <w:tl2br w:val="nil"/>
                    <w:tr2bl w:val="nil"/>
                  </w:tcBorders>
                  <w:vAlign w:val="center"/>
                </w:tcPr>
                <w:p w14:paraId="7728F21D">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c>
                <w:tcPr>
                  <w:tcW w:w="747" w:type="pct"/>
                  <w:tcBorders>
                    <w:tl2br w:val="nil"/>
                    <w:tr2bl w:val="nil"/>
                  </w:tcBorders>
                  <w:vAlign w:val="center"/>
                </w:tcPr>
                <w:p w14:paraId="4946CD3B">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厂房隔音、减振</w:t>
                  </w:r>
                </w:p>
              </w:tc>
              <w:tc>
                <w:tcPr>
                  <w:tcW w:w="381" w:type="pct"/>
                  <w:tcBorders>
                    <w:tl2br w:val="nil"/>
                    <w:tr2bl w:val="nil"/>
                  </w:tcBorders>
                  <w:vAlign w:val="center"/>
                </w:tcPr>
                <w:p w14:paraId="1ADE8C78">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-192</w:t>
                  </w:r>
                </w:p>
              </w:tc>
              <w:tc>
                <w:tcPr>
                  <w:tcW w:w="287" w:type="pct"/>
                  <w:tcBorders>
                    <w:tl2br w:val="nil"/>
                    <w:tr2bl w:val="nil"/>
                  </w:tcBorders>
                  <w:vAlign w:val="center"/>
                </w:tcPr>
                <w:p w14:paraId="5005CCBA">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509</w:t>
                  </w:r>
                </w:p>
              </w:tc>
              <w:tc>
                <w:tcPr>
                  <w:tcW w:w="260" w:type="pct"/>
                  <w:tcBorders>
                    <w:tl2br w:val="nil"/>
                    <w:tr2bl w:val="nil"/>
                  </w:tcBorders>
                  <w:vAlign w:val="center"/>
                </w:tcPr>
                <w:p w14:paraId="604E4532">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3" w:type="pct"/>
                  <w:tcBorders>
                    <w:tl2br w:val="nil"/>
                    <w:tr2bl w:val="nil"/>
                  </w:tcBorders>
                  <w:vAlign w:val="center"/>
                </w:tcPr>
                <w:p w14:paraId="11419175">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351" w:type="pct"/>
                  <w:tcBorders>
                    <w:tl2br w:val="nil"/>
                    <w:tr2bl w:val="nil"/>
                  </w:tcBorders>
                  <w:vAlign w:val="center"/>
                </w:tcPr>
                <w:p w14:paraId="59850AB3">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w:t>
                  </w:r>
                </w:p>
              </w:tc>
              <w:tc>
                <w:tcPr>
                  <w:tcW w:w="312" w:type="pct"/>
                  <w:tcBorders>
                    <w:tl2br w:val="nil"/>
                    <w:tr2bl w:val="nil"/>
                  </w:tcBorders>
                  <w:vAlign w:val="center"/>
                </w:tcPr>
                <w:p w14:paraId="336F7690">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399" w:type="pct"/>
                  <w:tcBorders>
                    <w:tl2br w:val="nil"/>
                    <w:tr2bl w:val="nil"/>
                  </w:tcBorders>
                  <w:vAlign w:val="center"/>
                </w:tcPr>
                <w:p w14:paraId="5A7CE8F2">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429" w:type="pct"/>
                  <w:tcBorders>
                    <w:tl2br w:val="nil"/>
                    <w:tr2bl w:val="nil"/>
                  </w:tcBorders>
                  <w:vAlign w:val="center"/>
                </w:tcPr>
                <w:p w14:paraId="2134A1FD">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56.8</w:t>
                  </w:r>
                </w:p>
              </w:tc>
              <w:tc>
                <w:tcPr>
                  <w:tcW w:w="320" w:type="pct"/>
                  <w:tcBorders>
                    <w:tl2br w:val="nil"/>
                    <w:tr2bl w:val="nil"/>
                  </w:tcBorders>
                  <w:vAlign w:val="center"/>
                </w:tcPr>
                <w:p w14:paraId="705E516E">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r w14:paraId="26F7DC9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64" w:type="pct"/>
                  <w:tcBorders>
                    <w:tl2br w:val="nil"/>
                    <w:tr2bl w:val="nil"/>
                  </w:tcBorders>
                  <w:vAlign w:val="center"/>
                </w:tcPr>
                <w:p w14:paraId="2EEE011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精轧机变频电机</w:t>
                  </w:r>
                </w:p>
              </w:tc>
              <w:tc>
                <w:tcPr>
                  <w:tcW w:w="234" w:type="pct"/>
                  <w:tcBorders>
                    <w:tl2br w:val="nil"/>
                    <w:tr2bl w:val="nil"/>
                  </w:tcBorders>
                  <w:vAlign w:val="center"/>
                </w:tcPr>
                <w:p w14:paraId="20A8207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10台</w:t>
                  </w:r>
                </w:p>
              </w:tc>
              <w:tc>
                <w:tcPr>
                  <w:tcW w:w="287" w:type="pct"/>
                  <w:tcBorders>
                    <w:tl2br w:val="nil"/>
                    <w:tr2bl w:val="nil"/>
                  </w:tcBorders>
                  <w:vAlign w:val="center"/>
                </w:tcPr>
                <w:p w14:paraId="1DD1B87A">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747" w:type="pct"/>
                  <w:tcBorders>
                    <w:tl2br w:val="nil"/>
                    <w:tr2bl w:val="nil"/>
                  </w:tcBorders>
                  <w:vAlign w:val="center"/>
                </w:tcPr>
                <w:p w14:paraId="26E108B2">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厂房隔音、减振</w:t>
                  </w:r>
                </w:p>
              </w:tc>
              <w:tc>
                <w:tcPr>
                  <w:tcW w:w="381" w:type="pct"/>
                  <w:tcBorders>
                    <w:tl2br w:val="nil"/>
                    <w:tr2bl w:val="nil"/>
                  </w:tcBorders>
                  <w:vAlign w:val="center"/>
                </w:tcPr>
                <w:p w14:paraId="5A0B4057">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-230</w:t>
                  </w:r>
                </w:p>
              </w:tc>
              <w:tc>
                <w:tcPr>
                  <w:tcW w:w="287" w:type="pct"/>
                  <w:tcBorders>
                    <w:tl2br w:val="nil"/>
                    <w:tr2bl w:val="nil"/>
                  </w:tcBorders>
                  <w:vAlign w:val="center"/>
                </w:tcPr>
                <w:p w14:paraId="5F42BB71">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503</w:t>
                  </w:r>
                </w:p>
              </w:tc>
              <w:tc>
                <w:tcPr>
                  <w:tcW w:w="260" w:type="pct"/>
                  <w:tcBorders>
                    <w:tl2br w:val="nil"/>
                    <w:tr2bl w:val="nil"/>
                  </w:tcBorders>
                  <w:vAlign w:val="center"/>
                </w:tcPr>
                <w:p w14:paraId="2B8051EC">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3" w:type="pct"/>
                  <w:tcBorders>
                    <w:tl2br w:val="nil"/>
                    <w:tr2bl w:val="nil"/>
                  </w:tcBorders>
                  <w:vAlign w:val="center"/>
                </w:tcPr>
                <w:p w14:paraId="11EC7A90">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351" w:type="pct"/>
                  <w:tcBorders>
                    <w:tl2br w:val="nil"/>
                    <w:tr2bl w:val="nil"/>
                  </w:tcBorders>
                  <w:vAlign w:val="center"/>
                </w:tcPr>
                <w:p w14:paraId="7F5979F2">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w:t>
                  </w:r>
                </w:p>
              </w:tc>
              <w:tc>
                <w:tcPr>
                  <w:tcW w:w="312" w:type="pct"/>
                  <w:tcBorders>
                    <w:tl2br w:val="nil"/>
                    <w:tr2bl w:val="nil"/>
                  </w:tcBorders>
                  <w:vAlign w:val="center"/>
                </w:tcPr>
                <w:p w14:paraId="463EA6B9">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399" w:type="pct"/>
                  <w:tcBorders>
                    <w:tl2br w:val="nil"/>
                    <w:tr2bl w:val="nil"/>
                  </w:tcBorders>
                  <w:vAlign w:val="center"/>
                </w:tcPr>
                <w:p w14:paraId="4F9D89C6">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429" w:type="pct"/>
                  <w:tcBorders>
                    <w:tl2br w:val="nil"/>
                    <w:tr2bl w:val="nil"/>
                  </w:tcBorders>
                  <w:vAlign w:val="center"/>
                </w:tcPr>
                <w:p w14:paraId="0C06A15B">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61.8</w:t>
                  </w:r>
                </w:p>
              </w:tc>
              <w:tc>
                <w:tcPr>
                  <w:tcW w:w="320" w:type="pct"/>
                  <w:tcBorders>
                    <w:tl2br w:val="nil"/>
                    <w:tr2bl w:val="nil"/>
                  </w:tcBorders>
                  <w:vAlign w:val="center"/>
                </w:tcPr>
                <w:p w14:paraId="2650CC51">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r w14:paraId="1242B59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64" w:type="pct"/>
                  <w:tcBorders>
                    <w:tl2br w:val="nil"/>
                    <w:tr2bl w:val="nil"/>
                  </w:tcBorders>
                  <w:vAlign w:val="center"/>
                </w:tcPr>
                <w:p w14:paraId="282EBC5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事故剪</w:t>
                  </w:r>
                </w:p>
              </w:tc>
              <w:tc>
                <w:tcPr>
                  <w:tcW w:w="234" w:type="pct"/>
                  <w:tcBorders>
                    <w:tl2br w:val="nil"/>
                    <w:tr2bl w:val="nil"/>
                  </w:tcBorders>
                  <w:vAlign w:val="center"/>
                </w:tcPr>
                <w:p w14:paraId="369BD7B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1台</w:t>
                  </w:r>
                </w:p>
              </w:tc>
              <w:tc>
                <w:tcPr>
                  <w:tcW w:w="287" w:type="pct"/>
                  <w:tcBorders>
                    <w:tl2br w:val="nil"/>
                    <w:tr2bl w:val="nil"/>
                  </w:tcBorders>
                  <w:vAlign w:val="center"/>
                </w:tcPr>
                <w:p w14:paraId="25029245">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c>
                <w:tcPr>
                  <w:tcW w:w="747" w:type="pct"/>
                  <w:tcBorders>
                    <w:tl2br w:val="nil"/>
                    <w:tr2bl w:val="nil"/>
                  </w:tcBorders>
                  <w:vAlign w:val="center"/>
                </w:tcPr>
                <w:p w14:paraId="02B57F76">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厂房隔音、减振</w:t>
                  </w:r>
                </w:p>
              </w:tc>
              <w:tc>
                <w:tcPr>
                  <w:tcW w:w="381" w:type="pct"/>
                  <w:tcBorders>
                    <w:tl2br w:val="nil"/>
                    <w:tr2bl w:val="nil"/>
                  </w:tcBorders>
                  <w:vAlign w:val="center"/>
                </w:tcPr>
                <w:p w14:paraId="418D9D1F">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-189</w:t>
                  </w:r>
                </w:p>
              </w:tc>
              <w:tc>
                <w:tcPr>
                  <w:tcW w:w="287" w:type="pct"/>
                  <w:tcBorders>
                    <w:tl2br w:val="nil"/>
                    <w:tr2bl w:val="nil"/>
                  </w:tcBorders>
                  <w:vAlign w:val="center"/>
                </w:tcPr>
                <w:p w14:paraId="6CD93EBD">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475</w:t>
                  </w:r>
                </w:p>
              </w:tc>
              <w:tc>
                <w:tcPr>
                  <w:tcW w:w="260" w:type="pct"/>
                  <w:tcBorders>
                    <w:tl2br w:val="nil"/>
                    <w:tr2bl w:val="nil"/>
                  </w:tcBorders>
                  <w:vAlign w:val="center"/>
                </w:tcPr>
                <w:p w14:paraId="112A792D">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3" w:type="pct"/>
                  <w:tcBorders>
                    <w:tl2br w:val="nil"/>
                    <w:tr2bl w:val="nil"/>
                  </w:tcBorders>
                  <w:vAlign w:val="center"/>
                </w:tcPr>
                <w:p w14:paraId="05114E8B">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351" w:type="pct"/>
                  <w:tcBorders>
                    <w:tl2br w:val="nil"/>
                    <w:tr2bl w:val="nil"/>
                  </w:tcBorders>
                  <w:vAlign w:val="center"/>
                </w:tcPr>
                <w:p w14:paraId="6C4D682C">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w:t>
                  </w:r>
                </w:p>
              </w:tc>
              <w:tc>
                <w:tcPr>
                  <w:tcW w:w="312" w:type="pct"/>
                  <w:tcBorders>
                    <w:tl2br w:val="nil"/>
                    <w:tr2bl w:val="nil"/>
                  </w:tcBorders>
                  <w:vAlign w:val="center"/>
                </w:tcPr>
                <w:p w14:paraId="5984948D">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399" w:type="pct"/>
                  <w:tcBorders>
                    <w:tl2br w:val="nil"/>
                    <w:tr2bl w:val="nil"/>
                  </w:tcBorders>
                  <w:vAlign w:val="center"/>
                </w:tcPr>
                <w:p w14:paraId="1E5A3078">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429" w:type="pct"/>
                  <w:tcBorders>
                    <w:tl2br w:val="nil"/>
                    <w:tr2bl w:val="nil"/>
                  </w:tcBorders>
                  <w:vAlign w:val="center"/>
                </w:tcPr>
                <w:p w14:paraId="7DB4975C">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61.8</w:t>
                  </w:r>
                </w:p>
              </w:tc>
              <w:tc>
                <w:tcPr>
                  <w:tcW w:w="320" w:type="pct"/>
                  <w:tcBorders>
                    <w:tl2br w:val="nil"/>
                    <w:tr2bl w:val="nil"/>
                  </w:tcBorders>
                  <w:vAlign w:val="center"/>
                </w:tcPr>
                <w:p w14:paraId="183203B3">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r w14:paraId="549B725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64" w:type="pct"/>
                  <w:tcBorders>
                    <w:tl2br w:val="nil"/>
                    <w:tr2bl w:val="nil"/>
                  </w:tcBorders>
                  <w:vAlign w:val="center"/>
                </w:tcPr>
                <w:p w14:paraId="63A37CF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倍尺飞剪</w:t>
                  </w:r>
                </w:p>
              </w:tc>
              <w:tc>
                <w:tcPr>
                  <w:tcW w:w="234" w:type="pct"/>
                  <w:tcBorders>
                    <w:tl2br w:val="nil"/>
                    <w:tr2bl w:val="nil"/>
                  </w:tcBorders>
                  <w:vAlign w:val="center"/>
                </w:tcPr>
                <w:p w14:paraId="1F0638B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1台</w:t>
                  </w:r>
                </w:p>
              </w:tc>
              <w:tc>
                <w:tcPr>
                  <w:tcW w:w="287" w:type="pct"/>
                  <w:tcBorders>
                    <w:tl2br w:val="nil"/>
                    <w:tr2bl w:val="nil"/>
                  </w:tcBorders>
                  <w:vAlign w:val="center"/>
                </w:tcPr>
                <w:p w14:paraId="3192EC31">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c>
                <w:tcPr>
                  <w:tcW w:w="747" w:type="pct"/>
                  <w:tcBorders>
                    <w:tl2br w:val="nil"/>
                    <w:tr2bl w:val="nil"/>
                  </w:tcBorders>
                  <w:vAlign w:val="center"/>
                </w:tcPr>
                <w:p w14:paraId="15DDD126">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厂房隔音、减振</w:t>
                  </w:r>
                </w:p>
              </w:tc>
              <w:tc>
                <w:tcPr>
                  <w:tcW w:w="381" w:type="pct"/>
                  <w:tcBorders>
                    <w:tl2br w:val="nil"/>
                    <w:tr2bl w:val="nil"/>
                  </w:tcBorders>
                  <w:vAlign w:val="center"/>
                </w:tcPr>
                <w:p w14:paraId="1364005A">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-248</w:t>
                  </w:r>
                </w:p>
              </w:tc>
              <w:tc>
                <w:tcPr>
                  <w:tcW w:w="287" w:type="pct"/>
                  <w:tcBorders>
                    <w:tl2br w:val="nil"/>
                    <w:tr2bl w:val="nil"/>
                  </w:tcBorders>
                  <w:vAlign w:val="center"/>
                </w:tcPr>
                <w:p w14:paraId="74C5E51F">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482</w:t>
                  </w:r>
                </w:p>
              </w:tc>
              <w:tc>
                <w:tcPr>
                  <w:tcW w:w="260" w:type="pct"/>
                  <w:tcBorders>
                    <w:tl2br w:val="nil"/>
                    <w:tr2bl w:val="nil"/>
                  </w:tcBorders>
                  <w:vAlign w:val="center"/>
                </w:tcPr>
                <w:p w14:paraId="51029171">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3" w:type="pct"/>
                  <w:tcBorders>
                    <w:tl2br w:val="nil"/>
                    <w:tr2bl w:val="nil"/>
                  </w:tcBorders>
                  <w:vAlign w:val="center"/>
                </w:tcPr>
                <w:p w14:paraId="153A8C00">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351" w:type="pct"/>
                  <w:tcBorders>
                    <w:tl2br w:val="nil"/>
                    <w:tr2bl w:val="nil"/>
                  </w:tcBorders>
                  <w:vAlign w:val="center"/>
                </w:tcPr>
                <w:p w14:paraId="5276F631">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w:t>
                  </w:r>
                </w:p>
              </w:tc>
              <w:tc>
                <w:tcPr>
                  <w:tcW w:w="312" w:type="pct"/>
                  <w:tcBorders>
                    <w:tl2br w:val="nil"/>
                    <w:tr2bl w:val="nil"/>
                  </w:tcBorders>
                  <w:vAlign w:val="center"/>
                </w:tcPr>
                <w:p w14:paraId="7138CC40">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399" w:type="pct"/>
                  <w:tcBorders>
                    <w:tl2br w:val="nil"/>
                    <w:tr2bl w:val="nil"/>
                  </w:tcBorders>
                  <w:vAlign w:val="center"/>
                </w:tcPr>
                <w:p w14:paraId="75274153">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429" w:type="pct"/>
                  <w:tcBorders>
                    <w:tl2br w:val="nil"/>
                    <w:tr2bl w:val="nil"/>
                  </w:tcBorders>
                  <w:vAlign w:val="center"/>
                </w:tcPr>
                <w:p w14:paraId="63BDC019">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61.8</w:t>
                  </w:r>
                </w:p>
              </w:tc>
              <w:tc>
                <w:tcPr>
                  <w:tcW w:w="320" w:type="pct"/>
                  <w:tcBorders>
                    <w:tl2br w:val="nil"/>
                    <w:tr2bl w:val="nil"/>
                  </w:tcBorders>
                  <w:vAlign w:val="center"/>
                </w:tcPr>
                <w:p w14:paraId="664F72A8">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r w14:paraId="1DAC43D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64" w:type="pct"/>
                  <w:tcBorders>
                    <w:tl2br w:val="nil"/>
                    <w:tr2bl w:val="nil"/>
                  </w:tcBorders>
                  <w:vAlign w:val="center"/>
                </w:tcPr>
                <w:p w14:paraId="435D614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辊道</w:t>
                  </w:r>
                </w:p>
              </w:tc>
              <w:tc>
                <w:tcPr>
                  <w:tcW w:w="234" w:type="pct"/>
                  <w:tcBorders>
                    <w:tl2br w:val="nil"/>
                    <w:tr2bl w:val="nil"/>
                  </w:tcBorders>
                  <w:vAlign w:val="center"/>
                </w:tcPr>
                <w:p w14:paraId="5468018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2套</w:t>
                  </w:r>
                </w:p>
              </w:tc>
              <w:tc>
                <w:tcPr>
                  <w:tcW w:w="287" w:type="pct"/>
                  <w:tcBorders>
                    <w:tl2br w:val="nil"/>
                    <w:tr2bl w:val="nil"/>
                  </w:tcBorders>
                  <w:vAlign w:val="center"/>
                </w:tcPr>
                <w:p w14:paraId="2178ECC4">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747" w:type="pct"/>
                  <w:tcBorders>
                    <w:tl2br w:val="nil"/>
                    <w:tr2bl w:val="nil"/>
                  </w:tcBorders>
                  <w:vAlign w:val="center"/>
                </w:tcPr>
                <w:p w14:paraId="33AE1C09">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厂房隔音、减振</w:t>
                  </w:r>
                </w:p>
              </w:tc>
              <w:tc>
                <w:tcPr>
                  <w:tcW w:w="381" w:type="pct"/>
                  <w:tcBorders>
                    <w:tl2br w:val="nil"/>
                    <w:tr2bl w:val="nil"/>
                  </w:tcBorders>
                  <w:vAlign w:val="center"/>
                </w:tcPr>
                <w:p w14:paraId="2D27DE8A">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-208</w:t>
                  </w:r>
                </w:p>
              </w:tc>
              <w:tc>
                <w:tcPr>
                  <w:tcW w:w="287" w:type="pct"/>
                  <w:tcBorders>
                    <w:tl2br w:val="nil"/>
                    <w:tr2bl w:val="nil"/>
                  </w:tcBorders>
                  <w:vAlign w:val="center"/>
                </w:tcPr>
                <w:p w14:paraId="702E0CBB">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260" w:type="pct"/>
                  <w:tcBorders>
                    <w:tl2br w:val="nil"/>
                    <w:tr2bl w:val="nil"/>
                  </w:tcBorders>
                  <w:vAlign w:val="center"/>
                </w:tcPr>
                <w:p w14:paraId="03741568">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3" w:type="pct"/>
                  <w:tcBorders>
                    <w:tl2br w:val="nil"/>
                    <w:tr2bl w:val="nil"/>
                  </w:tcBorders>
                  <w:vAlign w:val="center"/>
                </w:tcPr>
                <w:p w14:paraId="5DBA5C34">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51" w:type="pct"/>
                  <w:tcBorders>
                    <w:tl2br w:val="nil"/>
                    <w:tr2bl w:val="nil"/>
                  </w:tcBorders>
                  <w:vAlign w:val="center"/>
                </w:tcPr>
                <w:p w14:paraId="3421B33B">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w:t>
                  </w:r>
                </w:p>
              </w:tc>
              <w:tc>
                <w:tcPr>
                  <w:tcW w:w="312" w:type="pct"/>
                  <w:tcBorders>
                    <w:tl2br w:val="nil"/>
                    <w:tr2bl w:val="nil"/>
                  </w:tcBorders>
                  <w:vAlign w:val="center"/>
                </w:tcPr>
                <w:p w14:paraId="654A8377">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399" w:type="pct"/>
                  <w:tcBorders>
                    <w:tl2br w:val="nil"/>
                    <w:tr2bl w:val="nil"/>
                  </w:tcBorders>
                  <w:vAlign w:val="center"/>
                </w:tcPr>
                <w:p w14:paraId="59092692">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429" w:type="pct"/>
                  <w:tcBorders>
                    <w:tl2br w:val="nil"/>
                    <w:tr2bl w:val="nil"/>
                  </w:tcBorders>
                  <w:vAlign w:val="center"/>
                </w:tcPr>
                <w:p w14:paraId="6EDDD85F">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56.8</w:t>
                  </w:r>
                </w:p>
              </w:tc>
              <w:tc>
                <w:tcPr>
                  <w:tcW w:w="320" w:type="pct"/>
                  <w:tcBorders>
                    <w:tl2br w:val="nil"/>
                    <w:tr2bl w:val="nil"/>
                  </w:tcBorders>
                  <w:vAlign w:val="center"/>
                </w:tcPr>
                <w:p w14:paraId="1F3A9266">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r w14:paraId="1C83CEB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64" w:type="pct"/>
                  <w:tcBorders>
                    <w:tl2br w:val="nil"/>
                    <w:tr2bl w:val="nil"/>
                  </w:tcBorders>
                  <w:vAlign w:val="center"/>
                </w:tcPr>
                <w:p w14:paraId="306AAF3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热锯</w:t>
                  </w:r>
                </w:p>
              </w:tc>
              <w:tc>
                <w:tcPr>
                  <w:tcW w:w="234" w:type="pct"/>
                  <w:tcBorders>
                    <w:tl2br w:val="nil"/>
                    <w:tr2bl w:val="nil"/>
                  </w:tcBorders>
                  <w:vAlign w:val="center"/>
                </w:tcPr>
                <w:p w14:paraId="78C917E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50套</w:t>
                  </w:r>
                </w:p>
              </w:tc>
              <w:tc>
                <w:tcPr>
                  <w:tcW w:w="287" w:type="pct"/>
                  <w:tcBorders>
                    <w:tl2br w:val="nil"/>
                    <w:tr2bl w:val="nil"/>
                  </w:tcBorders>
                  <w:vAlign w:val="center"/>
                </w:tcPr>
                <w:p w14:paraId="32E7886A">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c>
                <w:tcPr>
                  <w:tcW w:w="747" w:type="pct"/>
                  <w:tcBorders>
                    <w:tl2br w:val="nil"/>
                    <w:tr2bl w:val="nil"/>
                  </w:tcBorders>
                  <w:vAlign w:val="center"/>
                </w:tcPr>
                <w:p w14:paraId="247421FD">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厂房隔音、减振、消声器</w:t>
                  </w:r>
                </w:p>
              </w:tc>
              <w:tc>
                <w:tcPr>
                  <w:tcW w:w="381" w:type="pct"/>
                  <w:tcBorders>
                    <w:tl2br w:val="nil"/>
                    <w:tr2bl w:val="nil"/>
                  </w:tcBorders>
                  <w:vAlign w:val="center"/>
                </w:tcPr>
                <w:p w14:paraId="6D45A0EA">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-170</w:t>
                  </w:r>
                </w:p>
              </w:tc>
              <w:tc>
                <w:tcPr>
                  <w:tcW w:w="287" w:type="pct"/>
                  <w:tcBorders>
                    <w:tl2br w:val="nil"/>
                    <w:tr2bl w:val="nil"/>
                  </w:tcBorders>
                  <w:vAlign w:val="center"/>
                </w:tcPr>
                <w:p w14:paraId="07B48B89">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472</w:t>
                  </w:r>
                </w:p>
              </w:tc>
              <w:tc>
                <w:tcPr>
                  <w:tcW w:w="260" w:type="pct"/>
                  <w:tcBorders>
                    <w:tl2br w:val="nil"/>
                    <w:tr2bl w:val="nil"/>
                  </w:tcBorders>
                  <w:vAlign w:val="center"/>
                </w:tcPr>
                <w:p w14:paraId="749117CF">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423" w:type="pct"/>
                  <w:tcBorders>
                    <w:tl2br w:val="nil"/>
                    <w:tr2bl w:val="nil"/>
                  </w:tcBorders>
                  <w:vAlign w:val="center"/>
                </w:tcPr>
                <w:p w14:paraId="590DAAC9">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51" w:type="pct"/>
                  <w:tcBorders>
                    <w:tl2br w:val="nil"/>
                    <w:tr2bl w:val="nil"/>
                  </w:tcBorders>
                  <w:vAlign w:val="center"/>
                </w:tcPr>
                <w:p w14:paraId="47E50A8F">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w:t>
                  </w:r>
                </w:p>
              </w:tc>
              <w:tc>
                <w:tcPr>
                  <w:tcW w:w="312" w:type="pct"/>
                  <w:tcBorders>
                    <w:tl2br w:val="nil"/>
                    <w:tr2bl w:val="nil"/>
                  </w:tcBorders>
                  <w:vAlign w:val="center"/>
                </w:tcPr>
                <w:p w14:paraId="5D4DD73F">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399" w:type="pct"/>
                  <w:tcBorders>
                    <w:tl2br w:val="nil"/>
                    <w:tr2bl w:val="nil"/>
                  </w:tcBorders>
                  <w:vAlign w:val="center"/>
                </w:tcPr>
                <w:p w14:paraId="7992180B">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429" w:type="pct"/>
                  <w:tcBorders>
                    <w:tl2br w:val="nil"/>
                    <w:tr2bl w:val="nil"/>
                  </w:tcBorders>
                  <w:vAlign w:val="center"/>
                </w:tcPr>
                <w:p w14:paraId="5BB11255">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61.8</w:t>
                  </w:r>
                </w:p>
              </w:tc>
              <w:tc>
                <w:tcPr>
                  <w:tcW w:w="320" w:type="pct"/>
                  <w:tcBorders>
                    <w:tl2br w:val="nil"/>
                    <w:tr2bl w:val="nil"/>
                  </w:tcBorders>
                  <w:vAlign w:val="center"/>
                </w:tcPr>
                <w:p w14:paraId="5D976701">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r w14:paraId="4F106D9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64" w:type="pct"/>
                  <w:tcBorders>
                    <w:tl2br w:val="nil"/>
                    <w:tr2bl w:val="nil"/>
                  </w:tcBorders>
                  <w:vAlign w:val="center"/>
                </w:tcPr>
                <w:p w14:paraId="4E8A243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空压机</w:t>
                  </w:r>
                </w:p>
              </w:tc>
              <w:tc>
                <w:tcPr>
                  <w:tcW w:w="234" w:type="pct"/>
                  <w:tcBorders>
                    <w:tl2br w:val="nil"/>
                    <w:tr2bl w:val="nil"/>
                  </w:tcBorders>
                  <w:vAlign w:val="center"/>
                </w:tcPr>
                <w:p w14:paraId="42CA8CA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20台</w:t>
                  </w:r>
                </w:p>
              </w:tc>
              <w:tc>
                <w:tcPr>
                  <w:tcW w:w="287" w:type="pct"/>
                  <w:tcBorders>
                    <w:tl2br w:val="nil"/>
                    <w:tr2bl w:val="nil"/>
                  </w:tcBorders>
                  <w:vAlign w:val="center"/>
                </w:tcPr>
                <w:p w14:paraId="32108623">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747" w:type="pct"/>
                  <w:tcBorders>
                    <w:tl2br w:val="nil"/>
                    <w:tr2bl w:val="nil"/>
                  </w:tcBorders>
                  <w:vAlign w:val="center"/>
                </w:tcPr>
                <w:p w14:paraId="3A4F2281">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厂房隔音、减振</w:t>
                  </w:r>
                </w:p>
              </w:tc>
              <w:tc>
                <w:tcPr>
                  <w:tcW w:w="381" w:type="pct"/>
                  <w:tcBorders>
                    <w:tl2br w:val="nil"/>
                    <w:tr2bl w:val="nil"/>
                  </w:tcBorders>
                  <w:vAlign w:val="center"/>
                </w:tcPr>
                <w:p w14:paraId="300A17F6">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-189</w:t>
                  </w:r>
                </w:p>
              </w:tc>
              <w:tc>
                <w:tcPr>
                  <w:tcW w:w="287" w:type="pct"/>
                  <w:tcBorders>
                    <w:tl2br w:val="nil"/>
                    <w:tr2bl w:val="nil"/>
                  </w:tcBorders>
                  <w:vAlign w:val="center"/>
                </w:tcPr>
                <w:p w14:paraId="142DD123">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474</w:t>
                  </w:r>
                </w:p>
              </w:tc>
              <w:tc>
                <w:tcPr>
                  <w:tcW w:w="260" w:type="pct"/>
                  <w:tcBorders>
                    <w:tl2br w:val="nil"/>
                    <w:tr2bl w:val="nil"/>
                  </w:tcBorders>
                  <w:vAlign w:val="center"/>
                </w:tcPr>
                <w:p w14:paraId="1F2AFC90">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w:t>
                  </w:r>
                </w:p>
              </w:tc>
              <w:tc>
                <w:tcPr>
                  <w:tcW w:w="423" w:type="pct"/>
                  <w:tcBorders>
                    <w:tl2br w:val="nil"/>
                    <w:tr2bl w:val="nil"/>
                  </w:tcBorders>
                  <w:vAlign w:val="center"/>
                </w:tcPr>
                <w:p w14:paraId="4D03CACD">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51" w:type="pct"/>
                  <w:tcBorders>
                    <w:tl2br w:val="nil"/>
                    <w:tr2bl w:val="nil"/>
                  </w:tcBorders>
                  <w:vAlign w:val="center"/>
                </w:tcPr>
                <w:p w14:paraId="77B3C5E3">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w:t>
                  </w:r>
                </w:p>
              </w:tc>
              <w:tc>
                <w:tcPr>
                  <w:tcW w:w="312" w:type="pct"/>
                  <w:tcBorders>
                    <w:tl2br w:val="nil"/>
                    <w:tr2bl w:val="nil"/>
                  </w:tcBorders>
                  <w:vAlign w:val="center"/>
                </w:tcPr>
                <w:p w14:paraId="7A820ED0">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399" w:type="pct"/>
                  <w:tcBorders>
                    <w:tl2br w:val="nil"/>
                    <w:tr2bl w:val="nil"/>
                  </w:tcBorders>
                  <w:vAlign w:val="center"/>
                </w:tcPr>
                <w:p w14:paraId="7F655C92">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429" w:type="pct"/>
                  <w:tcBorders>
                    <w:tl2br w:val="nil"/>
                    <w:tr2bl w:val="nil"/>
                  </w:tcBorders>
                  <w:vAlign w:val="center"/>
                </w:tcPr>
                <w:p w14:paraId="1CEB94FD">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56.8</w:t>
                  </w:r>
                </w:p>
              </w:tc>
              <w:tc>
                <w:tcPr>
                  <w:tcW w:w="320" w:type="pct"/>
                  <w:tcBorders>
                    <w:tl2br w:val="nil"/>
                    <w:tr2bl w:val="nil"/>
                  </w:tcBorders>
                  <w:vAlign w:val="center"/>
                </w:tcPr>
                <w:p w14:paraId="60EDEB6D">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r w14:paraId="0812B24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64" w:type="pct"/>
                  <w:tcBorders>
                    <w:tl2br w:val="nil"/>
                    <w:tr2bl w:val="nil"/>
                  </w:tcBorders>
                  <w:vAlign w:val="center"/>
                </w:tcPr>
                <w:p w14:paraId="427F416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矫直机</w:t>
                  </w:r>
                </w:p>
              </w:tc>
              <w:tc>
                <w:tcPr>
                  <w:tcW w:w="234" w:type="pct"/>
                  <w:tcBorders>
                    <w:tl2br w:val="nil"/>
                    <w:tr2bl w:val="nil"/>
                  </w:tcBorders>
                  <w:vAlign w:val="center"/>
                </w:tcPr>
                <w:p w14:paraId="53BEDAB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1台</w:t>
                  </w:r>
                </w:p>
              </w:tc>
              <w:tc>
                <w:tcPr>
                  <w:tcW w:w="287" w:type="pct"/>
                  <w:tcBorders>
                    <w:tl2br w:val="nil"/>
                    <w:tr2bl w:val="nil"/>
                  </w:tcBorders>
                </w:tcPr>
                <w:p w14:paraId="095CB423">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c>
                <w:tcPr>
                  <w:tcW w:w="747" w:type="pct"/>
                  <w:tcBorders>
                    <w:tl2br w:val="nil"/>
                    <w:tr2bl w:val="nil"/>
                  </w:tcBorders>
                </w:tcPr>
                <w:p w14:paraId="58C858A9">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厂房隔音、减振、消声器</w:t>
                  </w:r>
                </w:p>
              </w:tc>
              <w:tc>
                <w:tcPr>
                  <w:tcW w:w="381" w:type="pct"/>
                  <w:tcBorders>
                    <w:tl2br w:val="nil"/>
                    <w:tr2bl w:val="nil"/>
                  </w:tcBorders>
                  <w:vAlign w:val="center"/>
                </w:tcPr>
                <w:p w14:paraId="3C48CF11">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w:t>
                  </w:r>
                </w:p>
              </w:tc>
              <w:tc>
                <w:tcPr>
                  <w:tcW w:w="287" w:type="pct"/>
                  <w:tcBorders>
                    <w:tl2br w:val="nil"/>
                    <w:tr2bl w:val="nil"/>
                  </w:tcBorders>
                  <w:vAlign w:val="center"/>
                </w:tcPr>
                <w:p w14:paraId="33C8C62A">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487</w:t>
                  </w:r>
                </w:p>
              </w:tc>
              <w:tc>
                <w:tcPr>
                  <w:tcW w:w="260" w:type="pct"/>
                  <w:tcBorders>
                    <w:tl2br w:val="nil"/>
                    <w:tr2bl w:val="nil"/>
                  </w:tcBorders>
                  <w:vAlign w:val="center"/>
                </w:tcPr>
                <w:p w14:paraId="3524AE93">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w:t>
                  </w:r>
                </w:p>
              </w:tc>
              <w:tc>
                <w:tcPr>
                  <w:tcW w:w="423" w:type="pct"/>
                  <w:tcBorders>
                    <w:tl2br w:val="nil"/>
                    <w:tr2bl w:val="nil"/>
                  </w:tcBorders>
                  <w:vAlign w:val="center"/>
                </w:tcPr>
                <w:p w14:paraId="447487A9">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51" w:type="pct"/>
                  <w:tcBorders>
                    <w:tl2br w:val="nil"/>
                    <w:tr2bl w:val="nil"/>
                  </w:tcBorders>
                  <w:vAlign w:val="center"/>
                </w:tcPr>
                <w:p w14:paraId="186E9F7E">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w:t>
                  </w:r>
                </w:p>
              </w:tc>
              <w:tc>
                <w:tcPr>
                  <w:tcW w:w="312" w:type="pct"/>
                  <w:tcBorders>
                    <w:tl2br w:val="nil"/>
                    <w:tr2bl w:val="nil"/>
                  </w:tcBorders>
                  <w:vAlign w:val="center"/>
                </w:tcPr>
                <w:p w14:paraId="5C67BFB7">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399" w:type="pct"/>
                  <w:tcBorders>
                    <w:tl2br w:val="nil"/>
                    <w:tr2bl w:val="nil"/>
                  </w:tcBorders>
                </w:tcPr>
                <w:p w14:paraId="09CC8C36">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429" w:type="pct"/>
                  <w:tcBorders>
                    <w:tl2br w:val="nil"/>
                    <w:tr2bl w:val="nil"/>
                  </w:tcBorders>
                  <w:vAlign w:val="center"/>
                </w:tcPr>
                <w:p w14:paraId="06E7BCB4">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61.8</w:t>
                  </w:r>
                </w:p>
              </w:tc>
              <w:tc>
                <w:tcPr>
                  <w:tcW w:w="320" w:type="pct"/>
                  <w:tcBorders>
                    <w:tl2br w:val="nil"/>
                    <w:tr2bl w:val="nil"/>
                  </w:tcBorders>
                  <w:vAlign w:val="center"/>
                </w:tcPr>
                <w:p w14:paraId="536D038A">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r w14:paraId="2A355E0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64" w:type="pct"/>
                  <w:tcBorders>
                    <w:tl2br w:val="nil"/>
                    <w:tr2bl w:val="nil"/>
                  </w:tcBorders>
                  <w:vAlign w:val="center"/>
                </w:tcPr>
                <w:p w14:paraId="552509C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净循环水泵</w:t>
                  </w:r>
                </w:p>
              </w:tc>
              <w:tc>
                <w:tcPr>
                  <w:tcW w:w="234" w:type="pct"/>
                  <w:tcBorders>
                    <w:tl2br w:val="nil"/>
                    <w:tr2bl w:val="nil"/>
                  </w:tcBorders>
                  <w:vAlign w:val="center"/>
                </w:tcPr>
                <w:p w14:paraId="5D1B5FB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2台</w:t>
                  </w:r>
                </w:p>
              </w:tc>
              <w:tc>
                <w:tcPr>
                  <w:tcW w:w="287" w:type="pct"/>
                  <w:tcBorders>
                    <w:tl2br w:val="nil"/>
                    <w:tr2bl w:val="nil"/>
                  </w:tcBorders>
                </w:tcPr>
                <w:p w14:paraId="539BF13C">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c>
                <w:tcPr>
                  <w:tcW w:w="747" w:type="pct"/>
                  <w:tcBorders>
                    <w:tl2br w:val="nil"/>
                    <w:tr2bl w:val="nil"/>
                  </w:tcBorders>
                </w:tcPr>
                <w:p w14:paraId="46A357CB">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厂房隔音、减振、消声器</w:t>
                  </w:r>
                </w:p>
              </w:tc>
              <w:tc>
                <w:tcPr>
                  <w:tcW w:w="381" w:type="pct"/>
                  <w:tcBorders>
                    <w:tl2br w:val="nil"/>
                    <w:tr2bl w:val="nil"/>
                  </w:tcBorders>
                  <w:vAlign w:val="center"/>
                </w:tcPr>
                <w:p w14:paraId="1AEED15D">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-179</w:t>
                  </w:r>
                </w:p>
              </w:tc>
              <w:tc>
                <w:tcPr>
                  <w:tcW w:w="287" w:type="pct"/>
                  <w:tcBorders>
                    <w:tl2br w:val="nil"/>
                    <w:tr2bl w:val="nil"/>
                  </w:tcBorders>
                  <w:vAlign w:val="center"/>
                </w:tcPr>
                <w:p w14:paraId="01EA2517">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486</w:t>
                  </w:r>
                </w:p>
              </w:tc>
              <w:tc>
                <w:tcPr>
                  <w:tcW w:w="260" w:type="pct"/>
                  <w:tcBorders>
                    <w:tl2br w:val="nil"/>
                    <w:tr2bl w:val="nil"/>
                  </w:tcBorders>
                  <w:vAlign w:val="center"/>
                </w:tcPr>
                <w:p w14:paraId="371E91C9">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3" w:type="pct"/>
                  <w:tcBorders>
                    <w:tl2br w:val="nil"/>
                    <w:tr2bl w:val="nil"/>
                  </w:tcBorders>
                  <w:vAlign w:val="center"/>
                </w:tcPr>
                <w:p w14:paraId="69604C43">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351" w:type="pct"/>
                  <w:tcBorders>
                    <w:tl2br w:val="nil"/>
                    <w:tr2bl w:val="nil"/>
                  </w:tcBorders>
                  <w:vAlign w:val="center"/>
                </w:tcPr>
                <w:p w14:paraId="75AA7B38">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w:t>
                  </w:r>
                </w:p>
              </w:tc>
              <w:tc>
                <w:tcPr>
                  <w:tcW w:w="312" w:type="pct"/>
                  <w:tcBorders>
                    <w:tl2br w:val="nil"/>
                    <w:tr2bl w:val="nil"/>
                  </w:tcBorders>
                  <w:vAlign w:val="center"/>
                </w:tcPr>
                <w:p w14:paraId="7FD72FE0">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399" w:type="pct"/>
                  <w:tcBorders>
                    <w:tl2br w:val="nil"/>
                    <w:tr2bl w:val="nil"/>
                  </w:tcBorders>
                </w:tcPr>
                <w:p w14:paraId="4181B9EB">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429" w:type="pct"/>
                  <w:tcBorders>
                    <w:tl2br w:val="nil"/>
                    <w:tr2bl w:val="nil"/>
                  </w:tcBorders>
                  <w:vAlign w:val="center"/>
                </w:tcPr>
                <w:p w14:paraId="00991A29">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61.8</w:t>
                  </w:r>
                </w:p>
              </w:tc>
              <w:tc>
                <w:tcPr>
                  <w:tcW w:w="320" w:type="pct"/>
                  <w:tcBorders>
                    <w:tl2br w:val="nil"/>
                    <w:tr2bl w:val="nil"/>
                  </w:tcBorders>
                  <w:vAlign w:val="center"/>
                </w:tcPr>
                <w:p w14:paraId="232B64E0">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r w14:paraId="51726A8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64" w:type="pct"/>
                  <w:tcBorders>
                    <w:tl2br w:val="nil"/>
                    <w:tr2bl w:val="nil"/>
                  </w:tcBorders>
                  <w:vAlign w:val="center"/>
                </w:tcPr>
                <w:p w14:paraId="15106A6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浊循环水泵</w:t>
                  </w:r>
                </w:p>
              </w:tc>
              <w:tc>
                <w:tcPr>
                  <w:tcW w:w="234" w:type="pct"/>
                  <w:tcBorders>
                    <w:tl2br w:val="nil"/>
                    <w:tr2bl w:val="nil"/>
                  </w:tcBorders>
                  <w:vAlign w:val="center"/>
                </w:tcPr>
                <w:p w14:paraId="07AA02A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1台</w:t>
                  </w:r>
                </w:p>
              </w:tc>
              <w:tc>
                <w:tcPr>
                  <w:tcW w:w="287" w:type="pct"/>
                  <w:tcBorders>
                    <w:tl2br w:val="nil"/>
                    <w:tr2bl w:val="nil"/>
                  </w:tcBorders>
                </w:tcPr>
                <w:p w14:paraId="095263C7">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c>
                <w:tcPr>
                  <w:tcW w:w="747" w:type="pct"/>
                  <w:tcBorders>
                    <w:tl2br w:val="nil"/>
                    <w:tr2bl w:val="nil"/>
                  </w:tcBorders>
                </w:tcPr>
                <w:p w14:paraId="612A968B">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厂房隔音、减振、消声器</w:t>
                  </w:r>
                </w:p>
              </w:tc>
              <w:tc>
                <w:tcPr>
                  <w:tcW w:w="381" w:type="pct"/>
                  <w:tcBorders>
                    <w:tl2br w:val="nil"/>
                    <w:tr2bl w:val="nil"/>
                  </w:tcBorders>
                  <w:vAlign w:val="center"/>
                </w:tcPr>
                <w:p w14:paraId="240A3693">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-191</w:t>
                  </w:r>
                </w:p>
              </w:tc>
              <w:tc>
                <w:tcPr>
                  <w:tcW w:w="287" w:type="pct"/>
                  <w:tcBorders>
                    <w:tl2br w:val="nil"/>
                    <w:tr2bl w:val="nil"/>
                  </w:tcBorders>
                  <w:vAlign w:val="center"/>
                </w:tcPr>
                <w:p w14:paraId="3AB762DE">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455</w:t>
                  </w:r>
                </w:p>
              </w:tc>
              <w:tc>
                <w:tcPr>
                  <w:tcW w:w="260" w:type="pct"/>
                  <w:tcBorders>
                    <w:tl2br w:val="nil"/>
                    <w:tr2bl w:val="nil"/>
                  </w:tcBorders>
                  <w:vAlign w:val="center"/>
                </w:tcPr>
                <w:p w14:paraId="53C785C5">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3" w:type="pct"/>
                  <w:tcBorders>
                    <w:tl2br w:val="nil"/>
                    <w:tr2bl w:val="nil"/>
                  </w:tcBorders>
                  <w:vAlign w:val="center"/>
                </w:tcPr>
                <w:p w14:paraId="7D4A5490">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351" w:type="pct"/>
                  <w:tcBorders>
                    <w:tl2br w:val="nil"/>
                    <w:tr2bl w:val="nil"/>
                  </w:tcBorders>
                  <w:vAlign w:val="center"/>
                </w:tcPr>
                <w:p w14:paraId="6C1444DF">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w:t>
                  </w:r>
                </w:p>
              </w:tc>
              <w:tc>
                <w:tcPr>
                  <w:tcW w:w="312" w:type="pct"/>
                  <w:tcBorders>
                    <w:tl2br w:val="nil"/>
                    <w:tr2bl w:val="nil"/>
                  </w:tcBorders>
                  <w:vAlign w:val="center"/>
                </w:tcPr>
                <w:p w14:paraId="0D781898">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399" w:type="pct"/>
                  <w:tcBorders>
                    <w:tl2br w:val="nil"/>
                    <w:tr2bl w:val="nil"/>
                  </w:tcBorders>
                </w:tcPr>
                <w:p w14:paraId="2CE30DB9">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429" w:type="pct"/>
                  <w:tcBorders>
                    <w:tl2br w:val="nil"/>
                    <w:tr2bl w:val="nil"/>
                  </w:tcBorders>
                  <w:vAlign w:val="center"/>
                </w:tcPr>
                <w:p w14:paraId="2DA48783">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61.8</w:t>
                  </w:r>
                </w:p>
              </w:tc>
              <w:tc>
                <w:tcPr>
                  <w:tcW w:w="320" w:type="pct"/>
                  <w:tcBorders>
                    <w:tl2br w:val="nil"/>
                    <w:tr2bl w:val="nil"/>
                  </w:tcBorders>
                  <w:vAlign w:val="center"/>
                </w:tcPr>
                <w:p w14:paraId="4CF7784E">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r w14:paraId="15D6EAF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564" w:type="pct"/>
                  <w:tcBorders>
                    <w:tl2br w:val="nil"/>
                    <w:tr2bl w:val="nil"/>
                  </w:tcBorders>
                  <w:vAlign w:val="center"/>
                </w:tcPr>
                <w:p w14:paraId="3CD48F8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稀油站</w:t>
                  </w:r>
                </w:p>
              </w:tc>
              <w:tc>
                <w:tcPr>
                  <w:tcW w:w="234" w:type="pct"/>
                  <w:tcBorders>
                    <w:tl2br w:val="nil"/>
                    <w:tr2bl w:val="nil"/>
                  </w:tcBorders>
                  <w:vAlign w:val="center"/>
                </w:tcPr>
                <w:p w14:paraId="7F98147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1台</w:t>
                  </w:r>
                </w:p>
              </w:tc>
              <w:tc>
                <w:tcPr>
                  <w:tcW w:w="287" w:type="pct"/>
                  <w:tcBorders>
                    <w:tl2br w:val="nil"/>
                    <w:tr2bl w:val="nil"/>
                  </w:tcBorders>
                </w:tcPr>
                <w:p w14:paraId="09BA2B26">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c>
                <w:tcPr>
                  <w:tcW w:w="747" w:type="pct"/>
                  <w:tcBorders>
                    <w:tl2br w:val="nil"/>
                    <w:tr2bl w:val="nil"/>
                  </w:tcBorders>
                </w:tcPr>
                <w:p w14:paraId="60162717">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厂房隔音、减振、消声器</w:t>
                  </w:r>
                </w:p>
              </w:tc>
              <w:tc>
                <w:tcPr>
                  <w:tcW w:w="381" w:type="pct"/>
                  <w:tcBorders>
                    <w:tl2br w:val="nil"/>
                    <w:tr2bl w:val="nil"/>
                  </w:tcBorders>
                  <w:vAlign w:val="center"/>
                </w:tcPr>
                <w:p w14:paraId="5396A08C">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-243</w:t>
                  </w:r>
                </w:p>
              </w:tc>
              <w:tc>
                <w:tcPr>
                  <w:tcW w:w="287" w:type="pct"/>
                  <w:tcBorders>
                    <w:tl2br w:val="nil"/>
                    <w:tr2bl w:val="nil"/>
                  </w:tcBorders>
                  <w:vAlign w:val="center"/>
                </w:tcPr>
                <w:p w14:paraId="6B61F538">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482</w:t>
                  </w:r>
                </w:p>
              </w:tc>
              <w:tc>
                <w:tcPr>
                  <w:tcW w:w="260" w:type="pct"/>
                  <w:tcBorders>
                    <w:tl2br w:val="nil"/>
                    <w:tr2bl w:val="nil"/>
                  </w:tcBorders>
                  <w:vAlign w:val="center"/>
                </w:tcPr>
                <w:p w14:paraId="50329B3A">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3" w:type="pct"/>
                  <w:tcBorders>
                    <w:tl2br w:val="nil"/>
                    <w:tr2bl w:val="nil"/>
                  </w:tcBorders>
                  <w:vAlign w:val="center"/>
                </w:tcPr>
                <w:p w14:paraId="1A82DBE2">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351" w:type="pct"/>
                  <w:tcBorders>
                    <w:tl2br w:val="nil"/>
                    <w:tr2bl w:val="nil"/>
                  </w:tcBorders>
                  <w:vAlign w:val="center"/>
                </w:tcPr>
                <w:p w14:paraId="40DD5E5C">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w:t>
                  </w:r>
                </w:p>
              </w:tc>
              <w:tc>
                <w:tcPr>
                  <w:tcW w:w="312" w:type="pct"/>
                  <w:tcBorders>
                    <w:tl2br w:val="nil"/>
                    <w:tr2bl w:val="nil"/>
                  </w:tcBorders>
                  <w:vAlign w:val="center"/>
                </w:tcPr>
                <w:p w14:paraId="36BCC0DB">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399" w:type="pct"/>
                  <w:tcBorders>
                    <w:tl2br w:val="nil"/>
                    <w:tr2bl w:val="nil"/>
                  </w:tcBorders>
                </w:tcPr>
                <w:p w14:paraId="451CA49B">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429" w:type="pct"/>
                  <w:tcBorders>
                    <w:tl2br w:val="nil"/>
                    <w:tr2bl w:val="nil"/>
                  </w:tcBorders>
                  <w:vAlign w:val="center"/>
                </w:tcPr>
                <w:p w14:paraId="4B6CF756">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61.8</w:t>
                  </w:r>
                </w:p>
              </w:tc>
              <w:tc>
                <w:tcPr>
                  <w:tcW w:w="320" w:type="pct"/>
                  <w:tcBorders>
                    <w:tl2br w:val="nil"/>
                    <w:tr2bl w:val="nil"/>
                  </w:tcBorders>
                  <w:vAlign w:val="center"/>
                </w:tcPr>
                <w:p w14:paraId="73AF2F0D">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bl>
          <w:p w14:paraId="42138AF5">
            <w:pPr>
              <w:tabs>
                <w:tab w:val="left" w:pos="2395"/>
              </w:tabs>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拟建项目噪声源源强见下表：</w:t>
            </w:r>
          </w:p>
          <w:p w14:paraId="02C6ACB4">
            <w:pPr>
              <w:pStyle w:val="111"/>
              <w:spacing w:line="36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表4-9   项目主要产噪声源一览表   单位：dB(A)</w:t>
            </w:r>
          </w:p>
          <w:tbl>
            <w:tblPr>
              <w:tblStyle w:val="36"/>
              <w:tblW w:w="4995"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5"/>
              <w:gridCol w:w="587"/>
              <w:gridCol w:w="560"/>
              <w:gridCol w:w="386"/>
              <w:gridCol w:w="947"/>
              <w:gridCol w:w="715"/>
              <w:gridCol w:w="527"/>
              <w:gridCol w:w="554"/>
              <w:gridCol w:w="699"/>
              <w:gridCol w:w="707"/>
              <w:gridCol w:w="392"/>
              <w:gridCol w:w="659"/>
              <w:gridCol w:w="709"/>
              <w:gridCol w:w="405"/>
            </w:tblGrid>
            <w:tr w14:paraId="400E6D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restart"/>
                  <w:tcBorders>
                    <w:tl2br w:val="nil"/>
                    <w:tr2bl w:val="nil"/>
                  </w:tcBorders>
                  <w:vAlign w:val="center"/>
                </w:tcPr>
                <w:p w14:paraId="2B56FBA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工序</w:t>
                  </w:r>
                </w:p>
              </w:tc>
              <w:tc>
                <w:tcPr>
                  <w:tcW w:w="356" w:type="pct"/>
                  <w:vMerge w:val="restart"/>
                  <w:tcBorders>
                    <w:tl2br w:val="nil"/>
                    <w:tr2bl w:val="nil"/>
                  </w:tcBorders>
                  <w:vAlign w:val="center"/>
                </w:tcPr>
                <w:p w14:paraId="593E84F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声源</w:t>
                  </w:r>
                </w:p>
              </w:tc>
              <w:tc>
                <w:tcPr>
                  <w:tcW w:w="340" w:type="pct"/>
                  <w:vMerge w:val="restart"/>
                  <w:tcBorders>
                    <w:tl2br w:val="nil"/>
                    <w:tr2bl w:val="nil"/>
                  </w:tcBorders>
                  <w:vAlign w:val="center"/>
                </w:tcPr>
                <w:p w14:paraId="33541E1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声压级（距离声源1m处）</w:t>
                  </w:r>
                </w:p>
              </w:tc>
              <w:tc>
                <w:tcPr>
                  <w:tcW w:w="234" w:type="pct"/>
                  <w:vMerge w:val="restart"/>
                  <w:tcBorders>
                    <w:tl2br w:val="nil"/>
                    <w:tr2bl w:val="nil"/>
                  </w:tcBorders>
                  <w:vAlign w:val="center"/>
                </w:tcPr>
                <w:p w14:paraId="0900C51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数量</w:t>
                  </w:r>
                </w:p>
              </w:tc>
              <w:tc>
                <w:tcPr>
                  <w:tcW w:w="575" w:type="pct"/>
                  <w:vMerge w:val="restart"/>
                  <w:tcBorders>
                    <w:tl2br w:val="nil"/>
                    <w:tr2bl w:val="nil"/>
                  </w:tcBorders>
                  <w:vAlign w:val="center"/>
                </w:tcPr>
                <w:p w14:paraId="7AD6A20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治理措施</w:t>
                  </w:r>
                </w:p>
              </w:tc>
              <w:tc>
                <w:tcPr>
                  <w:tcW w:w="1090" w:type="pct"/>
                  <w:gridSpan w:val="3"/>
                  <w:tcBorders>
                    <w:tl2br w:val="nil"/>
                    <w:tr2bl w:val="nil"/>
                  </w:tcBorders>
                  <w:vAlign w:val="center"/>
                </w:tcPr>
                <w:p w14:paraId="79F61BCC">
                  <w:pPr>
                    <w:pStyle w:val="13"/>
                    <w:adjustRightInd w:val="0"/>
                    <w:spacing w:before="0" w:after="0" w:line="240" w:lineRule="auto"/>
                    <w:ind w:right="0"/>
                    <w:jc w:val="center"/>
                    <w:rPr>
                      <w:rFonts w:hint="default" w:ascii="Times New Roman" w:hAnsi="Times New Roman" w:cs="Times New Roman" w:eastAsiaTheme="minorEastAsia"/>
                      <w:color w:val="auto"/>
                      <w:szCs w:val="18"/>
                    </w:rPr>
                  </w:pPr>
                  <w:r>
                    <w:rPr>
                      <w:rFonts w:hint="default" w:ascii="Times New Roman" w:hAnsi="Times New Roman" w:cs="Times New Roman" w:eastAsiaTheme="minorEastAsia"/>
                      <w:color w:val="auto"/>
                      <w:szCs w:val="18"/>
                    </w:rPr>
                    <w:t>空间相对位置/m</w:t>
                  </w:r>
                </w:p>
              </w:tc>
              <w:tc>
                <w:tcPr>
                  <w:tcW w:w="424" w:type="pct"/>
                  <w:vMerge w:val="restart"/>
                  <w:tcBorders>
                    <w:tl2br w:val="nil"/>
                    <w:tr2bl w:val="nil"/>
                  </w:tcBorders>
                  <w:vAlign w:val="center"/>
                </w:tcPr>
                <w:p w14:paraId="15F71DEF">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距室内边界距离（m）</w:t>
                  </w:r>
                </w:p>
              </w:tc>
              <w:tc>
                <w:tcPr>
                  <w:tcW w:w="429" w:type="pct"/>
                  <w:vMerge w:val="restart"/>
                  <w:tcBorders>
                    <w:tl2br w:val="nil"/>
                    <w:tr2bl w:val="nil"/>
                  </w:tcBorders>
                  <w:vAlign w:val="center"/>
                </w:tcPr>
                <w:p w14:paraId="3D57FEE3">
                  <w:pPr>
                    <w:widowControl/>
                    <w:adjustRightInd w:val="0"/>
                    <w:snapToGrid w:val="0"/>
                    <w:jc w:val="center"/>
                    <w:textAlignment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室内边界声级</w:t>
                  </w:r>
                </w:p>
                <w:p w14:paraId="3F00D3C7">
                  <w:pPr>
                    <w:widowControl/>
                    <w:adjustRightInd w:val="0"/>
                    <w:snapToGrid w:val="0"/>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/dB(A)</w:t>
                  </w:r>
                </w:p>
              </w:tc>
              <w:tc>
                <w:tcPr>
                  <w:tcW w:w="238" w:type="pct"/>
                  <w:vMerge w:val="restart"/>
                  <w:tcBorders>
                    <w:tl2br w:val="nil"/>
                    <w:tr2bl w:val="nil"/>
                  </w:tcBorders>
                  <w:vAlign w:val="center"/>
                </w:tcPr>
                <w:p w14:paraId="1135C74D">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运行时段</w:t>
                  </w:r>
                </w:p>
              </w:tc>
              <w:tc>
                <w:tcPr>
                  <w:tcW w:w="400" w:type="pct"/>
                  <w:vMerge w:val="restart"/>
                  <w:tcBorders>
                    <w:tl2br w:val="nil"/>
                    <w:tr2bl w:val="nil"/>
                  </w:tcBorders>
                  <w:vAlign w:val="center"/>
                </w:tcPr>
                <w:p w14:paraId="125518FC">
                  <w:pPr>
                    <w:adjustRightInd w:val="0"/>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eastAsiaTheme="minorEastAsia"/>
                      <w:color w:val="auto"/>
                      <w:sz w:val="18"/>
                      <w:szCs w:val="18"/>
                    </w:rPr>
                    <w:t>建筑物插入损失/ dB(A)</w:t>
                  </w:r>
                </w:p>
              </w:tc>
              <w:tc>
                <w:tcPr>
                  <w:tcW w:w="676" w:type="pct"/>
                  <w:gridSpan w:val="2"/>
                  <w:tcBorders>
                    <w:tl2br w:val="nil"/>
                    <w:tr2bl w:val="nil"/>
                  </w:tcBorders>
                  <w:vAlign w:val="center"/>
                </w:tcPr>
                <w:p w14:paraId="3E65F010">
                  <w:pPr>
                    <w:pStyle w:val="13"/>
                    <w:adjustRightInd w:val="0"/>
                    <w:spacing w:before="0" w:after="0" w:line="240" w:lineRule="auto"/>
                    <w:ind w:right="0"/>
                    <w:jc w:val="center"/>
                    <w:rPr>
                      <w:rFonts w:hint="default" w:ascii="Times New Roman" w:hAnsi="Times New Roman" w:cs="Times New Roman" w:eastAsiaTheme="minorEastAsia"/>
                      <w:color w:val="auto"/>
                      <w:szCs w:val="18"/>
                    </w:rPr>
                  </w:pPr>
                  <w:r>
                    <w:rPr>
                      <w:rFonts w:hint="default" w:ascii="Times New Roman" w:hAnsi="Times New Roman" w:cs="Times New Roman" w:eastAsiaTheme="minorEastAsia"/>
                      <w:color w:val="auto"/>
                      <w:szCs w:val="18"/>
                    </w:rPr>
                    <w:t>建筑物外噪声</w:t>
                  </w:r>
                </w:p>
              </w:tc>
            </w:tr>
            <w:tr w14:paraId="6BA9B7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continue"/>
                  <w:tcBorders>
                    <w:tl2br w:val="nil"/>
                    <w:tr2bl w:val="nil"/>
                  </w:tcBorders>
                  <w:vAlign w:val="center"/>
                </w:tcPr>
                <w:p w14:paraId="24D4FFF9">
                  <w:pPr>
                    <w:jc w:val="center"/>
                    <w:rPr>
                      <w:rFonts w:hint="default" w:ascii="Times New Roman" w:hAnsi="Times New Roman" w:cs="Times New Roman"/>
                      <w:color w:val="auto"/>
                      <w:sz w:val="18"/>
                      <w:szCs w:val="18"/>
                    </w:rPr>
                  </w:pPr>
                </w:p>
              </w:tc>
              <w:tc>
                <w:tcPr>
                  <w:tcW w:w="356" w:type="pct"/>
                  <w:vMerge w:val="continue"/>
                  <w:tcBorders>
                    <w:tl2br w:val="nil"/>
                    <w:tr2bl w:val="nil"/>
                  </w:tcBorders>
                  <w:vAlign w:val="center"/>
                </w:tcPr>
                <w:p w14:paraId="59B24036">
                  <w:pPr>
                    <w:jc w:val="center"/>
                    <w:rPr>
                      <w:rFonts w:hint="default" w:ascii="Times New Roman" w:hAnsi="Times New Roman" w:cs="Times New Roman"/>
                      <w:color w:val="auto"/>
                      <w:sz w:val="18"/>
                      <w:szCs w:val="18"/>
                    </w:rPr>
                  </w:pPr>
                </w:p>
              </w:tc>
              <w:tc>
                <w:tcPr>
                  <w:tcW w:w="340" w:type="pct"/>
                  <w:vMerge w:val="continue"/>
                  <w:tcBorders>
                    <w:tl2br w:val="nil"/>
                    <w:tr2bl w:val="nil"/>
                  </w:tcBorders>
                  <w:vAlign w:val="center"/>
                </w:tcPr>
                <w:p w14:paraId="5B1666D2">
                  <w:pPr>
                    <w:jc w:val="center"/>
                    <w:rPr>
                      <w:rFonts w:hint="default" w:ascii="Times New Roman" w:hAnsi="Times New Roman" w:cs="Times New Roman"/>
                      <w:color w:val="auto"/>
                      <w:sz w:val="18"/>
                      <w:szCs w:val="18"/>
                    </w:rPr>
                  </w:pPr>
                </w:p>
              </w:tc>
              <w:tc>
                <w:tcPr>
                  <w:tcW w:w="234" w:type="pct"/>
                  <w:vMerge w:val="continue"/>
                  <w:tcBorders>
                    <w:tl2br w:val="nil"/>
                    <w:tr2bl w:val="nil"/>
                  </w:tcBorders>
                  <w:vAlign w:val="center"/>
                </w:tcPr>
                <w:p w14:paraId="2DC46D43">
                  <w:pPr>
                    <w:jc w:val="center"/>
                    <w:rPr>
                      <w:rFonts w:hint="default" w:ascii="Times New Roman" w:hAnsi="Times New Roman" w:cs="Times New Roman"/>
                      <w:color w:val="auto"/>
                      <w:sz w:val="18"/>
                      <w:szCs w:val="18"/>
                    </w:rPr>
                  </w:pPr>
                </w:p>
              </w:tc>
              <w:tc>
                <w:tcPr>
                  <w:tcW w:w="575" w:type="pct"/>
                  <w:vMerge w:val="continue"/>
                  <w:tcBorders>
                    <w:tl2br w:val="nil"/>
                    <w:tr2bl w:val="nil"/>
                  </w:tcBorders>
                  <w:vAlign w:val="center"/>
                </w:tcPr>
                <w:p w14:paraId="4D3CF813">
                  <w:pPr>
                    <w:jc w:val="center"/>
                    <w:rPr>
                      <w:rFonts w:hint="default" w:ascii="Times New Roman" w:hAnsi="Times New Roman" w:cs="Times New Roman"/>
                      <w:color w:val="auto"/>
                      <w:sz w:val="18"/>
                      <w:szCs w:val="18"/>
                    </w:rPr>
                  </w:pPr>
                </w:p>
              </w:tc>
              <w:tc>
                <w:tcPr>
                  <w:tcW w:w="434" w:type="pct"/>
                  <w:tcBorders>
                    <w:tl2br w:val="nil"/>
                    <w:tr2bl w:val="nil"/>
                  </w:tcBorders>
                  <w:vAlign w:val="center"/>
                </w:tcPr>
                <w:p w14:paraId="168BA815">
                  <w:pPr>
                    <w:pStyle w:val="13"/>
                    <w:adjustRightInd w:val="0"/>
                    <w:spacing w:before="0" w:after="0" w:line="240" w:lineRule="auto"/>
                    <w:ind w:right="0"/>
                    <w:jc w:val="center"/>
                    <w:rPr>
                      <w:rFonts w:hint="default" w:ascii="Times New Roman" w:hAnsi="Times New Roman" w:cs="Times New Roman"/>
                      <w:color w:val="auto"/>
                      <w:szCs w:val="18"/>
                    </w:rPr>
                  </w:pPr>
                  <w:r>
                    <w:rPr>
                      <w:rFonts w:hint="default" w:ascii="Times New Roman" w:hAnsi="Times New Roman" w:cs="Times New Roman" w:eastAsiaTheme="minorEastAsia"/>
                      <w:color w:val="auto"/>
                      <w:szCs w:val="18"/>
                    </w:rPr>
                    <w:t>X</w:t>
                  </w:r>
                </w:p>
              </w:tc>
              <w:tc>
                <w:tcPr>
                  <w:tcW w:w="320" w:type="pct"/>
                  <w:tcBorders>
                    <w:tl2br w:val="nil"/>
                    <w:tr2bl w:val="nil"/>
                  </w:tcBorders>
                  <w:vAlign w:val="center"/>
                </w:tcPr>
                <w:p w14:paraId="64E6F2DD">
                  <w:pPr>
                    <w:pStyle w:val="13"/>
                    <w:adjustRightInd w:val="0"/>
                    <w:spacing w:before="0" w:after="0" w:line="240" w:lineRule="auto"/>
                    <w:ind w:right="0"/>
                    <w:jc w:val="center"/>
                    <w:rPr>
                      <w:rFonts w:hint="default" w:ascii="Times New Roman" w:hAnsi="Times New Roman" w:cs="Times New Roman"/>
                      <w:color w:val="auto"/>
                      <w:szCs w:val="18"/>
                    </w:rPr>
                  </w:pPr>
                  <w:r>
                    <w:rPr>
                      <w:rFonts w:hint="default" w:ascii="Times New Roman" w:hAnsi="Times New Roman" w:cs="Times New Roman" w:eastAsiaTheme="minorEastAsia"/>
                      <w:color w:val="auto"/>
                      <w:szCs w:val="18"/>
                    </w:rPr>
                    <w:t>Y</w:t>
                  </w:r>
                </w:p>
              </w:tc>
              <w:tc>
                <w:tcPr>
                  <w:tcW w:w="336" w:type="pct"/>
                  <w:tcBorders>
                    <w:tl2br w:val="nil"/>
                    <w:tr2bl w:val="nil"/>
                  </w:tcBorders>
                  <w:vAlign w:val="center"/>
                </w:tcPr>
                <w:p w14:paraId="003EACD2">
                  <w:pPr>
                    <w:pStyle w:val="13"/>
                    <w:adjustRightInd w:val="0"/>
                    <w:spacing w:before="0" w:after="0" w:line="240" w:lineRule="auto"/>
                    <w:ind w:right="0"/>
                    <w:jc w:val="center"/>
                    <w:rPr>
                      <w:rFonts w:hint="default" w:ascii="Times New Roman" w:hAnsi="Times New Roman" w:cs="Times New Roman"/>
                      <w:color w:val="auto"/>
                      <w:szCs w:val="18"/>
                    </w:rPr>
                  </w:pPr>
                  <w:r>
                    <w:rPr>
                      <w:rFonts w:hint="default" w:ascii="Times New Roman" w:hAnsi="Times New Roman" w:cs="Times New Roman" w:eastAsiaTheme="minorEastAsia"/>
                      <w:color w:val="auto"/>
                      <w:szCs w:val="18"/>
                    </w:rPr>
                    <w:t>Z</w:t>
                  </w:r>
                </w:p>
              </w:tc>
              <w:tc>
                <w:tcPr>
                  <w:tcW w:w="424" w:type="pct"/>
                  <w:vMerge w:val="continue"/>
                  <w:tcBorders>
                    <w:tl2br w:val="nil"/>
                    <w:tr2bl w:val="nil"/>
                  </w:tcBorders>
                  <w:vAlign w:val="center"/>
                </w:tcPr>
                <w:p w14:paraId="7420B11B">
                  <w:pPr>
                    <w:jc w:val="center"/>
                    <w:rPr>
                      <w:rFonts w:hint="default" w:ascii="Times New Roman" w:hAnsi="Times New Roman" w:cs="Times New Roman"/>
                      <w:color w:val="auto"/>
                      <w:sz w:val="18"/>
                      <w:szCs w:val="18"/>
                    </w:rPr>
                  </w:pPr>
                </w:p>
              </w:tc>
              <w:tc>
                <w:tcPr>
                  <w:tcW w:w="429" w:type="pct"/>
                  <w:vMerge w:val="continue"/>
                  <w:tcBorders>
                    <w:tl2br w:val="nil"/>
                    <w:tr2bl w:val="nil"/>
                  </w:tcBorders>
                  <w:vAlign w:val="center"/>
                </w:tcPr>
                <w:p w14:paraId="57B788B8">
                  <w:pPr>
                    <w:jc w:val="center"/>
                    <w:rPr>
                      <w:rFonts w:hint="default" w:ascii="Times New Roman" w:hAnsi="Times New Roman" w:cs="Times New Roman"/>
                      <w:color w:val="auto"/>
                      <w:sz w:val="18"/>
                      <w:szCs w:val="18"/>
                    </w:rPr>
                  </w:pPr>
                </w:p>
              </w:tc>
              <w:tc>
                <w:tcPr>
                  <w:tcW w:w="238" w:type="pct"/>
                  <w:vMerge w:val="continue"/>
                  <w:tcBorders>
                    <w:tl2br w:val="nil"/>
                    <w:tr2bl w:val="nil"/>
                  </w:tcBorders>
                  <w:vAlign w:val="center"/>
                </w:tcPr>
                <w:p w14:paraId="6B1C1FEF">
                  <w:pPr>
                    <w:jc w:val="center"/>
                    <w:rPr>
                      <w:rFonts w:hint="default" w:ascii="Times New Roman" w:hAnsi="Times New Roman" w:cs="Times New Roman"/>
                      <w:color w:val="auto"/>
                      <w:sz w:val="18"/>
                      <w:szCs w:val="18"/>
                    </w:rPr>
                  </w:pPr>
                </w:p>
              </w:tc>
              <w:tc>
                <w:tcPr>
                  <w:tcW w:w="400" w:type="pct"/>
                  <w:vMerge w:val="continue"/>
                  <w:tcBorders>
                    <w:tl2br w:val="nil"/>
                    <w:tr2bl w:val="nil"/>
                  </w:tcBorders>
                  <w:vAlign w:val="center"/>
                </w:tcPr>
                <w:p w14:paraId="334476EB">
                  <w:pPr>
                    <w:adjustRightInd w:val="0"/>
                    <w:snapToGrid w:val="0"/>
                    <w:spacing w:line="280" w:lineRule="exact"/>
                    <w:jc w:val="center"/>
                    <w:rPr>
                      <w:rFonts w:hint="default" w:ascii="Times New Roman" w:hAnsi="Times New Roman" w:cs="Times New Roman"/>
                      <w:color w:val="auto"/>
                      <w:sz w:val="18"/>
                      <w:szCs w:val="18"/>
                    </w:rPr>
                  </w:pPr>
                </w:p>
              </w:tc>
              <w:tc>
                <w:tcPr>
                  <w:tcW w:w="430" w:type="pct"/>
                  <w:tcBorders>
                    <w:tl2br w:val="nil"/>
                    <w:tr2bl w:val="nil"/>
                  </w:tcBorders>
                  <w:vAlign w:val="center"/>
                </w:tcPr>
                <w:p w14:paraId="708E8564">
                  <w:pPr>
                    <w:pStyle w:val="13"/>
                    <w:adjustRightInd w:val="0"/>
                    <w:spacing w:before="0" w:after="0" w:line="240" w:lineRule="auto"/>
                    <w:ind w:right="0"/>
                    <w:jc w:val="center"/>
                    <w:rPr>
                      <w:rFonts w:hint="default" w:ascii="Times New Roman" w:hAnsi="Times New Roman" w:cs="Times New Roman"/>
                      <w:color w:val="auto"/>
                      <w:szCs w:val="18"/>
                    </w:rPr>
                  </w:pPr>
                  <w:r>
                    <w:rPr>
                      <w:rFonts w:hint="default" w:ascii="Times New Roman" w:hAnsi="Times New Roman" w:cs="Times New Roman" w:eastAsiaTheme="minorEastAsia"/>
                      <w:color w:val="auto"/>
                      <w:szCs w:val="18"/>
                    </w:rPr>
                    <w:t>声压级/dB(A)</w:t>
                  </w:r>
                </w:p>
              </w:tc>
              <w:tc>
                <w:tcPr>
                  <w:tcW w:w="246" w:type="pct"/>
                  <w:tcBorders>
                    <w:tl2br w:val="nil"/>
                    <w:tr2bl w:val="nil"/>
                  </w:tcBorders>
                  <w:vAlign w:val="center"/>
                </w:tcPr>
                <w:p w14:paraId="67DAAAD1">
                  <w:pPr>
                    <w:pStyle w:val="13"/>
                    <w:adjustRightInd w:val="0"/>
                    <w:spacing w:before="0" w:after="0" w:line="240" w:lineRule="auto"/>
                    <w:ind w:right="0"/>
                    <w:jc w:val="center"/>
                    <w:rPr>
                      <w:rFonts w:hint="default" w:ascii="Times New Roman" w:hAnsi="Times New Roman" w:cs="Times New Roman"/>
                      <w:color w:val="auto"/>
                      <w:szCs w:val="18"/>
                    </w:rPr>
                  </w:pPr>
                  <w:r>
                    <w:rPr>
                      <w:rFonts w:hint="default" w:ascii="Times New Roman" w:hAnsi="Times New Roman" w:cs="Times New Roman" w:eastAsiaTheme="minorEastAsia"/>
                      <w:color w:val="auto"/>
                      <w:szCs w:val="18"/>
                    </w:rPr>
                    <w:t>建筑物外距离/m</w:t>
                  </w:r>
                </w:p>
              </w:tc>
            </w:tr>
            <w:tr w14:paraId="357A59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restart"/>
                  <w:tcBorders>
                    <w:tl2br w:val="nil"/>
                    <w:tr2bl w:val="nil"/>
                  </w:tcBorders>
                  <w:vAlign w:val="center"/>
                </w:tcPr>
                <w:p w14:paraId="5F63846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带钢酸洗工段</w:t>
                  </w:r>
                </w:p>
              </w:tc>
              <w:tc>
                <w:tcPr>
                  <w:tcW w:w="356" w:type="pct"/>
                  <w:tcBorders>
                    <w:tl2br w:val="nil"/>
                    <w:tr2bl w:val="nil"/>
                  </w:tcBorders>
                  <w:vAlign w:val="center"/>
                </w:tcPr>
                <w:p w14:paraId="00C945E2">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液压开卷机</w:t>
                  </w:r>
                </w:p>
              </w:tc>
              <w:tc>
                <w:tcPr>
                  <w:tcW w:w="340" w:type="pct"/>
                  <w:tcBorders>
                    <w:tl2br w:val="nil"/>
                    <w:tr2bl w:val="nil"/>
                  </w:tcBorders>
                  <w:vAlign w:val="center"/>
                </w:tcPr>
                <w:p w14:paraId="3F70F71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234" w:type="pct"/>
                  <w:tcBorders>
                    <w:tl2br w:val="nil"/>
                    <w:tr2bl w:val="nil"/>
                  </w:tcBorders>
                  <w:vAlign w:val="center"/>
                </w:tcPr>
                <w:p w14:paraId="0E0C0AC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575" w:type="pct"/>
                  <w:tcBorders>
                    <w:tl2br w:val="nil"/>
                    <w:tr2bl w:val="nil"/>
                  </w:tcBorders>
                  <w:vAlign w:val="center"/>
                </w:tcPr>
                <w:p w14:paraId="5018E73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隔声、减震</w:t>
                  </w:r>
                </w:p>
              </w:tc>
              <w:tc>
                <w:tcPr>
                  <w:tcW w:w="434" w:type="pct"/>
                  <w:tcBorders>
                    <w:tl2br w:val="nil"/>
                    <w:tr2bl w:val="nil"/>
                  </w:tcBorders>
                  <w:vAlign w:val="center"/>
                </w:tcPr>
                <w:p w14:paraId="48FBF4D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79</w:t>
                  </w:r>
                </w:p>
              </w:tc>
              <w:tc>
                <w:tcPr>
                  <w:tcW w:w="320" w:type="pct"/>
                  <w:tcBorders>
                    <w:tl2br w:val="nil"/>
                    <w:tr2bl w:val="nil"/>
                  </w:tcBorders>
                  <w:vAlign w:val="center"/>
                </w:tcPr>
                <w:p w14:paraId="51C6764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165</w:t>
                  </w:r>
                </w:p>
              </w:tc>
              <w:tc>
                <w:tcPr>
                  <w:tcW w:w="336" w:type="pct"/>
                  <w:tcBorders>
                    <w:tl2br w:val="nil"/>
                    <w:tr2bl w:val="nil"/>
                  </w:tcBorders>
                  <w:vAlign w:val="center"/>
                </w:tcPr>
                <w:p w14:paraId="5878600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426EEA4E">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29" w:type="pct"/>
                  <w:tcBorders>
                    <w:tl2br w:val="nil"/>
                    <w:tr2bl w:val="nil"/>
                  </w:tcBorders>
                  <w:vAlign w:val="center"/>
                </w:tcPr>
                <w:p w14:paraId="73583E2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70</w:t>
                  </w:r>
                </w:p>
              </w:tc>
              <w:tc>
                <w:tcPr>
                  <w:tcW w:w="238" w:type="pct"/>
                  <w:tcBorders>
                    <w:tl2br w:val="nil"/>
                    <w:tr2bl w:val="nil"/>
                  </w:tcBorders>
                  <w:vAlign w:val="center"/>
                </w:tcPr>
                <w:p w14:paraId="6856D7BE">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4DC80DAE">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150E4AB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56.8</w:t>
                  </w:r>
                </w:p>
              </w:tc>
              <w:tc>
                <w:tcPr>
                  <w:tcW w:w="246" w:type="pct"/>
                  <w:tcBorders>
                    <w:tl2br w:val="nil"/>
                    <w:tr2bl w:val="nil"/>
                  </w:tcBorders>
                  <w:vAlign w:val="center"/>
                </w:tcPr>
                <w:p w14:paraId="4BC711EE">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412054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continue"/>
                  <w:tcBorders>
                    <w:tl2br w:val="nil"/>
                    <w:tr2bl w:val="nil"/>
                  </w:tcBorders>
                  <w:vAlign w:val="center"/>
                </w:tcPr>
                <w:p w14:paraId="7F47CF68">
                  <w:pPr>
                    <w:jc w:val="center"/>
                    <w:rPr>
                      <w:rFonts w:hint="default" w:ascii="Times New Roman" w:hAnsi="Times New Roman" w:cs="Times New Roman"/>
                      <w:color w:val="auto"/>
                      <w:sz w:val="18"/>
                      <w:szCs w:val="18"/>
                    </w:rPr>
                  </w:pPr>
                </w:p>
              </w:tc>
              <w:tc>
                <w:tcPr>
                  <w:tcW w:w="356" w:type="pct"/>
                  <w:tcBorders>
                    <w:tl2br w:val="nil"/>
                    <w:tr2bl w:val="nil"/>
                  </w:tcBorders>
                  <w:vAlign w:val="center"/>
                </w:tcPr>
                <w:p w14:paraId="0E25F84D">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剥皮机</w:t>
                  </w:r>
                </w:p>
              </w:tc>
              <w:tc>
                <w:tcPr>
                  <w:tcW w:w="340" w:type="pct"/>
                  <w:tcBorders>
                    <w:tl2br w:val="nil"/>
                    <w:tr2bl w:val="nil"/>
                  </w:tcBorders>
                  <w:vAlign w:val="center"/>
                </w:tcPr>
                <w:p w14:paraId="629827A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w:t>
                  </w:r>
                </w:p>
              </w:tc>
              <w:tc>
                <w:tcPr>
                  <w:tcW w:w="234" w:type="pct"/>
                  <w:tcBorders>
                    <w:tl2br w:val="nil"/>
                    <w:tr2bl w:val="nil"/>
                  </w:tcBorders>
                  <w:vAlign w:val="center"/>
                </w:tcPr>
                <w:p w14:paraId="7D743A5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575" w:type="pct"/>
                  <w:tcBorders>
                    <w:tl2br w:val="nil"/>
                    <w:tr2bl w:val="nil"/>
                  </w:tcBorders>
                  <w:vAlign w:val="center"/>
                </w:tcPr>
                <w:p w14:paraId="32CED22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隔声、减震</w:t>
                  </w:r>
                </w:p>
              </w:tc>
              <w:tc>
                <w:tcPr>
                  <w:tcW w:w="434" w:type="pct"/>
                  <w:tcBorders>
                    <w:tl2br w:val="nil"/>
                    <w:tr2bl w:val="nil"/>
                  </w:tcBorders>
                  <w:vAlign w:val="center"/>
                </w:tcPr>
                <w:p w14:paraId="30F978B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94</w:t>
                  </w:r>
                </w:p>
              </w:tc>
              <w:tc>
                <w:tcPr>
                  <w:tcW w:w="320" w:type="pct"/>
                  <w:tcBorders>
                    <w:tl2br w:val="nil"/>
                    <w:tr2bl w:val="nil"/>
                  </w:tcBorders>
                  <w:vAlign w:val="center"/>
                </w:tcPr>
                <w:p w14:paraId="0C0332F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175</w:t>
                  </w:r>
                </w:p>
              </w:tc>
              <w:tc>
                <w:tcPr>
                  <w:tcW w:w="336" w:type="pct"/>
                  <w:tcBorders>
                    <w:tl2br w:val="nil"/>
                    <w:tr2bl w:val="nil"/>
                  </w:tcBorders>
                  <w:vAlign w:val="center"/>
                </w:tcPr>
                <w:p w14:paraId="4D99E6F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279F3EA7">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29" w:type="pct"/>
                  <w:tcBorders>
                    <w:tl2br w:val="nil"/>
                    <w:tr2bl w:val="nil"/>
                  </w:tcBorders>
                  <w:vAlign w:val="center"/>
                </w:tcPr>
                <w:p w14:paraId="47EDA41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65</w:t>
                  </w:r>
                </w:p>
              </w:tc>
              <w:tc>
                <w:tcPr>
                  <w:tcW w:w="238" w:type="pct"/>
                  <w:tcBorders>
                    <w:tl2br w:val="nil"/>
                    <w:tr2bl w:val="nil"/>
                  </w:tcBorders>
                  <w:vAlign w:val="center"/>
                </w:tcPr>
                <w:p w14:paraId="48C31701">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39AA1360">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63004929">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56.8</w:t>
                  </w:r>
                </w:p>
              </w:tc>
              <w:tc>
                <w:tcPr>
                  <w:tcW w:w="246" w:type="pct"/>
                  <w:tcBorders>
                    <w:tl2br w:val="nil"/>
                    <w:tr2bl w:val="nil"/>
                  </w:tcBorders>
                  <w:vAlign w:val="center"/>
                </w:tcPr>
                <w:p w14:paraId="5AC261AC">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22EA2F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continue"/>
                  <w:tcBorders>
                    <w:tl2br w:val="nil"/>
                    <w:tr2bl w:val="nil"/>
                  </w:tcBorders>
                  <w:vAlign w:val="center"/>
                </w:tcPr>
                <w:p w14:paraId="6A0FBB68">
                  <w:pPr>
                    <w:jc w:val="center"/>
                    <w:rPr>
                      <w:rFonts w:hint="default" w:ascii="Times New Roman" w:hAnsi="Times New Roman" w:cs="Times New Roman"/>
                      <w:color w:val="auto"/>
                      <w:sz w:val="18"/>
                      <w:szCs w:val="18"/>
                    </w:rPr>
                  </w:pPr>
                </w:p>
              </w:tc>
              <w:tc>
                <w:tcPr>
                  <w:tcW w:w="356" w:type="pct"/>
                  <w:tcBorders>
                    <w:tl2br w:val="nil"/>
                    <w:tr2bl w:val="nil"/>
                  </w:tcBorders>
                  <w:vAlign w:val="center"/>
                </w:tcPr>
                <w:p w14:paraId="07DCFB0F">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液压剪床</w:t>
                  </w:r>
                </w:p>
              </w:tc>
              <w:tc>
                <w:tcPr>
                  <w:tcW w:w="340" w:type="pct"/>
                  <w:tcBorders>
                    <w:tl2br w:val="nil"/>
                    <w:tr2bl w:val="nil"/>
                  </w:tcBorders>
                  <w:vAlign w:val="center"/>
                </w:tcPr>
                <w:p w14:paraId="7171871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c>
                <w:tcPr>
                  <w:tcW w:w="234" w:type="pct"/>
                  <w:tcBorders>
                    <w:tl2br w:val="nil"/>
                    <w:tr2bl w:val="nil"/>
                  </w:tcBorders>
                  <w:vAlign w:val="center"/>
                </w:tcPr>
                <w:p w14:paraId="53CE56E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575" w:type="pct"/>
                  <w:tcBorders>
                    <w:tl2br w:val="nil"/>
                    <w:tr2bl w:val="nil"/>
                  </w:tcBorders>
                  <w:vAlign w:val="center"/>
                </w:tcPr>
                <w:p w14:paraId="025B570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隔声、减震</w:t>
                  </w:r>
                </w:p>
              </w:tc>
              <w:tc>
                <w:tcPr>
                  <w:tcW w:w="434" w:type="pct"/>
                  <w:tcBorders>
                    <w:tl2br w:val="nil"/>
                    <w:tr2bl w:val="nil"/>
                  </w:tcBorders>
                  <w:vAlign w:val="center"/>
                </w:tcPr>
                <w:p w14:paraId="3AFFF65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77</w:t>
                  </w:r>
                </w:p>
              </w:tc>
              <w:tc>
                <w:tcPr>
                  <w:tcW w:w="320" w:type="pct"/>
                  <w:tcBorders>
                    <w:tl2br w:val="nil"/>
                    <w:tr2bl w:val="nil"/>
                  </w:tcBorders>
                  <w:vAlign w:val="center"/>
                </w:tcPr>
                <w:p w14:paraId="2AAF0D6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146</w:t>
                  </w:r>
                </w:p>
              </w:tc>
              <w:tc>
                <w:tcPr>
                  <w:tcW w:w="336" w:type="pct"/>
                  <w:tcBorders>
                    <w:tl2br w:val="nil"/>
                    <w:tr2bl w:val="nil"/>
                  </w:tcBorders>
                  <w:vAlign w:val="center"/>
                </w:tcPr>
                <w:p w14:paraId="481B49B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3A640554">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29" w:type="pct"/>
                  <w:tcBorders>
                    <w:tl2br w:val="nil"/>
                    <w:tr2bl w:val="nil"/>
                  </w:tcBorders>
                  <w:vAlign w:val="center"/>
                </w:tcPr>
                <w:p w14:paraId="2BE8130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75</w:t>
                  </w:r>
                </w:p>
              </w:tc>
              <w:tc>
                <w:tcPr>
                  <w:tcW w:w="238" w:type="pct"/>
                  <w:tcBorders>
                    <w:tl2br w:val="nil"/>
                    <w:tr2bl w:val="nil"/>
                  </w:tcBorders>
                  <w:vAlign w:val="center"/>
                </w:tcPr>
                <w:p w14:paraId="365F4C96">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056C3D1C">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50ECD528">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66.8</w:t>
                  </w:r>
                </w:p>
              </w:tc>
              <w:tc>
                <w:tcPr>
                  <w:tcW w:w="246" w:type="pct"/>
                  <w:tcBorders>
                    <w:tl2br w:val="nil"/>
                    <w:tr2bl w:val="nil"/>
                  </w:tcBorders>
                  <w:vAlign w:val="center"/>
                </w:tcPr>
                <w:p w14:paraId="3377A753">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532547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continue"/>
                  <w:tcBorders>
                    <w:tl2br w:val="nil"/>
                    <w:tr2bl w:val="nil"/>
                  </w:tcBorders>
                  <w:vAlign w:val="center"/>
                </w:tcPr>
                <w:p w14:paraId="410C2C0F">
                  <w:pPr>
                    <w:jc w:val="center"/>
                    <w:rPr>
                      <w:rFonts w:hint="default" w:ascii="Times New Roman" w:hAnsi="Times New Roman" w:cs="Times New Roman"/>
                      <w:color w:val="auto"/>
                      <w:sz w:val="18"/>
                      <w:szCs w:val="18"/>
                    </w:rPr>
                  </w:pPr>
                </w:p>
              </w:tc>
              <w:tc>
                <w:tcPr>
                  <w:tcW w:w="356" w:type="pct"/>
                  <w:tcBorders>
                    <w:tl2br w:val="nil"/>
                    <w:tr2bl w:val="nil"/>
                  </w:tcBorders>
                  <w:vAlign w:val="center"/>
                </w:tcPr>
                <w:p w14:paraId="4DB15D46">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洗刷机</w:t>
                  </w:r>
                </w:p>
              </w:tc>
              <w:tc>
                <w:tcPr>
                  <w:tcW w:w="340" w:type="pct"/>
                  <w:tcBorders>
                    <w:tl2br w:val="nil"/>
                    <w:tr2bl w:val="nil"/>
                  </w:tcBorders>
                  <w:vAlign w:val="center"/>
                </w:tcPr>
                <w:p w14:paraId="2F9F114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234" w:type="pct"/>
                  <w:tcBorders>
                    <w:tl2br w:val="nil"/>
                    <w:tr2bl w:val="nil"/>
                  </w:tcBorders>
                  <w:vAlign w:val="center"/>
                </w:tcPr>
                <w:p w14:paraId="12239CF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575" w:type="pct"/>
                  <w:tcBorders>
                    <w:tl2br w:val="nil"/>
                    <w:tr2bl w:val="nil"/>
                  </w:tcBorders>
                  <w:vAlign w:val="center"/>
                </w:tcPr>
                <w:p w14:paraId="59D50C2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隔声、减震</w:t>
                  </w:r>
                </w:p>
              </w:tc>
              <w:tc>
                <w:tcPr>
                  <w:tcW w:w="434" w:type="pct"/>
                  <w:tcBorders>
                    <w:tl2br w:val="nil"/>
                    <w:tr2bl w:val="nil"/>
                  </w:tcBorders>
                  <w:vAlign w:val="center"/>
                </w:tcPr>
                <w:p w14:paraId="0967AC6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84</w:t>
                  </w:r>
                </w:p>
              </w:tc>
              <w:tc>
                <w:tcPr>
                  <w:tcW w:w="320" w:type="pct"/>
                  <w:tcBorders>
                    <w:tl2br w:val="nil"/>
                    <w:tr2bl w:val="nil"/>
                  </w:tcBorders>
                  <w:vAlign w:val="center"/>
                </w:tcPr>
                <w:p w14:paraId="4D6E576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146</w:t>
                  </w:r>
                </w:p>
              </w:tc>
              <w:tc>
                <w:tcPr>
                  <w:tcW w:w="336" w:type="pct"/>
                  <w:tcBorders>
                    <w:tl2br w:val="nil"/>
                    <w:tr2bl w:val="nil"/>
                  </w:tcBorders>
                  <w:vAlign w:val="center"/>
                </w:tcPr>
                <w:p w14:paraId="07BBB46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0058F961">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29" w:type="pct"/>
                  <w:tcBorders>
                    <w:tl2br w:val="nil"/>
                    <w:tr2bl w:val="nil"/>
                  </w:tcBorders>
                  <w:vAlign w:val="center"/>
                </w:tcPr>
                <w:p w14:paraId="5C82E59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70</w:t>
                  </w:r>
                </w:p>
              </w:tc>
              <w:tc>
                <w:tcPr>
                  <w:tcW w:w="238" w:type="pct"/>
                  <w:tcBorders>
                    <w:tl2br w:val="nil"/>
                    <w:tr2bl w:val="nil"/>
                  </w:tcBorders>
                  <w:vAlign w:val="center"/>
                </w:tcPr>
                <w:p w14:paraId="46D64F3E">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5365261F">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3E623158">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61.8</w:t>
                  </w:r>
                </w:p>
              </w:tc>
              <w:tc>
                <w:tcPr>
                  <w:tcW w:w="246" w:type="pct"/>
                  <w:tcBorders>
                    <w:tl2br w:val="nil"/>
                    <w:tr2bl w:val="nil"/>
                  </w:tcBorders>
                  <w:vAlign w:val="center"/>
                </w:tcPr>
                <w:p w14:paraId="4BA1863B">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21D9A3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continue"/>
                  <w:tcBorders>
                    <w:tl2br w:val="nil"/>
                    <w:tr2bl w:val="nil"/>
                  </w:tcBorders>
                  <w:vAlign w:val="center"/>
                </w:tcPr>
                <w:p w14:paraId="6ED0CBEC">
                  <w:pPr>
                    <w:jc w:val="center"/>
                    <w:rPr>
                      <w:rFonts w:hint="default" w:ascii="Times New Roman" w:hAnsi="Times New Roman" w:cs="Times New Roman"/>
                      <w:color w:val="auto"/>
                      <w:sz w:val="18"/>
                      <w:szCs w:val="18"/>
                    </w:rPr>
                  </w:pPr>
                </w:p>
              </w:tc>
              <w:tc>
                <w:tcPr>
                  <w:tcW w:w="356" w:type="pct"/>
                  <w:tcBorders>
                    <w:tl2br w:val="nil"/>
                    <w:tr2bl w:val="nil"/>
                  </w:tcBorders>
                  <w:vAlign w:val="center"/>
                </w:tcPr>
                <w:p w14:paraId="079E31F6">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收卷机</w:t>
                  </w:r>
                </w:p>
              </w:tc>
              <w:tc>
                <w:tcPr>
                  <w:tcW w:w="340" w:type="pct"/>
                  <w:tcBorders>
                    <w:tl2br w:val="nil"/>
                    <w:tr2bl w:val="nil"/>
                  </w:tcBorders>
                  <w:vAlign w:val="center"/>
                </w:tcPr>
                <w:p w14:paraId="22AF781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w:t>
                  </w:r>
                </w:p>
              </w:tc>
              <w:tc>
                <w:tcPr>
                  <w:tcW w:w="234" w:type="pct"/>
                  <w:tcBorders>
                    <w:tl2br w:val="nil"/>
                    <w:tr2bl w:val="nil"/>
                  </w:tcBorders>
                  <w:vAlign w:val="center"/>
                </w:tcPr>
                <w:p w14:paraId="6E44283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575" w:type="pct"/>
                  <w:tcBorders>
                    <w:tl2br w:val="nil"/>
                    <w:tr2bl w:val="nil"/>
                  </w:tcBorders>
                  <w:vAlign w:val="center"/>
                </w:tcPr>
                <w:p w14:paraId="27969E0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隔声、减震</w:t>
                  </w:r>
                </w:p>
              </w:tc>
              <w:tc>
                <w:tcPr>
                  <w:tcW w:w="434" w:type="pct"/>
                  <w:tcBorders>
                    <w:tl2br w:val="nil"/>
                    <w:tr2bl w:val="nil"/>
                  </w:tcBorders>
                  <w:vAlign w:val="center"/>
                </w:tcPr>
                <w:p w14:paraId="44E0546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55</w:t>
                  </w:r>
                </w:p>
              </w:tc>
              <w:tc>
                <w:tcPr>
                  <w:tcW w:w="320" w:type="pct"/>
                  <w:tcBorders>
                    <w:tl2br w:val="nil"/>
                    <w:tr2bl w:val="nil"/>
                  </w:tcBorders>
                  <w:vAlign w:val="center"/>
                </w:tcPr>
                <w:p w14:paraId="4FCD013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118</w:t>
                  </w:r>
                </w:p>
              </w:tc>
              <w:tc>
                <w:tcPr>
                  <w:tcW w:w="336" w:type="pct"/>
                  <w:tcBorders>
                    <w:tl2br w:val="nil"/>
                    <w:tr2bl w:val="nil"/>
                  </w:tcBorders>
                  <w:vAlign w:val="center"/>
                </w:tcPr>
                <w:p w14:paraId="02F38BD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7A1570C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29" w:type="pct"/>
                  <w:tcBorders>
                    <w:tl2br w:val="nil"/>
                    <w:tr2bl w:val="nil"/>
                  </w:tcBorders>
                  <w:vAlign w:val="center"/>
                </w:tcPr>
                <w:p w14:paraId="1276120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65</w:t>
                  </w:r>
                </w:p>
              </w:tc>
              <w:tc>
                <w:tcPr>
                  <w:tcW w:w="238" w:type="pct"/>
                  <w:tcBorders>
                    <w:tl2br w:val="nil"/>
                    <w:tr2bl w:val="nil"/>
                  </w:tcBorders>
                  <w:vAlign w:val="center"/>
                </w:tcPr>
                <w:p w14:paraId="7F70DC03">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201BC9FF">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69F45AB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71.8</w:t>
                  </w:r>
                </w:p>
              </w:tc>
              <w:tc>
                <w:tcPr>
                  <w:tcW w:w="246" w:type="pct"/>
                  <w:tcBorders>
                    <w:tl2br w:val="nil"/>
                    <w:tr2bl w:val="nil"/>
                  </w:tcBorders>
                  <w:vAlign w:val="center"/>
                </w:tcPr>
                <w:p w14:paraId="6044D8D6">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63403F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continue"/>
                  <w:tcBorders>
                    <w:tl2br w:val="nil"/>
                    <w:tr2bl w:val="nil"/>
                  </w:tcBorders>
                  <w:vAlign w:val="center"/>
                </w:tcPr>
                <w:p w14:paraId="667FD61F">
                  <w:pPr>
                    <w:jc w:val="center"/>
                    <w:rPr>
                      <w:rFonts w:hint="default" w:ascii="Times New Roman" w:hAnsi="Times New Roman" w:cs="Times New Roman"/>
                      <w:color w:val="auto"/>
                      <w:sz w:val="18"/>
                      <w:szCs w:val="18"/>
                    </w:rPr>
                  </w:pPr>
                </w:p>
              </w:tc>
              <w:tc>
                <w:tcPr>
                  <w:tcW w:w="356" w:type="pct"/>
                  <w:tcBorders>
                    <w:tl2br w:val="nil"/>
                    <w:tr2bl w:val="nil"/>
                  </w:tcBorders>
                  <w:vAlign w:val="center"/>
                </w:tcPr>
                <w:p w14:paraId="7B2ECA48">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锅炉风机</w:t>
                  </w:r>
                </w:p>
              </w:tc>
              <w:tc>
                <w:tcPr>
                  <w:tcW w:w="340" w:type="pct"/>
                  <w:tcBorders>
                    <w:tl2br w:val="nil"/>
                    <w:tr2bl w:val="nil"/>
                  </w:tcBorders>
                  <w:vAlign w:val="center"/>
                </w:tcPr>
                <w:p w14:paraId="463DF74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w:t>
                  </w:r>
                </w:p>
              </w:tc>
              <w:tc>
                <w:tcPr>
                  <w:tcW w:w="234" w:type="pct"/>
                  <w:tcBorders>
                    <w:tl2br w:val="nil"/>
                    <w:tr2bl w:val="nil"/>
                  </w:tcBorders>
                  <w:vAlign w:val="center"/>
                </w:tcPr>
                <w:p w14:paraId="3ABE985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575" w:type="pct"/>
                  <w:tcBorders>
                    <w:tl2br w:val="nil"/>
                    <w:tr2bl w:val="nil"/>
                  </w:tcBorders>
                  <w:vAlign w:val="center"/>
                </w:tcPr>
                <w:p w14:paraId="1010C016">
                  <w:pPr>
                    <w:jc w:val="center"/>
                    <w:rPr>
                      <w:rFonts w:hint="default" w:ascii="Times New Roman" w:hAnsi="Times New Roman" w:cs="Times New Roman"/>
                      <w:b/>
                      <w:bCs/>
                      <w:color w:val="auto"/>
                      <w:sz w:val="18"/>
                      <w:szCs w:val="18"/>
                    </w:rPr>
                  </w:pPr>
                  <w:r>
                    <w:rPr>
                      <w:rFonts w:hint="default" w:ascii="Times New Roman" w:hAnsi="Times New Roman" w:cs="Times New Roman"/>
                      <w:color w:val="auto"/>
                      <w:sz w:val="18"/>
                      <w:szCs w:val="18"/>
                    </w:rPr>
                    <w:t>隔声、减震</w:t>
                  </w:r>
                </w:p>
              </w:tc>
              <w:tc>
                <w:tcPr>
                  <w:tcW w:w="434" w:type="pct"/>
                  <w:tcBorders>
                    <w:tl2br w:val="nil"/>
                    <w:tr2bl w:val="nil"/>
                  </w:tcBorders>
                  <w:vAlign w:val="center"/>
                </w:tcPr>
                <w:p w14:paraId="1E0905C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18</w:t>
                  </w:r>
                </w:p>
              </w:tc>
              <w:tc>
                <w:tcPr>
                  <w:tcW w:w="320" w:type="pct"/>
                  <w:tcBorders>
                    <w:tl2br w:val="nil"/>
                    <w:tr2bl w:val="nil"/>
                  </w:tcBorders>
                  <w:vAlign w:val="center"/>
                </w:tcPr>
                <w:p w14:paraId="3055DB0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111</w:t>
                  </w:r>
                </w:p>
              </w:tc>
              <w:tc>
                <w:tcPr>
                  <w:tcW w:w="336" w:type="pct"/>
                  <w:tcBorders>
                    <w:tl2br w:val="nil"/>
                    <w:tr2bl w:val="nil"/>
                  </w:tcBorders>
                  <w:vAlign w:val="center"/>
                </w:tcPr>
                <w:p w14:paraId="455118E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7473DBCF">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29" w:type="pct"/>
                  <w:tcBorders>
                    <w:tl2br w:val="nil"/>
                    <w:tr2bl w:val="nil"/>
                  </w:tcBorders>
                  <w:vAlign w:val="center"/>
                </w:tcPr>
                <w:p w14:paraId="0C19DF6F">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75</w:t>
                  </w:r>
                </w:p>
              </w:tc>
              <w:tc>
                <w:tcPr>
                  <w:tcW w:w="238" w:type="pct"/>
                  <w:tcBorders>
                    <w:tl2br w:val="nil"/>
                    <w:tr2bl w:val="nil"/>
                  </w:tcBorders>
                  <w:vAlign w:val="center"/>
                </w:tcPr>
                <w:p w14:paraId="3F98E23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4A42737B">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03B9D2A4">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76.8</w:t>
                  </w:r>
                </w:p>
              </w:tc>
              <w:tc>
                <w:tcPr>
                  <w:tcW w:w="246" w:type="pct"/>
                  <w:tcBorders>
                    <w:tl2br w:val="nil"/>
                    <w:tr2bl w:val="nil"/>
                  </w:tcBorders>
                  <w:vAlign w:val="center"/>
                </w:tcPr>
                <w:p w14:paraId="53A38057">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508C06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continue"/>
                  <w:tcBorders>
                    <w:tl2br w:val="nil"/>
                    <w:tr2bl w:val="nil"/>
                  </w:tcBorders>
                  <w:vAlign w:val="center"/>
                </w:tcPr>
                <w:p w14:paraId="2FB34169">
                  <w:pPr>
                    <w:jc w:val="center"/>
                    <w:rPr>
                      <w:rFonts w:hint="default" w:ascii="Times New Roman" w:hAnsi="Times New Roman" w:cs="Times New Roman"/>
                      <w:color w:val="auto"/>
                      <w:sz w:val="18"/>
                      <w:szCs w:val="18"/>
                    </w:rPr>
                  </w:pPr>
                </w:p>
              </w:tc>
              <w:tc>
                <w:tcPr>
                  <w:tcW w:w="356" w:type="pct"/>
                  <w:tcBorders>
                    <w:tl2br w:val="nil"/>
                    <w:tr2bl w:val="nil"/>
                  </w:tcBorders>
                  <w:vAlign w:val="center"/>
                </w:tcPr>
                <w:p w14:paraId="1EDDC242">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风机</w:t>
                  </w:r>
                </w:p>
              </w:tc>
              <w:tc>
                <w:tcPr>
                  <w:tcW w:w="340" w:type="pct"/>
                  <w:tcBorders>
                    <w:tl2br w:val="nil"/>
                    <w:tr2bl w:val="nil"/>
                  </w:tcBorders>
                  <w:vAlign w:val="center"/>
                </w:tcPr>
                <w:p w14:paraId="1263B6D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w:t>
                  </w:r>
                </w:p>
              </w:tc>
              <w:tc>
                <w:tcPr>
                  <w:tcW w:w="234" w:type="pct"/>
                  <w:tcBorders>
                    <w:tl2br w:val="nil"/>
                    <w:tr2bl w:val="nil"/>
                  </w:tcBorders>
                  <w:vAlign w:val="center"/>
                </w:tcPr>
                <w:p w14:paraId="16CA8EA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575" w:type="pct"/>
                  <w:tcBorders>
                    <w:tl2br w:val="nil"/>
                    <w:tr2bl w:val="nil"/>
                  </w:tcBorders>
                  <w:vAlign w:val="center"/>
                </w:tcPr>
                <w:p w14:paraId="7CF4956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减震、消音</w:t>
                  </w:r>
                </w:p>
              </w:tc>
              <w:tc>
                <w:tcPr>
                  <w:tcW w:w="434" w:type="pct"/>
                  <w:tcBorders>
                    <w:tl2br w:val="nil"/>
                    <w:tr2bl w:val="nil"/>
                  </w:tcBorders>
                  <w:vAlign w:val="center"/>
                </w:tcPr>
                <w:p w14:paraId="13A71A1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320" w:type="pct"/>
                  <w:tcBorders>
                    <w:tl2br w:val="nil"/>
                    <w:tr2bl w:val="nil"/>
                  </w:tcBorders>
                  <w:vAlign w:val="center"/>
                </w:tcPr>
                <w:p w14:paraId="602BF2B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114</w:t>
                  </w:r>
                </w:p>
              </w:tc>
              <w:tc>
                <w:tcPr>
                  <w:tcW w:w="336" w:type="pct"/>
                  <w:tcBorders>
                    <w:tl2br w:val="nil"/>
                    <w:tr2bl w:val="nil"/>
                  </w:tcBorders>
                  <w:vAlign w:val="center"/>
                </w:tcPr>
                <w:p w14:paraId="7004869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1BC34134">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29" w:type="pct"/>
                  <w:tcBorders>
                    <w:tl2br w:val="nil"/>
                    <w:tr2bl w:val="nil"/>
                  </w:tcBorders>
                  <w:vAlign w:val="center"/>
                </w:tcPr>
                <w:p w14:paraId="3C6E0ED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75</w:t>
                  </w:r>
                </w:p>
              </w:tc>
              <w:tc>
                <w:tcPr>
                  <w:tcW w:w="238" w:type="pct"/>
                  <w:tcBorders>
                    <w:tl2br w:val="nil"/>
                    <w:tr2bl w:val="nil"/>
                  </w:tcBorders>
                  <w:vAlign w:val="center"/>
                </w:tcPr>
                <w:p w14:paraId="42E24FDB">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1E3DCF41">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2401ABD1">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71.8</w:t>
                  </w:r>
                </w:p>
              </w:tc>
              <w:tc>
                <w:tcPr>
                  <w:tcW w:w="246" w:type="pct"/>
                  <w:tcBorders>
                    <w:tl2br w:val="nil"/>
                    <w:tr2bl w:val="nil"/>
                  </w:tcBorders>
                  <w:vAlign w:val="center"/>
                </w:tcPr>
                <w:p w14:paraId="3AB373AC">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5EAF0C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restart"/>
                  <w:tcBorders>
                    <w:tl2br w:val="nil"/>
                    <w:tr2bl w:val="nil"/>
                  </w:tcBorders>
                  <w:vAlign w:val="center"/>
                </w:tcPr>
                <w:p w14:paraId="7AC44A7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带钢冷轧工段</w:t>
                  </w:r>
                </w:p>
              </w:tc>
              <w:tc>
                <w:tcPr>
                  <w:tcW w:w="356" w:type="pct"/>
                  <w:tcBorders>
                    <w:tl2br w:val="nil"/>
                    <w:tr2bl w:val="nil"/>
                  </w:tcBorders>
                  <w:vAlign w:val="center"/>
                </w:tcPr>
                <w:p w14:paraId="50BF19F1">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二辊夹送机</w:t>
                  </w:r>
                </w:p>
              </w:tc>
              <w:tc>
                <w:tcPr>
                  <w:tcW w:w="340" w:type="pct"/>
                  <w:tcBorders>
                    <w:tl2br w:val="nil"/>
                    <w:tr2bl w:val="nil"/>
                  </w:tcBorders>
                  <w:vAlign w:val="center"/>
                </w:tcPr>
                <w:p w14:paraId="29B3751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w:t>
                  </w:r>
                </w:p>
              </w:tc>
              <w:tc>
                <w:tcPr>
                  <w:tcW w:w="234" w:type="pct"/>
                  <w:tcBorders>
                    <w:tl2br w:val="nil"/>
                    <w:tr2bl w:val="nil"/>
                  </w:tcBorders>
                  <w:vAlign w:val="center"/>
                </w:tcPr>
                <w:p w14:paraId="2085503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575" w:type="pct"/>
                  <w:tcBorders>
                    <w:tl2br w:val="nil"/>
                    <w:tr2bl w:val="nil"/>
                  </w:tcBorders>
                  <w:vAlign w:val="center"/>
                </w:tcPr>
                <w:p w14:paraId="5599265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隔声、减震</w:t>
                  </w:r>
                </w:p>
              </w:tc>
              <w:tc>
                <w:tcPr>
                  <w:tcW w:w="434" w:type="pct"/>
                  <w:tcBorders>
                    <w:tl2br w:val="nil"/>
                    <w:tr2bl w:val="nil"/>
                  </w:tcBorders>
                  <w:vAlign w:val="center"/>
                </w:tcPr>
                <w:p w14:paraId="69E11E4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w:t>
                  </w:r>
                </w:p>
              </w:tc>
              <w:tc>
                <w:tcPr>
                  <w:tcW w:w="320" w:type="pct"/>
                  <w:tcBorders>
                    <w:tl2br w:val="nil"/>
                    <w:tr2bl w:val="nil"/>
                  </w:tcBorders>
                  <w:vAlign w:val="center"/>
                </w:tcPr>
                <w:p w14:paraId="19C03C8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107</w:t>
                  </w:r>
                </w:p>
              </w:tc>
              <w:tc>
                <w:tcPr>
                  <w:tcW w:w="336" w:type="pct"/>
                  <w:tcBorders>
                    <w:tl2br w:val="nil"/>
                    <w:tr2bl w:val="nil"/>
                  </w:tcBorders>
                  <w:vAlign w:val="center"/>
                </w:tcPr>
                <w:p w14:paraId="1F7F408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161139F6">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429" w:type="pct"/>
                  <w:tcBorders>
                    <w:tl2br w:val="nil"/>
                    <w:tr2bl w:val="nil"/>
                  </w:tcBorders>
                  <w:vAlign w:val="center"/>
                </w:tcPr>
                <w:p w14:paraId="0E1B5FA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w:t>
                  </w:r>
                </w:p>
              </w:tc>
              <w:tc>
                <w:tcPr>
                  <w:tcW w:w="238" w:type="pct"/>
                  <w:tcBorders>
                    <w:tl2br w:val="nil"/>
                    <w:tr2bl w:val="nil"/>
                  </w:tcBorders>
                  <w:vAlign w:val="center"/>
                </w:tcPr>
                <w:p w14:paraId="159740F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7A35EB8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3351C161">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61.8</w:t>
                  </w:r>
                </w:p>
              </w:tc>
              <w:tc>
                <w:tcPr>
                  <w:tcW w:w="246" w:type="pct"/>
                  <w:tcBorders>
                    <w:tl2br w:val="nil"/>
                    <w:tr2bl w:val="nil"/>
                  </w:tcBorders>
                  <w:vAlign w:val="center"/>
                </w:tcPr>
                <w:p w14:paraId="785A9D59">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2F66EC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continue"/>
                  <w:tcBorders>
                    <w:tl2br w:val="nil"/>
                    <w:tr2bl w:val="nil"/>
                  </w:tcBorders>
                  <w:vAlign w:val="center"/>
                </w:tcPr>
                <w:p w14:paraId="7702836D">
                  <w:pPr>
                    <w:jc w:val="center"/>
                    <w:rPr>
                      <w:rFonts w:hint="default" w:ascii="Times New Roman" w:hAnsi="Times New Roman" w:cs="Times New Roman"/>
                      <w:color w:val="auto"/>
                      <w:sz w:val="18"/>
                      <w:szCs w:val="18"/>
                    </w:rPr>
                  </w:pPr>
                </w:p>
              </w:tc>
              <w:tc>
                <w:tcPr>
                  <w:tcW w:w="356" w:type="pct"/>
                  <w:tcBorders>
                    <w:tl2br w:val="nil"/>
                    <w:tr2bl w:val="nil"/>
                  </w:tcBorders>
                  <w:vAlign w:val="center"/>
                </w:tcPr>
                <w:p w14:paraId="201773F2">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四连冷轧机主电机</w:t>
                  </w:r>
                </w:p>
              </w:tc>
              <w:tc>
                <w:tcPr>
                  <w:tcW w:w="340" w:type="pct"/>
                  <w:tcBorders>
                    <w:tl2br w:val="nil"/>
                    <w:tr2bl w:val="nil"/>
                  </w:tcBorders>
                  <w:vAlign w:val="center"/>
                </w:tcPr>
                <w:p w14:paraId="43DFDB3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c>
                <w:tcPr>
                  <w:tcW w:w="234" w:type="pct"/>
                  <w:tcBorders>
                    <w:tl2br w:val="nil"/>
                    <w:tr2bl w:val="nil"/>
                  </w:tcBorders>
                  <w:vAlign w:val="center"/>
                </w:tcPr>
                <w:p w14:paraId="167839D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575" w:type="pct"/>
                  <w:tcBorders>
                    <w:tl2br w:val="nil"/>
                    <w:tr2bl w:val="nil"/>
                  </w:tcBorders>
                  <w:vAlign w:val="center"/>
                </w:tcPr>
                <w:p w14:paraId="22907D2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隔声、减震</w:t>
                  </w:r>
                </w:p>
              </w:tc>
              <w:tc>
                <w:tcPr>
                  <w:tcW w:w="434" w:type="pct"/>
                  <w:tcBorders>
                    <w:tl2br w:val="nil"/>
                    <w:tr2bl w:val="nil"/>
                  </w:tcBorders>
                  <w:vAlign w:val="center"/>
                </w:tcPr>
                <w:p w14:paraId="7F928F9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71</w:t>
                  </w:r>
                </w:p>
              </w:tc>
              <w:tc>
                <w:tcPr>
                  <w:tcW w:w="320" w:type="pct"/>
                  <w:tcBorders>
                    <w:tl2br w:val="nil"/>
                    <w:tr2bl w:val="nil"/>
                  </w:tcBorders>
                  <w:vAlign w:val="center"/>
                </w:tcPr>
                <w:p w14:paraId="4657CEB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106</w:t>
                  </w:r>
                </w:p>
              </w:tc>
              <w:tc>
                <w:tcPr>
                  <w:tcW w:w="336" w:type="pct"/>
                  <w:tcBorders>
                    <w:tl2br w:val="nil"/>
                    <w:tr2bl w:val="nil"/>
                  </w:tcBorders>
                  <w:vAlign w:val="center"/>
                </w:tcPr>
                <w:p w14:paraId="7CD4F8B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660CBB9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20</w:t>
                  </w:r>
                </w:p>
              </w:tc>
              <w:tc>
                <w:tcPr>
                  <w:tcW w:w="429" w:type="pct"/>
                  <w:tcBorders>
                    <w:tl2br w:val="nil"/>
                    <w:tr2bl w:val="nil"/>
                  </w:tcBorders>
                  <w:vAlign w:val="center"/>
                </w:tcPr>
                <w:p w14:paraId="68B47A7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75</w:t>
                  </w:r>
                </w:p>
              </w:tc>
              <w:tc>
                <w:tcPr>
                  <w:tcW w:w="238" w:type="pct"/>
                  <w:tcBorders>
                    <w:tl2br w:val="nil"/>
                    <w:tr2bl w:val="nil"/>
                  </w:tcBorders>
                  <w:vAlign w:val="center"/>
                </w:tcPr>
                <w:p w14:paraId="592651A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43FED8C4">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06DC9136">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71.8</w:t>
                  </w:r>
                </w:p>
              </w:tc>
              <w:tc>
                <w:tcPr>
                  <w:tcW w:w="246" w:type="pct"/>
                  <w:tcBorders>
                    <w:tl2br w:val="nil"/>
                    <w:tr2bl w:val="nil"/>
                  </w:tcBorders>
                  <w:vAlign w:val="center"/>
                </w:tcPr>
                <w:p w14:paraId="4B6330F8">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243B0D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continue"/>
                  <w:tcBorders>
                    <w:tl2br w:val="nil"/>
                    <w:tr2bl w:val="nil"/>
                  </w:tcBorders>
                  <w:vAlign w:val="center"/>
                </w:tcPr>
                <w:p w14:paraId="1B5C6C39">
                  <w:pPr>
                    <w:jc w:val="center"/>
                    <w:rPr>
                      <w:rFonts w:hint="default" w:ascii="Times New Roman" w:hAnsi="Times New Roman" w:cs="Times New Roman"/>
                      <w:color w:val="auto"/>
                      <w:sz w:val="18"/>
                      <w:szCs w:val="18"/>
                    </w:rPr>
                  </w:pPr>
                </w:p>
              </w:tc>
              <w:tc>
                <w:tcPr>
                  <w:tcW w:w="356" w:type="pct"/>
                  <w:tcBorders>
                    <w:tl2br w:val="nil"/>
                    <w:tr2bl w:val="nil"/>
                  </w:tcBorders>
                  <w:vAlign w:val="center"/>
                </w:tcPr>
                <w:p w14:paraId="7723E17C">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650收卷机</w:t>
                  </w:r>
                </w:p>
              </w:tc>
              <w:tc>
                <w:tcPr>
                  <w:tcW w:w="340" w:type="pct"/>
                  <w:tcBorders>
                    <w:tl2br w:val="nil"/>
                    <w:tr2bl w:val="nil"/>
                  </w:tcBorders>
                  <w:vAlign w:val="center"/>
                </w:tcPr>
                <w:p w14:paraId="6F99F0E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234" w:type="pct"/>
                  <w:tcBorders>
                    <w:tl2br w:val="nil"/>
                    <w:tr2bl w:val="nil"/>
                  </w:tcBorders>
                  <w:vAlign w:val="center"/>
                </w:tcPr>
                <w:p w14:paraId="67AAE2B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575" w:type="pct"/>
                  <w:tcBorders>
                    <w:tl2br w:val="nil"/>
                    <w:tr2bl w:val="nil"/>
                  </w:tcBorders>
                  <w:vAlign w:val="center"/>
                </w:tcPr>
                <w:p w14:paraId="48B8F9C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隔声、减震</w:t>
                  </w:r>
                </w:p>
              </w:tc>
              <w:tc>
                <w:tcPr>
                  <w:tcW w:w="434" w:type="pct"/>
                  <w:tcBorders>
                    <w:tl2br w:val="nil"/>
                    <w:tr2bl w:val="nil"/>
                  </w:tcBorders>
                  <w:vAlign w:val="center"/>
                </w:tcPr>
                <w:p w14:paraId="58EBE14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w:t>
                  </w:r>
                </w:p>
              </w:tc>
              <w:tc>
                <w:tcPr>
                  <w:tcW w:w="320" w:type="pct"/>
                  <w:tcBorders>
                    <w:tl2br w:val="nil"/>
                    <w:tr2bl w:val="nil"/>
                  </w:tcBorders>
                  <w:vAlign w:val="center"/>
                </w:tcPr>
                <w:p w14:paraId="2BE7EB9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99</w:t>
                  </w:r>
                </w:p>
              </w:tc>
              <w:tc>
                <w:tcPr>
                  <w:tcW w:w="336" w:type="pct"/>
                  <w:tcBorders>
                    <w:tl2br w:val="nil"/>
                    <w:tr2bl w:val="nil"/>
                  </w:tcBorders>
                  <w:vAlign w:val="center"/>
                </w:tcPr>
                <w:p w14:paraId="40AE9C4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102F3B38">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20</w:t>
                  </w:r>
                </w:p>
              </w:tc>
              <w:tc>
                <w:tcPr>
                  <w:tcW w:w="429" w:type="pct"/>
                  <w:tcBorders>
                    <w:tl2br w:val="nil"/>
                    <w:tr2bl w:val="nil"/>
                  </w:tcBorders>
                  <w:vAlign w:val="center"/>
                </w:tcPr>
                <w:p w14:paraId="5C0AFA1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70</w:t>
                  </w:r>
                </w:p>
              </w:tc>
              <w:tc>
                <w:tcPr>
                  <w:tcW w:w="238" w:type="pct"/>
                  <w:tcBorders>
                    <w:tl2br w:val="nil"/>
                    <w:tr2bl w:val="nil"/>
                  </w:tcBorders>
                  <w:vAlign w:val="center"/>
                </w:tcPr>
                <w:p w14:paraId="2CDE7E63">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68EC3626">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6EB86D5F">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61.8</w:t>
                  </w:r>
                </w:p>
              </w:tc>
              <w:tc>
                <w:tcPr>
                  <w:tcW w:w="246" w:type="pct"/>
                  <w:tcBorders>
                    <w:tl2br w:val="nil"/>
                    <w:tr2bl w:val="nil"/>
                  </w:tcBorders>
                  <w:vAlign w:val="center"/>
                </w:tcPr>
                <w:p w14:paraId="58F44743">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2A9934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continue"/>
                  <w:tcBorders>
                    <w:tl2br w:val="nil"/>
                    <w:tr2bl w:val="nil"/>
                  </w:tcBorders>
                  <w:vAlign w:val="center"/>
                </w:tcPr>
                <w:p w14:paraId="754505BA">
                  <w:pPr>
                    <w:jc w:val="center"/>
                    <w:rPr>
                      <w:rFonts w:hint="default" w:ascii="Times New Roman" w:hAnsi="Times New Roman" w:cs="Times New Roman"/>
                      <w:color w:val="auto"/>
                      <w:sz w:val="18"/>
                      <w:szCs w:val="18"/>
                    </w:rPr>
                  </w:pPr>
                </w:p>
              </w:tc>
              <w:tc>
                <w:tcPr>
                  <w:tcW w:w="356" w:type="pct"/>
                  <w:tcBorders>
                    <w:tl2br w:val="nil"/>
                    <w:tr2bl w:val="nil"/>
                  </w:tcBorders>
                  <w:vAlign w:val="center"/>
                </w:tcPr>
                <w:p w14:paraId="3DBA45C7">
                  <w:pPr>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裁剪机剪刀</w:t>
                  </w:r>
                </w:p>
              </w:tc>
              <w:tc>
                <w:tcPr>
                  <w:tcW w:w="340" w:type="pct"/>
                  <w:tcBorders>
                    <w:tl2br w:val="nil"/>
                    <w:tr2bl w:val="nil"/>
                  </w:tcBorders>
                  <w:vAlign w:val="center"/>
                </w:tcPr>
                <w:p w14:paraId="4B67B97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c>
                <w:tcPr>
                  <w:tcW w:w="234" w:type="pct"/>
                  <w:tcBorders>
                    <w:tl2br w:val="nil"/>
                    <w:tr2bl w:val="nil"/>
                  </w:tcBorders>
                  <w:vAlign w:val="center"/>
                </w:tcPr>
                <w:p w14:paraId="683F26FC">
                  <w:pPr>
                    <w:jc w:val="center"/>
                    <w:rPr>
                      <w:rFonts w:hint="default" w:ascii="Times New Roman" w:hAnsi="Times New Roman" w:cs="Times New Roman"/>
                      <w:color w:val="auto"/>
                      <w:sz w:val="18"/>
                      <w:szCs w:val="18"/>
                    </w:rPr>
                  </w:pPr>
                </w:p>
              </w:tc>
              <w:tc>
                <w:tcPr>
                  <w:tcW w:w="575" w:type="pct"/>
                  <w:tcBorders>
                    <w:tl2br w:val="nil"/>
                    <w:tr2bl w:val="nil"/>
                  </w:tcBorders>
                  <w:vAlign w:val="center"/>
                </w:tcPr>
                <w:p w14:paraId="716BD51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隔声、减震</w:t>
                  </w:r>
                </w:p>
              </w:tc>
              <w:tc>
                <w:tcPr>
                  <w:tcW w:w="434" w:type="pct"/>
                  <w:tcBorders>
                    <w:tl2br w:val="nil"/>
                    <w:tr2bl w:val="nil"/>
                  </w:tcBorders>
                  <w:vAlign w:val="center"/>
                </w:tcPr>
                <w:p w14:paraId="3CD3D11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w:t>
                  </w:r>
                </w:p>
              </w:tc>
              <w:tc>
                <w:tcPr>
                  <w:tcW w:w="320" w:type="pct"/>
                  <w:tcBorders>
                    <w:tl2br w:val="nil"/>
                    <w:tr2bl w:val="nil"/>
                  </w:tcBorders>
                  <w:vAlign w:val="center"/>
                </w:tcPr>
                <w:p w14:paraId="6C7100B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97</w:t>
                  </w:r>
                </w:p>
              </w:tc>
              <w:tc>
                <w:tcPr>
                  <w:tcW w:w="336" w:type="pct"/>
                  <w:tcBorders>
                    <w:tl2br w:val="nil"/>
                    <w:tr2bl w:val="nil"/>
                  </w:tcBorders>
                  <w:vAlign w:val="center"/>
                </w:tcPr>
                <w:p w14:paraId="38E1488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5B506509">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20</w:t>
                  </w:r>
                </w:p>
              </w:tc>
              <w:tc>
                <w:tcPr>
                  <w:tcW w:w="429" w:type="pct"/>
                  <w:tcBorders>
                    <w:tl2br w:val="nil"/>
                    <w:tr2bl w:val="nil"/>
                  </w:tcBorders>
                  <w:vAlign w:val="center"/>
                </w:tcPr>
                <w:p w14:paraId="7A631C2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75</w:t>
                  </w:r>
                </w:p>
              </w:tc>
              <w:tc>
                <w:tcPr>
                  <w:tcW w:w="238" w:type="pct"/>
                  <w:tcBorders>
                    <w:tl2br w:val="nil"/>
                    <w:tr2bl w:val="nil"/>
                  </w:tcBorders>
                  <w:vAlign w:val="center"/>
                </w:tcPr>
                <w:p w14:paraId="16FC5506">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3888530C">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1B999728">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71.8</w:t>
                  </w:r>
                </w:p>
              </w:tc>
              <w:tc>
                <w:tcPr>
                  <w:tcW w:w="246" w:type="pct"/>
                  <w:tcBorders>
                    <w:tl2br w:val="nil"/>
                    <w:tr2bl w:val="nil"/>
                  </w:tcBorders>
                  <w:vAlign w:val="center"/>
                </w:tcPr>
                <w:p w14:paraId="23700BAC">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5EF2F3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continue"/>
                  <w:tcBorders>
                    <w:tl2br w:val="nil"/>
                    <w:tr2bl w:val="nil"/>
                  </w:tcBorders>
                  <w:vAlign w:val="center"/>
                </w:tcPr>
                <w:p w14:paraId="24804707">
                  <w:pPr>
                    <w:jc w:val="center"/>
                    <w:rPr>
                      <w:rFonts w:hint="default" w:ascii="Times New Roman" w:hAnsi="Times New Roman" w:cs="Times New Roman"/>
                      <w:color w:val="auto"/>
                      <w:sz w:val="18"/>
                      <w:szCs w:val="18"/>
                    </w:rPr>
                  </w:pPr>
                </w:p>
              </w:tc>
              <w:tc>
                <w:tcPr>
                  <w:tcW w:w="356" w:type="pct"/>
                  <w:tcBorders>
                    <w:tl2br w:val="nil"/>
                    <w:tr2bl w:val="nil"/>
                  </w:tcBorders>
                  <w:vAlign w:val="center"/>
                </w:tcPr>
                <w:p w14:paraId="4A5B6AE4">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风机</w:t>
                  </w:r>
                </w:p>
              </w:tc>
              <w:tc>
                <w:tcPr>
                  <w:tcW w:w="340" w:type="pct"/>
                  <w:tcBorders>
                    <w:tl2br w:val="nil"/>
                    <w:tr2bl w:val="nil"/>
                  </w:tcBorders>
                  <w:vAlign w:val="center"/>
                </w:tcPr>
                <w:p w14:paraId="1D8A38B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w:t>
                  </w:r>
                </w:p>
              </w:tc>
              <w:tc>
                <w:tcPr>
                  <w:tcW w:w="234" w:type="pct"/>
                  <w:tcBorders>
                    <w:tl2br w:val="nil"/>
                    <w:tr2bl w:val="nil"/>
                  </w:tcBorders>
                  <w:vAlign w:val="center"/>
                </w:tcPr>
                <w:p w14:paraId="1FD19E4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575" w:type="pct"/>
                  <w:tcBorders>
                    <w:tl2br w:val="nil"/>
                    <w:tr2bl w:val="nil"/>
                  </w:tcBorders>
                  <w:vAlign w:val="center"/>
                </w:tcPr>
                <w:p w14:paraId="272A595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隔声、减震、消声器</w:t>
                  </w:r>
                </w:p>
              </w:tc>
              <w:tc>
                <w:tcPr>
                  <w:tcW w:w="434" w:type="pct"/>
                  <w:tcBorders>
                    <w:tl2br w:val="nil"/>
                    <w:tr2bl w:val="nil"/>
                  </w:tcBorders>
                  <w:vAlign w:val="center"/>
                </w:tcPr>
                <w:p w14:paraId="7A225AE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52</w:t>
                  </w:r>
                </w:p>
              </w:tc>
              <w:tc>
                <w:tcPr>
                  <w:tcW w:w="320" w:type="pct"/>
                  <w:tcBorders>
                    <w:tl2br w:val="nil"/>
                    <w:tr2bl w:val="nil"/>
                  </w:tcBorders>
                  <w:vAlign w:val="center"/>
                </w:tcPr>
                <w:p w14:paraId="571878B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87</w:t>
                  </w:r>
                </w:p>
              </w:tc>
              <w:tc>
                <w:tcPr>
                  <w:tcW w:w="336" w:type="pct"/>
                  <w:tcBorders>
                    <w:tl2br w:val="nil"/>
                    <w:tr2bl w:val="nil"/>
                  </w:tcBorders>
                  <w:vAlign w:val="center"/>
                </w:tcPr>
                <w:p w14:paraId="2E50C66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628F3AD9">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20</w:t>
                  </w:r>
                </w:p>
              </w:tc>
              <w:tc>
                <w:tcPr>
                  <w:tcW w:w="429" w:type="pct"/>
                  <w:tcBorders>
                    <w:tl2br w:val="nil"/>
                    <w:tr2bl w:val="nil"/>
                  </w:tcBorders>
                  <w:vAlign w:val="center"/>
                </w:tcPr>
                <w:p w14:paraId="0E316E43">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75</w:t>
                  </w:r>
                </w:p>
              </w:tc>
              <w:tc>
                <w:tcPr>
                  <w:tcW w:w="238" w:type="pct"/>
                  <w:tcBorders>
                    <w:tl2br w:val="nil"/>
                    <w:tr2bl w:val="nil"/>
                  </w:tcBorders>
                  <w:vAlign w:val="center"/>
                </w:tcPr>
                <w:p w14:paraId="5C87A07E">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0D3E5FF1">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0ACD469D">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76.8</w:t>
                  </w:r>
                </w:p>
              </w:tc>
              <w:tc>
                <w:tcPr>
                  <w:tcW w:w="246" w:type="pct"/>
                  <w:tcBorders>
                    <w:tl2br w:val="nil"/>
                    <w:tr2bl w:val="nil"/>
                  </w:tcBorders>
                  <w:vAlign w:val="center"/>
                </w:tcPr>
                <w:p w14:paraId="08668BC5">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337A1B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restart"/>
                  <w:tcBorders>
                    <w:tl2br w:val="nil"/>
                    <w:tr2bl w:val="nil"/>
                  </w:tcBorders>
                  <w:vAlign w:val="center"/>
                </w:tcPr>
                <w:p w14:paraId="0693B7B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带钢热镀锌工段</w:t>
                  </w:r>
                </w:p>
              </w:tc>
              <w:tc>
                <w:tcPr>
                  <w:tcW w:w="356" w:type="pct"/>
                  <w:tcBorders>
                    <w:tl2br w:val="nil"/>
                    <w:tr2bl w:val="nil"/>
                  </w:tcBorders>
                  <w:vAlign w:val="center"/>
                </w:tcPr>
                <w:p w14:paraId="6168140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开卷机</w:t>
                  </w:r>
                </w:p>
              </w:tc>
              <w:tc>
                <w:tcPr>
                  <w:tcW w:w="340" w:type="pct"/>
                  <w:tcBorders>
                    <w:tl2br w:val="nil"/>
                    <w:tr2bl w:val="nil"/>
                  </w:tcBorders>
                  <w:vAlign w:val="center"/>
                </w:tcPr>
                <w:p w14:paraId="597887B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c>
                <w:tcPr>
                  <w:tcW w:w="234" w:type="pct"/>
                  <w:tcBorders>
                    <w:tl2br w:val="nil"/>
                    <w:tr2bl w:val="nil"/>
                  </w:tcBorders>
                  <w:vAlign w:val="center"/>
                </w:tcPr>
                <w:p w14:paraId="23C82B7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575" w:type="pct"/>
                  <w:tcBorders>
                    <w:tl2br w:val="nil"/>
                    <w:tr2bl w:val="nil"/>
                  </w:tcBorders>
                  <w:vAlign w:val="center"/>
                </w:tcPr>
                <w:p w14:paraId="3C1BC54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隔声、减震</w:t>
                  </w:r>
                </w:p>
              </w:tc>
              <w:tc>
                <w:tcPr>
                  <w:tcW w:w="434" w:type="pct"/>
                  <w:tcBorders>
                    <w:tl2br w:val="nil"/>
                    <w:tr2bl w:val="nil"/>
                  </w:tcBorders>
                  <w:vAlign w:val="center"/>
                </w:tcPr>
                <w:p w14:paraId="3F35E4B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w:t>
                  </w:r>
                </w:p>
              </w:tc>
              <w:tc>
                <w:tcPr>
                  <w:tcW w:w="320" w:type="pct"/>
                  <w:tcBorders>
                    <w:tl2br w:val="nil"/>
                    <w:tr2bl w:val="nil"/>
                  </w:tcBorders>
                  <w:vAlign w:val="center"/>
                </w:tcPr>
                <w:p w14:paraId="239C05A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336" w:type="pct"/>
                  <w:tcBorders>
                    <w:tl2br w:val="nil"/>
                    <w:tr2bl w:val="nil"/>
                  </w:tcBorders>
                  <w:vAlign w:val="center"/>
                </w:tcPr>
                <w:p w14:paraId="76F5AE5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3C2A8D1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429" w:type="pct"/>
                  <w:tcBorders>
                    <w:tl2br w:val="nil"/>
                    <w:tr2bl w:val="nil"/>
                  </w:tcBorders>
                  <w:vAlign w:val="center"/>
                </w:tcPr>
                <w:p w14:paraId="3B94AEC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w:t>
                  </w:r>
                </w:p>
              </w:tc>
              <w:tc>
                <w:tcPr>
                  <w:tcW w:w="238" w:type="pct"/>
                  <w:tcBorders>
                    <w:tl2br w:val="nil"/>
                    <w:tr2bl w:val="nil"/>
                  </w:tcBorders>
                  <w:vAlign w:val="center"/>
                </w:tcPr>
                <w:p w14:paraId="1D313A8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4FBEFF27">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7C68BC36">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71.8</w:t>
                  </w:r>
                </w:p>
              </w:tc>
              <w:tc>
                <w:tcPr>
                  <w:tcW w:w="246" w:type="pct"/>
                  <w:tcBorders>
                    <w:tl2br w:val="nil"/>
                    <w:tr2bl w:val="nil"/>
                  </w:tcBorders>
                  <w:vAlign w:val="center"/>
                </w:tcPr>
                <w:p w14:paraId="77DD7886">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504B7D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continue"/>
                  <w:tcBorders>
                    <w:tl2br w:val="nil"/>
                    <w:tr2bl w:val="nil"/>
                  </w:tcBorders>
                  <w:vAlign w:val="center"/>
                </w:tcPr>
                <w:p w14:paraId="234CCD2F">
                  <w:pPr>
                    <w:jc w:val="center"/>
                    <w:rPr>
                      <w:rFonts w:hint="default" w:ascii="Times New Roman" w:hAnsi="Times New Roman" w:cs="Times New Roman"/>
                      <w:color w:val="auto"/>
                      <w:sz w:val="18"/>
                      <w:szCs w:val="18"/>
                    </w:rPr>
                  </w:pPr>
                </w:p>
              </w:tc>
              <w:tc>
                <w:tcPr>
                  <w:tcW w:w="356" w:type="pct"/>
                  <w:tcBorders>
                    <w:tl2br w:val="nil"/>
                    <w:tr2bl w:val="nil"/>
                  </w:tcBorders>
                  <w:vAlign w:val="center"/>
                </w:tcPr>
                <w:p w14:paraId="10EBACC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卧式活套</w:t>
                  </w:r>
                </w:p>
              </w:tc>
              <w:tc>
                <w:tcPr>
                  <w:tcW w:w="340" w:type="pct"/>
                  <w:tcBorders>
                    <w:tl2br w:val="nil"/>
                    <w:tr2bl w:val="nil"/>
                  </w:tcBorders>
                  <w:vAlign w:val="center"/>
                </w:tcPr>
                <w:p w14:paraId="490A6A2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234" w:type="pct"/>
                  <w:tcBorders>
                    <w:tl2br w:val="nil"/>
                    <w:tr2bl w:val="nil"/>
                  </w:tcBorders>
                  <w:vAlign w:val="center"/>
                </w:tcPr>
                <w:p w14:paraId="65FA237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575" w:type="pct"/>
                  <w:tcBorders>
                    <w:tl2br w:val="nil"/>
                    <w:tr2bl w:val="nil"/>
                  </w:tcBorders>
                  <w:vAlign w:val="center"/>
                </w:tcPr>
                <w:p w14:paraId="26156A0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隔声、减震</w:t>
                  </w:r>
                </w:p>
              </w:tc>
              <w:tc>
                <w:tcPr>
                  <w:tcW w:w="434" w:type="pct"/>
                  <w:tcBorders>
                    <w:tl2br w:val="nil"/>
                    <w:tr2bl w:val="nil"/>
                  </w:tcBorders>
                  <w:vAlign w:val="center"/>
                </w:tcPr>
                <w:p w14:paraId="4C69D86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47</w:t>
                  </w:r>
                </w:p>
              </w:tc>
              <w:tc>
                <w:tcPr>
                  <w:tcW w:w="320" w:type="pct"/>
                  <w:tcBorders>
                    <w:tl2br w:val="nil"/>
                    <w:tr2bl w:val="nil"/>
                  </w:tcBorders>
                  <w:vAlign w:val="center"/>
                </w:tcPr>
                <w:p w14:paraId="2F61DB4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107</w:t>
                  </w:r>
                </w:p>
              </w:tc>
              <w:tc>
                <w:tcPr>
                  <w:tcW w:w="336" w:type="pct"/>
                  <w:tcBorders>
                    <w:tl2br w:val="nil"/>
                    <w:tr2bl w:val="nil"/>
                  </w:tcBorders>
                  <w:vAlign w:val="center"/>
                </w:tcPr>
                <w:p w14:paraId="5BEF2AE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2993904D">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29" w:type="pct"/>
                  <w:tcBorders>
                    <w:tl2br w:val="nil"/>
                    <w:tr2bl w:val="nil"/>
                  </w:tcBorders>
                  <w:vAlign w:val="center"/>
                </w:tcPr>
                <w:p w14:paraId="2627487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70</w:t>
                  </w:r>
                </w:p>
              </w:tc>
              <w:tc>
                <w:tcPr>
                  <w:tcW w:w="238" w:type="pct"/>
                  <w:tcBorders>
                    <w:tl2br w:val="nil"/>
                    <w:tr2bl w:val="nil"/>
                  </w:tcBorders>
                  <w:vAlign w:val="center"/>
                </w:tcPr>
                <w:p w14:paraId="5872DD3F">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2DA4B30E">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70FA3E94">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61.8</w:t>
                  </w:r>
                </w:p>
              </w:tc>
              <w:tc>
                <w:tcPr>
                  <w:tcW w:w="246" w:type="pct"/>
                  <w:tcBorders>
                    <w:tl2br w:val="nil"/>
                    <w:tr2bl w:val="nil"/>
                  </w:tcBorders>
                  <w:vAlign w:val="center"/>
                </w:tcPr>
                <w:p w14:paraId="61FAAD7B">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5CD947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continue"/>
                  <w:tcBorders>
                    <w:tl2br w:val="nil"/>
                    <w:tr2bl w:val="nil"/>
                  </w:tcBorders>
                  <w:vAlign w:val="center"/>
                </w:tcPr>
                <w:p w14:paraId="15186D1F">
                  <w:pPr>
                    <w:jc w:val="center"/>
                    <w:rPr>
                      <w:rFonts w:hint="default" w:ascii="Times New Roman" w:hAnsi="Times New Roman" w:cs="Times New Roman"/>
                      <w:color w:val="auto"/>
                      <w:sz w:val="18"/>
                      <w:szCs w:val="18"/>
                    </w:rPr>
                  </w:pPr>
                </w:p>
              </w:tc>
              <w:tc>
                <w:tcPr>
                  <w:tcW w:w="356" w:type="pct"/>
                  <w:tcBorders>
                    <w:tl2br w:val="nil"/>
                    <w:tr2bl w:val="nil"/>
                  </w:tcBorders>
                  <w:vAlign w:val="center"/>
                </w:tcPr>
                <w:p w14:paraId="1A05D6A1">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烘干风机</w:t>
                  </w:r>
                </w:p>
              </w:tc>
              <w:tc>
                <w:tcPr>
                  <w:tcW w:w="340" w:type="pct"/>
                  <w:tcBorders>
                    <w:tl2br w:val="nil"/>
                    <w:tr2bl w:val="nil"/>
                  </w:tcBorders>
                  <w:vAlign w:val="center"/>
                </w:tcPr>
                <w:p w14:paraId="1DBA69E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w:t>
                  </w:r>
                </w:p>
              </w:tc>
              <w:tc>
                <w:tcPr>
                  <w:tcW w:w="234" w:type="pct"/>
                  <w:tcBorders>
                    <w:tl2br w:val="nil"/>
                    <w:tr2bl w:val="nil"/>
                  </w:tcBorders>
                  <w:vAlign w:val="center"/>
                </w:tcPr>
                <w:p w14:paraId="37D561E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575" w:type="pct"/>
                  <w:tcBorders>
                    <w:tl2br w:val="nil"/>
                    <w:tr2bl w:val="nil"/>
                  </w:tcBorders>
                  <w:vAlign w:val="center"/>
                </w:tcPr>
                <w:p w14:paraId="331F196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隔声、减震、消声器</w:t>
                  </w:r>
                </w:p>
              </w:tc>
              <w:tc>
                <w:tcPr>
                  <w:tcW w:w="434" w:type="pct"/>
                  <w:tcBorders>
                    <w:tl2br w:val="nil"/>
                    <w:tr2bl w:val="nil"/>
                  </w:tcBorders>
                  <w:vAlign w:val="center"/>
                </w:tcPr>
                <w:p w14:paraId="00D2875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59</w:t>
                  </w:r>
                </w:p>
              </w:tc>
              <w:tc>
                <w:tcPr>
                  <w:tcW w:w="320" w:type="pct"/>
                  <w:tcBorders>
                    <w:tl2br w:val="nil"/>
                    <w:tr2bl w:val="nil"/>
                  </w:tcBorders>
                  <w:vAlign w:val="center"/>
                </w:tcPr>
                <w:p w14:paraId="14B39C3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336" w:type="pct"/>
                  <w:tcBorders>
                    <w:tl2br w:val="nil"/>
                    <w:tr2bl w:val="nil"/>
                  </w:tcBorders>
                  <w:vAlign w:val="center"/>
                </w:tcPr>
                <w:p w14:paraId="301934C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38F0437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429" w:type="pct"/>
                  <w:tcBorders>
                    <w:tl2br w:val="nil"/>
                    <w:tr2bl w:val="nil"/>
                  </w:tcBorders>
                  <w:vAlign w:val="center"/>
                </w:tcPr>
                <w:p w14:paraId="3CE21BA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w:t>
                  </w:r>
                </w:p>
              </w:tc>
              <w:tc>
                <w:tcPr>
                  <w:tcW w:w="238" w:type="pct"/>
                  <w:tcBorders>
                    <w:tl2br w:val="nil"/>
                    <w:tr2bl w:val="nil"/>
                  </w:tcBorders>
                  <w:vAlign w:val="center"/>
                </w:tcPr>
                <w:p w14:paraId="61A31E9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3E225824">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31263960">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76.8</w:t>
                  </w:r>
                </w:p>
              </w:tc>
              <w:tc>
                <w:tcPr>
                  <w:tcW w:w="246" w:type="pct"/>
                  <w:tcBorders>
                    <w:tl2br w:val="nil"/>
                    <w:tr2bl w:val="nil"/>
                  </w:tcBorders>
                  <w:vAlign w:val="center"/>
                </w:tcPr>
                <w:p w14:paraId="09D62561">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4428D4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continue"/>
                  <w:tcBorders>
                    <w:tl2br w:val="nil"/>
                    <w:tr2bl w:val="nil"/>
                  </w:tcBorders>
                  <w:vAlign w:val="center"/>
                </w:tcPr>
                <w:p w14:paraId="14FF0987">
                  <w:pPr>
                    <w:jc w:val="center"/>
                    <w:rPr>
                      <w:rFonts w:hint="default" w:ascii="Times New Roman" w:hAnsi="Times New Roman" w:cs="Times New Roman"/>
                      <w:color w:val="auto"/>
                      <w:sz w:val="18"/>
                      <w:szCs w:val="18"/>
                    </w:rPr>
                  </w:pPr>
                </w:p>
              </w:tc>
              <w:tc>
                <w:tcPr>
                  <w:tcW w:w="356" w:type="pct"/>
                  <w:tcBorders>
                    <w:tl2br w:val="nil"/>
                    <w:tr2bl w:val="nil"/>
                  </w:tcBorders>
                  <w:vAlign w:val="center"/>
                </w:tcPr>
                <w:p w14:paraId="11193EEB">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除尘风机</w:t>
                  </w:r>
                </w:p>
              </w:tc>
              <w:tc>
                <w:tcPr>
                  <w:tcW w:w="340" w:type="pct"/>
                  <w:tcBorders>
                    <w:tl2br w:val="nil"/>
                    <w:tr2bl w:val="nil"/>
                  </w:tcBorders>
                  <w:vAlign w:val="center"/>
                </w:tcPr>
                <w:p w14:paraId="093A421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w:t>
                  </w:r>
                </w:p>
              </w:tc>
              <w:tc>
                <w:tcPr>
                  <w:tcW w:w="234" w:type="pct"/>
                  <w:tcBorders>
                    <w:tl2br w:val="nil"/>
                    <w:tr2bl w:val="nil"/>
                  </w:tcBorders>
                  <w:vAlign w:val="center"/>
                </w:tcPr>
                <w:p w14:paraId="3E99FF9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575" w:type="pct"/>
                  <w:tcBorders>
                    <w:tl2br w:val="nil"/>
                    <w:tr2bl w:val="nil"/>
                  </w:tcBorders>
                  <w:vAlign w:val="center"/>
                </w:tcPr>
                <w:p w14:paraId="420B4BE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隔声、减震、消声器</w:t>
                  </w:r>
                </w:p>
              </w:tc>
              <w:tc>
                <w:tcPr>
                  <w:tcW w:w="434" w:type="pct"/>
                  <w:tcBorders>
                    <w:tl2br w:val="nil"/>
                    <w:tr2bl w:val="nil"/>
                  </w:tcBorders>
                  <w:vAlign w:val="center"/>
                </w:tcPr>
                <w:p w14:paraId="554249F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49</w:t>
                  </w:r>
                </w:p>
              </w:tc>
              <w:tc>
                <w:tcPr>
                  <w:tcW w:w="320" w:type="pct"/>
                  <w:tcBorders>
                    <w:tl2br w:val="nil"/>
                    <w:tr2bl w:val="nil"/>
                  </w:tcBorders>
                  <w:vAlign w:val="center"/>
                </w:tcPr>
                <w:p w14:paraId="1283604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92</w:t>
                  </w:r>
                </w:p>
              </w:tc>
              <w:tc>
                <w:tcPr>
                  <w:tcW w:w="336" w:type="pct"/>
                  <w:tcBorders>
                    <w:tl2br w:val="nil"/>
                    <w:tr2bl w:val="nil"/>
                  </w:tcBorders>
                  <w:vAlign w:val="center"/>
                </w:tcPr>
                <w:p w14:paraId="17B6E95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44476CF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429" w:type="pct"/>
                  <w:tcBorders>
                    <w:tl2br w:val="nil"/>
                    <w:tr2bl w:val="nil"/>
                  </w:tcBorders>
                  <w:vAlign w:val="center"/>
                </w:tcPr>
                <w:p w14:paraId="2FAC772F">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w:t>
                  </w:r>
                </w:p>
              </w:tc>
              <w:tc>
                <w:tcPr>
                  <w:tcW w:w="238" w:type="pct"/>
                  <w:tcBorders>
                    <w:tl2br w:val="nil"/>
                    <w:tr2bl w:val="nil"/>
                  </w:tcBorders>
                  <w:vAlign w:val="center"/>
                </w:tcPr>
                <w:p w14:paraId="61553B9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564B324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7548A5DD">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76.8</w:t>
                  </w:r>
                </w:p>
              </w:tc>
              <w:tc>
                <w:tcPr>
                  <w:tcW w:w="246" w:type="pct"/>
                  <w:tcBorders>
                    <w:tl2br w:val="nil"/>
                    <w:tr2bl w:val="nil"/>
                  </w:tcBorders>
                  <w:vAlign w:val="center"/>
                </w:tcPr>
                <w:p w14:paraId="61C73CA4">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5CA67A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continue"/>
                  <w:tcBorders>
                    <w:tl2br w:val="nil"/>
                    <w:tr2bl w:val="nil"/>
                  </w:tcBorders>
                  <w:vAlign w:val="center"/>
                </w:tcPr>
                <w:p w14:paraId="0FA289BC">
                  <w:pPr>
                    <w:jc w:val="center"/>
                    <w:rPr>
                      <w:rFonts w:hint="default" w:ascii="Times New Roman" w:hAnsi="Times New Roman" w:cs="Times New Roman"/>
                      <w:color w:val="auto"/>
                      <w:sz w:val="18"/>
                      <w:szCs w:val="18"/>
                    </w:rPr>
                  </w:pPr>
                </w:p>
              </w:tc>
              <w:tc>
                <w:tcPr>
                  <w:tcW w:w="356" w:type="pct"/>
                  <w:tcBorders>
                    <w:tl2br w:val="nil"/>
                    <w:tr2bl w:val="nil"/>
                  </w:tcBorders>
                  <w:vAlign w:val="center"/>
                </w:tcPr>
                <w:p w14:paraId="34656254">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下料活套</w:t>
                  </w:r>
                </w:p>
              </w:tc>
              <w:tc>
                <w:tcPr>
                  <w:tcW w:w="340" w:type="pct"/>
                  <w:tcBorders>
                    <w:tl2br w:val="nil"/>
                    <w:tr2bl w:val="nil"/>
                  </w:tcBorders>
                  <w:vAlign w:val="center"/>
                </w:tcPr>
                <w:p w14:paraId="12A887E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234" w:type="pct"/>
                  <w:tcBorders>
                    <w:tl2br w:val="nil"/>
                    <w:tr2bl w:val="nil"/>
                  </w:tcBorders>
                  <w:vAlign w:val="center"/>
                </w:tcPr>
                <w:p w14:paraId="45BD5CA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575" w:type="pct"/>
                  <w:tcBorders>
                    <w:tl2br w:val="nil"/>
                    <w:tr2bl w:val="nil"/>
                  </w:tcBorders>
                  <w:vAlign w:val="center"/>
                </w:tcPr>
                <w:p w14:paraId="49A4190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隔声、减震</w:t>
                  </w:r>
                </w:p>
              </w:tc>
              <w:tc>
                <w:tcPr>
                  <w:tcW w:w="434" w:type="pct"/>
                  <w:tcBorders>
                    <w:tl2br w:val="nil"/>
                    <w:tr2bl w:val="nil"/>
                  </w:tcBorders>
                  <w:vAlign w:val="center"/>
                </w:tcPr>
                <w:p w14:paraId="34A2AA9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49</w:t>
                  </w:r>
                </w:p>
              </w:tc>
              <w:tc>
                <w:tcPr>
                  <w:tcW w:w="320" w:type="pct"/>
                  <w:tcBorders>
                    <w:tl2br w:val="nil"/>
                    <w:tr2bl w:val="nil"/>
                  </w:tcBorders>
                  <w:vAlign w:val="center"/>
                </w:tcPr>
                <w:p w14:paraId="3BE8594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94</w:t>
                  </w:r>
                </w:p>
              </w:tc>
              <w:tc>
                <w:tcPr>
                  <w:tcW w:w="336" w:type="pct"/>
                  <w:tcBorders>
                    <w:tl2br w:val="nil"/>
                    <w:tr2bl w:val="nil"/>
                  </w:tcBorders>
                  <w:vAlign w:val="center"/>
                </w:tcPr>
                <w:p w14:paraId="3368621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65690D9C">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429" w:type="pct"/>
                  <w:tcBorders>
                    <w:tl2br w:val="nil"/>
                    <w:tr2bl w:val="nil"/>
                  </w:tcBorders>
                  <w:vAlign w:val="center"/>
                </w:tcPr>
                <w:p w14:paraId="15C20C3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w:t>
                  </w:r>
                </w:p>
              </w:tc>
              <w:tc>
                <w:tcPr>
                  <w:tcW w:w="238" w:type="pct"/>
                  <w:tcBorders>
                    <w:tl2br w:val="nil"/>
                    <w:tr2bl w:val="nil"/>
                  </w:tcBorders>
                  <w:vAlign w:val="center"/>
                </w:tcPr>
                <w:p w14:paraId="5C721F2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63F242E5">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4A74C87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56.8</w:t>
                  </w:r>
                </w:p>
              </w:tc>
              <w:tc>
                <w:tcPr>
                  <w:tcW w:w="246" w:type="pct"/>
                  <w:tcBorders>
                    <w:tl2br w:val="nil"/>
                    <w:tr2bl w:val="nil"/>
                  </w:tcBorders>
                  <w:vAlign w:val="center"/>
                </w:tcPr>
                <w:p w14:paraId="55667615">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0E18F5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continue"/>
                  <w:tcBorders>
                    <w:tl2br w:val="nil"/>
                    <w:tr2bl w:val="nil"/>
                  </w:tcBorders>
                  <w:vAlign w:val="center"/>
                </w:tcPr>
                <w:p w14:paraId="2F93034C">
                  <w:pPr>
                    <w:jc w:val="center"/>
                    <w:rPr>
                      <w:rFonts w:hint="default" w:ascii="Times New Roman" w:hAnsi="Times New Roman" w:cs="Times New Roman"/>
                      <w:color w:val="auto"/>
                      <w:sz w:val="18"/>
                      <w:szCs w:val="18"/>
                    </w:rPr>
                  </w:pPr>
                </w:p>
              </w:tc>
              <w:tc>
                <w:tcPr>
                  <w:tcW w:w="356" w:type="pct"/>
                  <w:tcBorders>
                    <w:tl2br w:val="nil"/>
                    <w:tr2bl w:val="nil"/>
                  </w:tcBorders>
                  <w:vAlign w:val="center"/>
                </w:tcPr>
                <w:p w14:paraId="4661E9DF">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裁剪机</w:t>
                  </w:r>
                </w:p>
              </w:tc>
              <w:tc>
                <w:tcPr>
                  <w:tcW w:w="340" w:type="pct"/>
                  <w:tcBorders>
                    <w:tl2br w:val="nil"/>
                    <w:tr2bl w:val="nil"/>
                  </w:tcBorders>
                  <w:vAlign w:val="center"/>
                </w:tcPr>
                <w:p w14:paraId="1106729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234" w:type="pct"/>
                  <w:tcBorders>
                    <w:tl2br w:val="nil"/>
                    <w:tr2bl w:val="nil"/>
                  </w:tcBorders>
                  <w:vAlign w:val="center"/>
                </w:tcPr>
                <w:p w14:paraId="382E2C5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575" w:type="pct"/>
                  <w:tcBorders>
                    <w:tl2br w:val="nil"/>
                    <w:tr2bl w:val="nil"/>
                  </w:tcBorders>
                  <w:vAlign w:val="center"/>
                </w:tcPr>
                <w:p w14:paraId="469CCCF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隔声、减震</w:t>
                  </w:r>
                </w:p>
              </w:tc>
              <w:tc>
                <w:tcPr>
                  <w:tcW w:w="434" w:type="pct"/>
                  <w:tcBorders>
                    <w:tl2br w:val="nil"/>
                    <w:tr2bl w:val="nil"/>
                  </w:tcBorders>
                  <w:vAlign w:val="center"/>
                </w:tcPr>
                <w:p w14:paraId="6AAFD59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84</w:t>
                  </w:r>
                </w:p>
              </w:tc>
              <w:tc>
                <w:tcPr>
                  <w:tcW w:w="320" w:type="pct"/>
                  <w:tcBorders>
                    <w:tl2br w:val="nil"/>
                    <w:tr2bl w:val="nil"/>
                  </w:tcBorders>
                  <w:vAlign w:val="center"/>
                </w:tcPr>
                <w:p w14:paraId="55E30FA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146</w:t>
                  </w:r>
                </w:p>
              </w:tc>
              <w:tc>
                <w:tcPr>
                  <w:tcW w:w="336" w:type="pct"/>
                  <w:tcBorders>
                    <w:tl2br w:val="nil"/>
                    <w:tr2bl w:val="nil"/>
                  </w:tcBorders>
                  <w:vAlign w:val="center"/>
                </w:tcPr>
                <w:p w14:paraId="471262D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25B46276">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20</w:t>
                  </w:r>
                </w:p>
              </w:tc>
              <w:tc>
                <w:tcPr>
                  <w:tcW w:w="429" w:type="pct"/>
                  <w:tcBorders>
                    <w:tl2br w:val="nil"/>
                    <w:tr2bl w:val="nil"/>
                  </w:tcBorders>
                  <w:vAlign w:val="center"/>
                </w:tcPr>
                <w:p w14:paraId="14E09BE1">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70</w:t>
                  </w:r>
                </w:p>
              </w:tc>
              <w:tc>
                <w:tcPr>
                  <w:tcW w:w="238" w:type="pct"/>
                  <w:tcBorders>
                    <w:tl2br w:val="nil"/>
                    <w:tr2bl w:val="nil"/>
                  </w:tcBorders>
                  <w:vAlign w:val="center"/>
                </w:tcPr>
                <w:p w14:paraId="4B045D1E">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5AE25D78">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44ED24D4">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56.8</w:t>
                  </w:r>
                </w:p>
              </w:tc>
              <w:tc>
                <w:tcPr>
                  <w:tcW w:w="246" w:type="pct"/>
                  <w:tcBorders>
                    <w:tl2br w:val="nil"/>
                    <w:tr2bl w:val="nil"/>
                  </w:tcBorders>
                  <w:vAlign w:val="center"/>
                </w:tcPr>
                <w:p w14:paraId="066DE513">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551F0B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continue"/>
                  <w:tcBorders>
                    <w:tl2br w:val="nil"/>
                    <w:tr2bl w:val="nil"/>
                  </w:tcBorders>
                  <w:vAlign w:val="center"/>
                </w:tcPr>
                <w:p w14:paraId="47303EF7">
                  <w:pPr>
                    <w:jc w:val="center"/>
                    <w:rPr>
                      <w:rFonts w:hint="default" w:ascii="Times New Roman" w:hAnsi="Times New Roman" w:cs="Times New Roman"/>
                      <w:color w:val="auto"/>
                      <w:sz w:val="18"/>
                      <w:szCs w:val="18"/>
                    </w:rPr>
                  </w:pPr>
                </w:p>
              </w:tc>
              <w:tc>
                <w:tcPr>
                  <w:tcW w:w="356" w:type="pct"/>
                  <w:tcBorders>
                    <w:tl2br w:val="nil"/>
                    <w:tr2bl w:val="nil"/>
                  </w:tcBorders>
                  <w:vAlign w:val="center"/>
                </w:tcPr>
                <w:p w14:paraId="4F3EF274">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收卷机</w:t>
                  </w:r>
                </w:p>
              </w:tc>
              <w:tc>
                <w:tcPr>
                  <w:tcW w:w="340" w:type="pct"/>
                  <w:tcBorders>
                    <w:tl2br w:val="nil"/>
                    <w:tr2bl w:val="nil"/>
                  </w:tcBorders>
                  <w:vAlign w:val="center"/>
                </w:tcPr>
                <w:p w14:paraId="6B74F33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w:t>
                  </w:r>
                </w:p>
              </w:tc>
              <w:tc>
                <w:tcPr>
                  <w:tcW w:w="234" w:type="pct"/>
                  <w:tcBorders>
                    <w:tl2br w:val="nil"/>
                    <w:tr2bl w:val="nil"/>
                  </w:tcBorders>
                  <w:vAlign w:val="center"/>
                </w:tcPr>
                <w:p w14:paraId="776A930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575" w:type="pct"/>
                  <w:tcBorders>
                    <w:tl2br w:val="nil"/>
                    <w:tr2bl w:val="nil"/>
                  </w:tcBorders>
                  <w:vAlign w:val="center"/>
                </w:tcPr>
                <w:p w14:paraId="4DF8407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隔声、减震</w:t>
                  </w:r>
                </w:p>
              </w:tc>
              <w:tc>
                <w:tcPr>
                  <w:tcW w:w="434" w:type="pct"/>
                  <w:tcBorders>
                    <w:tl2br w:val="nil"/>
                    <w:tr2bl w:val="nil"/>
                  </w:tcBorders>
                  <w:vAlign w:val="center"/>
                </w:tcPr>
                <w:p w14:paraId="439A72E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45</w:t>
                  </w:r>
                </w:p>
              </w:tc>
              <w:tc>
                <w:tcPr>
                  <w:tcW w:w="320" w:type="pct"/>
                  <w:tcBorders>
                    <w:tl2br w:val="nil"/>
                    <w:tr2bl w:val="nil"/>
                  </w:tcBorders>
                  <w:vAlign w:val="center"/>
                </w:tcPr>
                <w:p w14:paraId="636AA6A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124</w:t>
                  </w:r>
                </w:p>
              </w:tc>
              <w:tc>
                <w:tcPr>
                  <w:tcW w:w="336" w:type="pct"/>
                  <w:tcBorders>
                    <w:tl2br w:val="nil"/>
                    <w:tr2bl w:val="nil"/>
                  </w:tcBorders>
                  <w:vAlign w:val="center"/>
                </w:tcPr>
                <w:p w14:paraId="4350AD8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2215CA3E">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20</w:t>
                  </w:r>
                </w:p>
              </w:tc>
              <w:tc>
                <w:tcPr>
                  <w:tcW w:w="429" w:type="pct"/>
                  <w:tcBorders>
                    <w:tl2br w:val="nil"/>
                    <w:tr2bl w:val="nil"/>
                  </w:tcBorders>
                  <w:vAlign w:val="center"/>
                </w:tcPr>
                <w:p w14:paraId="3EF02E27">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65</w:t>
                  </w:r>
                </w:p>
              </w:tc>
              <w:tc>
                <w:tcPr>
                  <w:tcW w:w="238" w:type="pct"/>
                  <w:tcBorders>
                    <w:tl2br w:val="nil"/>
                    <w:tr2bl w:val="nil"/>
                  </w:tcBorders>
                  <w:vAlign w:val="center"/>
                </w:tcPr>
                <w:p w14:paraId="3E4D0165">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02C82C5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356FCDDF">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61.8</w:t>
                  </w:r>
                </w:p>
              </w:tc>
              <w:tc>
                <w:tcPr>
                  <w:tcW w:w="246" w:type="pct"/>
                  <w:tcBorders>
                    <w:tl2br w:val="nil"/>
                    <w:tr2bl w:val="nil"/>
                  </w:tcBorders>
                  <w:vAlign w:val="center"/>
                </w:tcPr>
                <w:p w14:paraId="7D4B1094">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4E5851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restart"/>
                  <w:tcBorders>
                    <w:tl2br w:val="nil"/>
                    <w:tr2bl w:val="nil"/>
                  </w:tcBorders>
                  <w:vAlign w:val="center"/>
                </w:tcPr>
                <w:p w14:paraId="7192B80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焊管工段</w:t>
                  </w:r>
                </w:p>
              </w:tc>
              <w:tc>
                <w:tcPr>
                  <w:tcW w:w="356" w:type="pct"/>
                  <w:tcBorders>
                    <w:tl2br w:val="nil"/>
                    <w:tr2bl w:val="nil"/>
                  </w:tcBorders>
                  <w:vAlign w:val="center"/>
                </w:tcPr>
                <w:p w14:paraId="5C872616">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焊管机</w:t>
                  </w:r>
                </w:p>
              </w:tc>
              <w:tc>
                <w:tcPr>
                  <w:tcW w:w="340" w:type="pct"/>
                  <w:tcBorders>
                    <w:tl2br w:val="nil"/>
                    <w:tr2bl w:val="nil"/>
                  </w:tcBorders>
                  <w:vAlign w:val="center"/>
                </w:tcPr>
                <w:p w14:paraId="2D3BFAE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80</w:t>
                  </w:r>
                </w:p>
              </w:tc>
              <w:tc>
                <w:tcPr>
                  <w:tcW w:w="234" w:type="pct"/>
                  <w:tcBorders>
                    <w:tl2br w:val="nil"/>
                    <w:tr2bl w:val="nil"/>
                  </w:tcBorders>
                  <w:vAlign w:val="center"/>
                </w:tcPr>
                <w:p w14:paraId="7A45246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575" w:type="pct"/>
                  <w:tcBorders>
                    <w:tl2br w:val="nil"/>
                    <w:tr2bl w:val="nil"/>
                  </w:tcBorders>
                  <w:vAlign w:val="center"/>
                </w:tcPr>
                <w:p w14:paraId="0D0C0F6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隔声、减震</w:t>
                  </w:r>
                </w:p>
              </w:tc>
              <w:tc>
                <w:tcPr>
                  <w:tcW w:w="434" w:type="pct"/>
                  <w:tcBorders>
                    <w:tl2br w:val="nil"/>
                    <w:tr2bl w:val="nil"/>
                  </w:tcBorders>
                  <w:vAlign w:val="center"/>
                </w:tcPr>
                <w:p w14:paraId="62F15A4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-63</w:t>
                  </w:r>
                </w:p>
              </w:tc>
              <w:tc>
                <w:tcPr>
                  <w:tcW w:w="320" w:type="pct"/>
                  <w:tcBorders>
                    <w:tl2br w:val="nil"/>
                    <w:tr2bl w:val="nil"/>
                  </w:tcBorders>
                  <w:vAlign w:val="center"/>
                </w:tcPr>
                <w:p w14:paraId="72A318A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129</w:t>
                  </w:r>
                </w:p>
              </w:tc>
              <w:tc>
                <w:tcPr>
                  <w:tcW w:w="336" w:type="pct"/>
                  <w:tcBorders>
                    <w:tl2br w:val="nil"/>
                    <w:tr2bl w:val="nil"/>
                  </w:tcBorders>
                  <w:vAlign w:val="center"/>
                </w:tcPr>
                <w:p w14:paraId="10F64BC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684015C1">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20</w:t>
                  </w:r>
                </w:p>
              </w:tc>
              <w:tc>
                <w:tcPr>
                  <w:tcW w:w="429" w:type="pct"/>
                  <w:tcBorders>
                    <w:tl2br w:val="nil"/>
                    <w:tr2bl w:val="nil"/>
                  </w:tcBorders>
                  <w:vAlign w:val="center"/>
                </w:tcPr>
                <w:p w14:paraId="1689EFE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65</w:t>
                  </w:r>
                </w:p>
              </w:tc>
              <w:tc>
                <w:tcPr>
                  <w:tcW w:w="238" w:type="pct"/>
                  <w:tcBorders>
                    <w:tl2br w:val="nil"/>
                    <w:tr2bl w:val="nil"/>
                  </w:tcBorders>
                  <w:vAlign w:val="center"/>
                </w:tcPr>
                <w:p w14:paraId="34C82D20">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257F732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0B326E99">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61.8</w:t>
                  </w:r>
                </w:p>
              </w:tc>
              <w:tc>
                <w:tcPr>
                  <w:tcW w:w="246" w:type="pct"/>
                  <w:tcBorders>
                    <w:tl2br w:val="nil"/>
                    <w:tr2bl w:val="nil"/>
                  </w:tcBorders>
                  <w:vAlign w:val="center"/>
                </w:tcPr>
                <w:p w14:paraId="1B4907D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5295E0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continue"/>
                  <w:tcBorders>
                    <w:tl2br w:val="nil"/>
                    <w:tr2bl w:val="nil"/>
                  </w:tcBorders>
                  <w:vAlign w:val="center"/>
                </w:tcPr>
                <w:p w14:paraId="6DD80E1F">
                  <w:pPr>
                    <w:jc w:val="center"/>
                    <w:rPr>
                      <w:rFonts w:hint="default" w:ascii="Times New Roman" w:hAnsi="Times New Roman" w:cs="Times New Roman"/>
                      <w:color w:val="auto"/>
                      <w:sz w:val="18"/>
                      <w:szCs w:val="18"/>
                    </w:rPr>
                  </w:pPr>
                </w:p>
              </w:tc>
              <w:tc>
                <w:tcPr>
                  <w:tcW w:w="356" w:type="pct"/>
                  <w:tcBorders>
                    <w:tl2br w:val="nil"/>
                    <w:tr2bl w:val="nil"/>
                  </w:tcBorders>
                  <w:vAlign w:val="center"/>
                </w:tcPr>
                <w:p w14:paraId="18A60C5E">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活套</w:t>
                  </w:r>
                </w:p>
              </w:tc>
              <w:tc>
                <w:tcPr>
                  <w:tcW w:w="340" w:type="pct"/>
                  <w:tcBorders>
                    <w:tl2br w:val="nil"/>
                    <w:tr2bl w:val="nil"/>
                  </w:tcBorders>
                  <w:vAlign w:val="center"/>
                </w:tcPr>
                <w:p w14:paraId="039CA81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234" w:type="pct"/>
                  <w:tcBorders>
                    <w:tl2br w:val="nil"/>
                    <w:tr2bl w:val="nil"/>
                  </w:tcBorders>
                  <w:vAlign w:val="center"/>
                </w:tcPr>
                <w:p w14:paraId="690BFB6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575" w:type="pct"/>
                  <w:tcBorders>
                    <w:tl2br w:val="nil"/>
                    <w:tr2bl w:val="nil"/>
                  </w:tcBorders>
                  <w:vAlign w:val="center"/>
                </w:tcPr>
                <w:p w14:paraId="37499A9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隔声、减震</w:t>
                  </w:r>
                </w:p>
              </w:tc>
              <w:tc>
                <w:tcPr>
                  <w:tcW w:w="434" w:type="pct"/>
                  <w:tcBorders>
                    <w:tl2br w:val="nil"/>
                    <w:tr2bl w:val="nil"/>
                  </w:tcBorders>
                  <w:vAlign w:val="center"/>
                </w:tcPr>
                <w:p w14:paraId="4F30AFA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-62</w:t>
                  </w:r>
                </w:p>
              </w:tc>
              <w:tc>
                <w:tcPr>
                  <w:tcW w:w="320" w:type="pct"/>
                  <w:tcBorders>
                    <w:tl2br w:val="nil"/>
                    <w:tr2bl w:val="nil"/>
                  </w:tcBorders>
                  <w:vAlign w:val="center"/>
                </w:tcPr>
                <w:p w14:paraId="26D2B12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140</w:t>
                  </w:r>
                </w:p>
              </w:tc>
              <w:tc>
                <w:tcPr>
                  <w:tcW w:w="336" w:type="pct"/>
                  <w:tcBorders>
                    <w:tl2br w:val="nil"/>
                    <w:tr2bl w:val="nil"/>
                  </w:tcBorders>
                  <w:vAlign w:val="center"/>
                </w:tcPr>
                <w:p w14:paraId="619B039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06E3A1FD">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429" w:type="pct"/>
                  <w:tcBorders>
                    <w:tl2br w:val="nil"/>
                    <w:tr2bl w:val="nil"/>
                  </w:tcBorders>
                  <w:vAlign w:val="center"/>
                </w:tcPr>
                <w:p w14:paraId="364393A1">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w:t>
                  </w:r>
                </w:p>
              </w:tc>
              <w:tc>
                <w:tcPr>
                  <w:tcW w:w="238" w:type="pct"/>
                  <w:tcBorders>
                    <w:tl2br w:val="nil"/>
                    <w:tr2bl w:val="nil"/>
                  </w:tcBorders>
                  <w:vAlign w:val="center"/>
                </w:tcPr>
                <w:p w14:paraId="3010CBD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2453440F">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65EE4D11">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61.8</w:t>
                  </w:r>
                </w:p>
              </w:tc>
              <w:tc>
                <w:tcPr>
                  <w:tcW w:w="246" w:type="pct"/>
                  <w:tcBorders>
                    <w:tl2br w:val="nil"/>
                    <w:tr2bl w:val="nil"/>
                  </w:tcBorders>
                  <w:vAlign w:val="center"/>
                </w:tcPr>
                <w:p w14:paraId="6C54C174">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39DBDF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tcBorders>
                    <w:tl2br w:val="nil"/>
                    <w:tr2bl w:val="nil"/>
                  </w:tcBorders>
                  <w:vAlign w:val="center"/>
                </w:tcPr>
                <w:p w14:paraId="768FCE8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型钢酸洗工段</w:t>
                  </w:r>
                </w:p>
              </w:tc>
              <w:tc>
                <w:tcPr>
                  <w:tcW w:w="356" w:type="pct"/>
                  <w:tcBorders>
                    <w:tl2br w:val="nil"/>
                    <w:tr2bl w:val="nil"/>
                  </w:tcBorders>
                  <w:vAlign w:val="center"/>
                </w:tcPr>
                <w:p w14:paraId="4F1997F6">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风机</w:t>
                  </w:r>
                </w:p>
              </w:tc>
              <w:tc>
                <w:tcPr>
                  <w:tcW w:w="340" w:type="pct"/>
                  <w:tcBorders>
                    <w:tl2br w:val="nil"/>
                    <w:tr2bl w:val="nil"/>
                  </w:tcBorders>
                  <w:vAlign w:val="center"/>
                </w:tcPr>
                <w:p w14:paraId="71FA17C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w:t>
                  </w:r>
                </w:p>
              </w:tc>
              <w:tc>
                <w:tcPr>
                  <w:tcW w:w="234" w:type="pct"/>
                  <w:tcBorders>
                    <w:tl2br w:val="nil"/>
                    <w:tr2bl w:val="nil"/>
                  </w:tcBorders>
                  <w:vAlign w:val="center"/>
                </w:tcPr>
                <w:p w14:paraId="37FD837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575" w:type="pct"/>
                  <w:tcBorders>
                    <w:tl2br w:val="nil"/>
                    <w:tr2bl w:val="nil"/>
                  </w:tcBorders>
                  <w:vAlign w:val="center"/>
                </w:tcPr>
                <w:p w14:paraId="294132A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隔声、减震、消声器</w:t>
                  </w:r>
                </w:p>
              </w:tc>
              <w:tc>
                <w:tcPr>
                  <w:tcW w:w="434" w:type="pct"/>
                  <w:tcBorders>
                    <w:tl2br w:val="nil"/>
                    <w:tr2bl w:val="nil"/>
                  </w:tcBorders>
                  <w:vAlign w:val="center"/>
                </w:tcPr>
                <w:p w14:paraId="440455C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w:t>
                  </w:r>
                </w:p>
              </w:tc>
              <w:tc>
                <w:tcPr>
                  <w:tcW w:w="320" w:type="pct"/>
                  <w:tcBorders>
                    <w:tl2br w:val="nil"/>
                    <w:tr2bl w:val="nil"/>
                  </w:tcBorders>
                  <w:vAlign w:val="center"/>
                </w:tcPr>
                <w:p w14:paraId="49396AD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138</w:t>
                  </w:r>
                </w:p>
              </w:tc>
              <w:tc>
                <w:tcPr>
                  <w:tcW w:w="336" w:type="pct"/>
                  <w:tcBorders>
                    <w:tl2br w:val="nil"/>
                    <w:tr2bl w:val="nil"/>
                  </w:tcBorders>
                  <w:vAlign w:val="center"/>
                </w:tcPr>
                <w:p w14:paraId="36CF4DF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424EBC8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429" w:type="pct"/>
                  <w:tcBorders>
                    <w:tl2br w:val="nil"/>
                    <w:tr2bl w:val="nil"/>
                  </w:tcBorders>
                  <w:vAlign w:val="center"/>
                </w:tcPr>
                <w:p w14:paraId="12F4045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w:t>
                  </w:r>
                </w:p>
              </w:tc>
              <w:tc>
                <w:tcPr>
                  <w:tcW w:w="238" w:type="pct"/>
                  <w:tcBorders>
                    <w:tl2br w:val="nil"/>
                    <w:tr2bl w:val="nil"/>
                  </w:tcBorders>
                  <w:vAlign w:val="center"/>
                </w:tcPr>
                <w:p w14:paraId="4CE0AB4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19BA5C41">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4E5B01D7">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68.8</w:t>
                  </w:r>
                </w:p>
              </w:tc>
              <w:tc>
                <w:tcPr>
                  <w:tcW w:w="246" w:type="pct"/>
                  <w:tcBorders>
                    <w:tl2br w:val="nil"/>
                    <w:tr2bl w:val="nil"/>
                  </w:tcBorders>
                  <w:vAlign w:val="center"/>
                </w:tcPr>
                <w:p w14:paraId="38511919">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6DC04B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restart"/>
                  <w:tcBorders>
                    <w:tl2br w:val="nil"/>
                    <w:tr2bl w:val="nil"/>
                  </w:tcBorders>
                  <w:vAlign w:val="center"/>
                </w:tcPr>
                <w:p w14:paraId="26053A2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型钢镀锌工段</w:t>
                  </w:r>
                </w:p>
              </w:tc>
              <w:tc>
                <w:tcPr>
                  <w:tcW w:w="356" w:type="pct"/>
                  <w:tcBorders>
                    <w:tl2br w:val="nil"/>
                    <w:tr2bl w:val="nil"/>
                  </w:tcBorders>
                  <w:vAlign w:val="center"/>
                </w:tcPr>
                <w:p w14:paraId="18795A5D">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加热炉风机</w:t>
                  </w:r>
                </w:p>
              </w:tc>
              <w:tc>
                <w:tcPr>
                  <w:tcW w:w="340" w:type="pct"/>
                  <w:tcBorders>
                    <w:tl2br w:val="nil"/>
                    <w:tr2bl w:val="nil"/>
                  </w:tcBorders>
                  <w:vAlign w:val="center"/>
                </w:tcPr>
                <w:p w14:paraId="6CA9AAC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w:t>
                  </w:r>
                </w:p>
              </w:tc>
              <w:tc>
                <w:tcPr>
                  <w:tcW w:w="234" w:type="pct"/>
                  <w:tcBorders>
                    <w:tl2br w:val="nil"/>
                    <w:tr2bl w:val="nil"/>
                  </w:tcBorders>
                  <w:vAlign w:val="center"/>
                </w:tcPr>
                <w:p w14:paraId="00D4601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575" w:type="pct"/>
                  <w:tcBorders>
                    <w:tl2br w:val="nil"/>
                    <w:tr2bl w:val="nil"/>
                  </w:tcBorders>
                  <w:vAlign w:val="center"/>
                </w:tcPr>
                <w:p w14:paraId="6422584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隔声、减震、消声器</w:t>
                  </w:r>
                </w:p>
              </w:tc>
              <w:tc>
                <w:tcPr>
                  <w:tcW w:w="434" w:type="pct"/>
                  <w:tcBorders>
                    <w:tl2br w:val="nil"/>
                    <w:tr2bl w:val="nil"/>
                  </w:tcBorders>
                  <w:vAlign w:val="center"/>
                </w:tcPr>
                <w:p w14:paraId="1313A7B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84</w:t>
                  </w:r>
                </w:p>
              </w:tc>
              <w:tc>
                <w:tcPr>
                  <w:tcW w:w="320" w:type="pct"/>
                  <w:tcBorders>
                    <w:tl2br w:val="nil"/>
                    <w:tr2bl w:val="nil"/>
                  </w:tcBorders>
                  <w:vAlign w:val="center"/>
                </w:tcPr>
                <w:p w14:paraId="7D70AEC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146</w:t>
                  </w:r>
                </w:p>
              </w:tc>
              <w:tc>
                <w:tcPr>
                  <w:tcW w:w="336" w:type="pct"/>
                  <w:tcBorders>
                    <w:tl2br w:val="nil"/>
                    <w:tr2bl w:val="nil"/>
                  </w:tcBorders>
                  <w:vAlign w:val="center"/>
                </w:tcPr>
                <w:p w14:paraId="69C0765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619B932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429" w:type="pct"/>
                  <w:tcBorders>
                    <w:tl2br w:val="nil"/>
                    <w:tr2bl w:val="nil"/>
                  </w:tcBorders>
                  <w:vAlign w:val="center"/>
                </w:tcPr>
                <w:p w14:paraId="55D8F2A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w:t>
                  </w:r>
                </w:p>
              </w:tc>
              <w:tc>
                <w:tcPr>
                  <w:tcW w:w="238" w:type="pct"/>
                  <w:tcBorders>
                    <w:tl2br w:val="nil"/>
                    <w:tr2bl w:val="nil"/>
                  </w:tcBorders>
                  <w:vAlign w:val="center"/>
                </w:tcPr>
                <w:p w14:paraId="1E8DF8D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5EA83A3E">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4E7AE2C6">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61.8</w:t>
                  </w:r>
                </w:p>
              </w:tc>
              <w:tc>
                <w:tcPr>
                  <w:tcW w:w="246" w:type="pct"/>
                  <w:tcBorders>
                    <w:tl2br w:val="nil"/>
                    <w:tr2bl w:val="nil"/>
                  </w:tcBorders>
                  <w:vAlign w:val="center"/>
                </w:tcPr>
                <w:p w14:paraId="41BA5996">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22F23E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continue"/>
                  <w:tcBorders>
                    <w:tl2br w:val="nil"/>
                    <w:tr2bl w:val="nil"/>
                  </w:tcBorders>
                  <w:vAlign w:val="center"/>
                </w:tcPr>
                <w:p w14:paraId="433DF2D5">
                  <w:pPr>
                    <w:jc w:val="center"/>
                    <w:rPr>
                      <w:rFonts w:hint="default" w:ascii="Times New Roman" w:hAnsi="Times New Roman" w:cs="Times New Roman"/>
                      <w:color w:val="auto"/>
                      <w:sz w:val="18"/>
                      <w:szCs w:val="18"/>
                    </w:rPr>
                  </w:pPr>
                </w:p>
              </w:tc>
              <w:tc>
                <w:tcPr>
                  <w:tcW w:w="356" w:type="pct"/>
                  <w:tcBorders>
                    <w:tl2br w:val="nil"/>
                    <w:tr2bl w:val="nil"/>
                  </w:tcBorders>
                  <w:vAlign w:val="center"/>
                </w:tcPr>
                <w:p w14:paraId="08393316">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烘干风机</w:t>
                  </w:r>
                </w:p>
              </w:tc>
              <w:tc>
                <w:tcPr>
                  <w:tcW w:w="340" w:type="pct"/>
                  <w:tcBorders>
                    <w:tl2br w:val="nil"/>
                    <w:tr2bl w:val="nil"/>
                  </w:tcBorders>
                  <w:vAlign w:val="center"/>
                </w:tcPr>
                <w:p w14:paraId="4856B1E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w:t>
                  </w:r>
                </w:p>
              </w:tc>
              <w:tc>
                <w:tcPr>
                  <w:tcW w:w="234" w:type="pct"/>
                  <w:tcBorders>
                    <w:tl2br w:val="nil"/>
                    <w:tr2bl w:val="nil"/>
                  </w:tcBorders>
                  <w:vAlign w:val="center"/>
                </w:tcPr>
                <w:p w14:paraId="1F80630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575" w:type="pct"/>
                  <w:tcBorders>
                    <w:tl2br w:val="nil"/>
                    <w:tr2bl w:val="nil"/>
                  </w:tcBorders>
                  <w:vAlign w:val="center"/>
                </w:tcPr>
                <w:p w14:paraId="2A87349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隔声、减震、消声器</w:t>
                  </w:r>
                </w:p>
              </w:tc>
              <w:tc>
                <w:tcPr>
                  <w:tcW w:w="434" w:type="pct"/>
                  <w:tcBorders>
                    <w:tl2br w:val="nil"/>
                    <w:tr2bl w:val="nil"/>
                  </w:tcBorders>
                  <w:vAlign w:val="center"/>
                </w:tcPr>
                <w:p w14:paraId="5BDF7DC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320" w:type="pct"/>
                  <w:tcBorders>
                    <w:tl2br w:val="nil"/>
                    <w:tr2bl w:val="nil"/>
                  </w:tcBorders>
                  <w:vAlign w:val="center"/>
                </w:tcPr>
                <w:p w14:paraId="1D7B731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74</w:t>
                  </w:r>
                </w:p>
              </w:tc>
              <w:tc>
                <w:tcPr>
                  <w:tcW w:w="336" w:type="pct"/>
                  <w:tcBorders>
                    <w:tl2br w:val="nil"/>
                    <w:tr2bl w:val="nil"/>
                  </w:tcBorders>
                  <w:vAlign w:val="center"/>
                </w:tcPr>
                <w:p w14:paraId="3FD1D14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11686E7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429" w:type="pct"/>
                  <w:tcBorders>
                    <w:tl2br w:val="nil"/>
                    <w:tr2bl w:val="nil"/>
                  </w:tcBorders>
                  <w:vAlign w:val="center"/>
                </w:tcPr>
                <w:p w14:paraId="3D1533E7">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w:t>
                  </w:r>
                </w:p>
              </w:tc>
              <w:tc>
                <w:tcPr>
                  <w:tcW w:w="238" w:type="pct"/>
                  <w:tcBorders>
                    <w:tl2br w:val="nil"/>
                    <w:tr2bl w:val="nil"/>
                  </w:tcBorders>
                  <w:vAlign w:val="center"/>
                </w:tcPr>
                <w:p w14:paraId="6D9C1B88">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3F874E3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3889E5A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61.8</w:t>
                  </w:r>
                </w:p>
              </w:tc>
              <w:tc>
                <w:tcPr>
                  <w:tcW w:w="246" w:type="pct"/>
                  <w:tcBorders>
                    <w:tl2br w:val="nil"/>
                    <w:tr2bl w:val="nil"/>
                  </w:tcBorders>
                  <w:vAlign w:val="center"/>
                </w:tcPr>
                <w:p w14:paraId="3C0571F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55CA63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continue"/>
                  <w:tcBorders>
                    <w:tl2br w:val="nil"/>
                    <w:tr2bl w:val="nil"/>
                  </w:tcBorders>
                  <w:vAlign w:val="center"/>
                </w:tcPr>
                <w:p w14:paraId="08FF3BDC">
                  <w:pPr>
                    <w:jc w:val="center"/>
                    <w:rPr>
                      <w:rFonts w:hint="default" w:ascii="Times New Roman" w:hAnsi="Times New Roman" w:cs="Times New Roman"/>
                      <w:color w:val="auto"/>
                      <w:sz w:val="18"/>
                      <w:szCs w:val="18"/>
                    </w:rPr>
                  </w:pPr>
                </w:p>
              </w:tc>
              <w:tc>
                <w:tcPr>
                  <w:tcW w:w="356" w:type="pct"/>
                  <w:tcBorders>
                    <w:tl2br w:val="nil"/>
                    <w:tr2bl w:val="nil"/>
                  </w:tcBorders>
                  <w:vAlign w:val="center"/>
                </w:tcPr>
                <w:p w14:paraId="06DFEED1">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余热系统风机</w:t>
                  </w:r>
                </w:p>
              </w:tc>
              <w:tc>
                <w:tcPr>
                  <w:tcW w:w="340" w:type="pct"/>
                  <w:tcBorders>
                    <w:tl2br w:val="nil"/>
                    <w:tr2bl w:val="nil"/>
                  </w:tcBorders>
                  <w:vAlign w:val="center"/>
                </w:tcPr>
                <w:p w14:paraId="00A64DC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w:t>
                  </w:r>
                </w:p>
              </w:tc>
              <w:tc>
                <w:tcPr>
                  <w:tcW w:w="234" w:type="pct"/>
                  <w:tcBorders>
                    <w:tl2br w:val="nil"/>
                    <w:tr2bl w:val="nil"/>
                  </w:tcBorders>
                  <w:vAlign w:val="center"/>
                </w:tcPr>
                <w:p w14:paraId="6A4035F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575" w:type="pct"/>
                  <w:tcBorders>
                    <w:tl2br w:val="nil"/>
                    <w:tr2bl w:val="nil"/>
                  </w:tcBorders>
                  <w:vAlign w:val="center"/>
                </w:tcPr>
                <w:p w14:paraId="718EFD5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隔声、减震、消声器</w:t>
                  </w:r>
                </w:p>
              </w:tc>
              <w:tc>
                <w:tcPr>
                  <w:tcW w:w="434" w:type="pct"/>
                  <w:tcBorders>
                    <w:tl2br w:val="nil"/>
                    <w:tr2bl w:val="nil"/>
                  </w:tcBorders>
                  <w:vAlign w:val="center"/>
                </w:tcPr>
                <w:p w14:paraId="782B295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-87</w:t>
                  </w:r>
                </w:p>
              </w:tc>
              <w:tc>
                <w:tcPr>
                  <w:tcW w:w="320" w:type="pct"/>
                  <w:tcBorders>
                    <w:tl2br w:val="nil"/>
                    <w:tr2bl w:val="nil"/>
                  </w:tcBorders>
                  <w:vAlign w:val="center"/>
                </w:tcPr>
                <w:p w14:paraId="3FD8B06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107</w:t>
                  </w:r>
                </w:p>
              </w:tc>
              <w:tc>
                <w:tcPr>
                  <w:tcW w:w="336" w:type="pct"/>
                  <w:tcBorders>
                    <w:tl2br w:val="nil"/>
                    <w:tr2bl w:val="nil"/>
                  </w:tcBorders>
                  <w:vAlign w:val="center"/>
                </w:tcPr>
                <w:p w14:paraId="2692C86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68EDFC09">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429" w:type="pct"/>
                  <w:tcBorders>
                    <w:tl2br w:val="nil"/>
                    <w:tr2bl w:val="nil"/>
                  </w:tcBorders>
                  <w:vAlign w:val="center"/>
                </w:tcPr>
                <w:p w14:paraId="7C86236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w:t>
                  </w:r>
                </w:p>
              </w:tc>
              <w:tc>
                <w:tcPr>
                  <w:tcW w:w="238" w:type="pct"/>
                  <w:tcBorders>
                    <w:tl2br w:val="nil"/>
                    <w:tr2bl w:val="nil"/>
                  </w:tcBorders>
                  <w:vAlign w:val="center"/>
                </w:tcPr>
                <w:p w14:paraId="0F525240">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66E7BC4B">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60921AAB">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56.8</w:t>
                  </w:r>
                </w:p>
              </w:tc>
              <w:tc>
                <w:tcPr>
                  <w:tcW w:w="246" w:type="pct"/>
                  <w:tcBorders>
                    <w:tl2br w:val="nil"/>
                    <w:tr2bl w:val="nil"/>
                  </w:tcBorders>
                  <w:vAlign w:val="center"/>
                </w:tcPr>
                <w:p w14:paraId="4CDEEFE7">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7D7A01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restart"/>
                  <w:tcBorders>
                    <w:tl2br w:val="nil"/>
                    <w:tr2bl w:val="nil"/>
                  </w:tcBorders>
                  <w:vAlign w:val="center"/>
                </w:tcPr>
                <w:p w14:paraId="1DC27CA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公用工程</w:t>
                  </w:r>
                </w:p>
              </w:tc>
              <w:tc>
                <w:tcPr>
                  <w:tcW w:w="356" w:type="pct"/>
                  <w:tcBorders>
                    <w:tl2br w:val="nil"/>
                    <w:tr2bl w:val="nil"/>
                  </w:tcBorders>
                  <w:vAlign w:val="center"/>
                </w:tcPr>
                <w:p w14:paraId="02B5179F">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空压机</w:t>
                  </w:r>
                </w:p>
              </w:tc>
              <w:tc>
                <w:tcPr>
                  <w:tcW w:w="340" w:type="pct"/>
                  <w:tcBorders>
                    <w:tl2br w:val="nil"/>
                    <w:tr2bl w:val="nil"/>
                  </w:tcBorders>
                  <w:vAlign w:val="center"/>
                </w:tcPr>
                <w:p w14:paraId="0F651E5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w:t>
                  </w:r>
                </w:p>
              </w:tc>
              <w:tc>
                <w:tcPr>
                  <w:tcW w:w="234" w:type="pct"/>
                  <w:tcBorders>
                    <w:tl2br w:val="nil"/>
                    <w:tr2bl w:val="nil"/>
                  </w:tcBorders>
                  <w:vAlign w:val="center"/>
                </w:tcPr>
                <w:p w14:paraId="0407150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575" w:type="pct"/>
                  <w:tcBorders>
                    <w:tl2br w:val="nil"/>
                    <w:tr2bl w:val="nil"/>
                  </w:tcBorders>
                  <w:vAlign w:val="center"/>
                </w:tcPr>
                <w:p w14:paraId="64D4614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隔声、减震、消声器</w:t>
                  </w:r>
                </w:p>
              </w:tc>
              <w:tc>
                <w:tcPr>
                  <w:tcW w:w="434" w:type="pct"/>
                  <w:tcBorders>
                    <w:tl2br w:val="nil"/>
                    <w:tr2bl w:val="nil"/>
                  </w:tcBorders>
                  <w:vAlign w:val="center"/>
                </w:tcPr>
                <w:p w14:paraId="1F19C9E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-97</w:t>
                  </w:r>
                </w:p>
              </w:tc>
              <w:tc>
                <w:tcPr>
                  <w:tcW w:w="320" w:type="pct"/>
                  <w:tcBorders>
                    <w:tl2br w:val="nil"/>
                    <w:tr2bl w:val="nil"/>
                  </w:tcBorders>
                  <w:vAlign w:val="center"/>
                </w:tcPr>
                <w:p w14:paraId="1B0D6CA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124</w:t>
                  </w:r>
                </w:p>
              </w:tc>
              <w:tc>
                <w:tcPr>
                  <w:tcW w:w="336" w:type="pct"/>
                  <w:tcBorders>
                    <w:tl2br w:val="nil"/>
                    <w:tr2bl w:val="nil"/>
                  </w:tcBorders>
                  <w:vAlign w:val="center"/>
                </w:tcPr>
                <w:p w14:paraId="4EFA807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1EFCD8C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20</w:t>
                  </w:r>
                </w:p>
              </w:tc>
              <w:tc>
                <w:tcPr>
                  <w:tcW w:w="429" w:type="pct"/>
                  <w:tcBorders>
                    <w:tl2br w:val="nil"/>
                    <w:tr2bl w:val="nil"/>
                  </w:tcBorders>
                  <w:vAlign w:val="center"/>
                </w:tcPr>
                <w:p w14:paraId="3513A44B">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85</w:t>
                  </w:r>
                </w:p>
              </w:tc>
              <w:tc>
                <w:tcPr>
                  <w:tcW w:w="238" w:type="pct"/>
                  <w:tcBorders>
                    <w:tl2br w:val="nil"/>
                    <w:tr2bl w:val="nil"/>
                  </w:tcBorders>
                  <w:vAlign w:val="center"/>
                </w:tcPr>
                <w:p w14:paraId="5E6DE2CB">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0C3BE4A5">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66CB47C3">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56.8</w:t>
                  </w:r>
                </w:p>
              </w:tc>
              <w:tc>
                <w:tcPr>
                  <w:tcW w:w="246" w:type="pct"/>
                  <w:tcBorders>
                    <w:tl2br w:val="nil"/>
                    <w:tr2bl w:val="nil"/>
                  </w:tcBorders>
                  <w:vAlign w:val="center"/>
                </w:tcPr>
                <w:p w14:paraId="66BFA7A6">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52ECDB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continue"/>
                  <w:tcBorders>
                    <w:tl2br w:val="nil"/>
                    <w:tr2bl w:val="nil"/>
                  </w:tcBorders>
                  <w:vAlign w:val="center"/>
                </w:tcPr>
                <w:p w14:paraId="1DFD6590">
                  <w:pPr>
                    <w:jc w:val="center"/>
                    <w:rPr>
                      <w:rFonts w:hint="default" w:ascii="Times New Roman" w:hAnsi="Times New Roman" w:cs="Times New Roman"/>
                      <w:color w:val="auto"/>
                      <w:sz w:val="18"/>
                      <w:szCs w:val="18"/>
                    </w:rPr>
                  </w:pPr>
                </w:p>
              </w:tc>
              <w:tc>
                <w:tcPr>
                  <w:tcW w:w="356" w:type="pct"/>
                  <w:tcBorders>
                    <w:tl2br w:val="nil"/>
                    <w:tr2bl w:val="nil"/>
                  </w:tcBorders>
                  <w:vAlign w:val="center"/>
                </w:tcPr>
                <w:p w14:paraId="15E0D954">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水泵</w:t>
                  </w:r>
                </w:p>
              </w:tc>
              <w:tc>
                <w:tcPr>
                  <w:tcW w:w="340" w:type="pct"/>
                  <w:tcBorders>
                    <w:tl2br w:val="nil"/>
                    <w:tr2bl w:val="nil"/>
                  </w:tcBorders>
                  <w:vAlign w:val="center"/>
                </w:tcPr>
                <w:p w14:paraId="3CC18D2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w:t>
                  </w:r>
                </w:p>
              </w:tc>
              <w:tc>
                <w:tcPr>
                  <w:tcW w:w="234" w:type="pct"/>
                  <w:tcBorders>
                    <w:tl2br w:val="nil"/>
                    <w:tr2bl w:val="nil"/>
                  </w:tcBorders>
                  <w:vAlign w:val="center"/>
                </w:tcPr>
                <w:p w14:paraId="0D1B9F5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575" w:type="pct"/>
                  <w:tcBorders>
                    <w:tl2br w:val="nil"/>
                    <w:tr2bl w:val="nil"/>
                  </w:tcBorders>
                  <w:vAlign w:val="center"/>
                </w:tcPr>
                <w:p w14:paraId="70ADA37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减震</w:t>
                  </w:r>
                </w:p>
              </w:tc>
              <w:tc>
                <w:tcPr>
                  <w:tcW w:w="434" w:type="pct"/>
                  <w:tcBorders>
                    <w:tl2br w:val="nil"/>
                    <w:tr2bl w:val="nil"/>
                  </w:tcBorders>
                  <w:vAlign w:val="center"/>
                </w:tcPr>
                <w:p w14:paraId="0FCE63A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-96</w:t>
                  </w:r>
                </w:p>
              </w:tc>
              <w:tc>
                <w:tcPr>
                  <w:tcW w:w="320" w:type="pct"/>
                  <w:tcBorders>
                    <w:tl2br w:val="nil"/>
                    <w:tr2bl w:val="nil"/>
                  </w:tcBorders>
                  <w:vAlign w:val="center"/>
                </w:tcPr>
                <w:p w14:paraId="5ECFE85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113</w:t>
                  </w:r>
                </w:p>
              </w:tc>
              <w:tc>
                <w:tcPr>
                  <w:tcW w:w="336" w:type="pct"/>
                  <w:tcBorders>
                    <w:tl2br w:val="nil"/>
                    <w:tr2bl w:val="nil"/>
                  </w:tcBorders>
                  <w:vAlign w:val="center"/>
                </w:tcPr>
                <w:p w14:paraId="0CA52870">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31870E1E">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20</w:t>
                  </w:r>
                </w:p>
              </w:tc>
              <w:tc>
                <w:tcPr>
                  <w:tcW w:w="429" w:type="pct"/>
                  <w:tcBorders>
                    <w:tl2br w:val="nil"/>
                    <w:tr2bl w:val="nil"/>
                  </w:tcBorders>
                  <w:vAlign w:val="center"/>
                </w:tcPr>
                <w:p w14:paraId="442059DC">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75</w:t>
                  </w:r>
                </w:p>
              </w:tc>
              <w:tc>
                <w:tcPr>
                  <w:tcW w:w="238" w:type="pct"/>
                  <w:tcBorders>
                    <w:tl2br w:val="nil"/>
                    <w:tr2bl w:val="nil"/>
                  </w:tcBorders>
                  <w:vAlign w:val="center"/>
                </w:tcPr>
                <w:p w14:paraId="4E42105E">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640A168E">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06F3524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56.8</w:t>
                  </w:r>
                </w:p>
              </w:tc>
              <w:tc>
                <w:tcPr>
                  <w:tcW w:w="246" w:type="pct"/>
                  <w:tcBorders>
                    <w:tl2br w:val="nil"/>
                    <w:tr2bl w:val="nil"/>
                  </w:tcBorders>
                  <w:vAlign w:val="center"/>
                </w:tcPr>
                <w:p w14:paraId="6FD792E5">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r w14:paraId="2376F2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4" w:type="pct"/>
                  <w:vMerge w:val="continue"/>
                  <w:tcBorders>
                    <w:tl2br w:val="nil"/>
                    <w:tr2bl w:val="nil"/>
                  </w:tcBorders>
                  <w:vAlign w:val="center"/>
                </w:tcPr>
                <w:p w14:paraId="3311D816">
                  <w:pPr>
                    <w:jc w:val="center"/>
                    <w:rPr>
                      <w:rFonts w:hint="default" w:ascii="Times New Roman" w:hAnsi="Times New Roman" w:cs="Times New Roman"/>
                      <w:color w:val="auto"/>
                      <w:sz w:val="18"/>
                      <w:szCs w:val="18"/>
                    </w:rPr>
                  </w:pPr>
                </w:p>
              </w:tc>
              <w:tc>
                <w:tcPr>
                  <w:tcW w:w="356" w:type="pct"/>
                  <w:tcBorders>
                    <w:tl2br w:val="nil"/>
                    <w:tr2bl w:val="nil"/>
                  </w:tcBorders>
                  <w:vAlign w:val="center"/>
                </w:tcPr>
                <w:p w14:paraId="5F31F6E1">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冷却塔</w:t>
                  </w:r>
                </w:p>
              </w:tc>
              <w:tc>
                <w:tcPr>
                  <w:tcW w:w="340" w:type="pct"/>
                  <w:tcBorders>
                    <w:tl2br w:val="nil"/>
                    <w:tr2bl w:val="nil"/>
                  </w:tcBorders>
                  <w:vAlign w:val="center"/>
                </w:tcPr>
                <w:p w14:paraId="05463CD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95</w:t>
                  </w:r>
                </w:p>
              </w:tc>
              <w:tc>
                <w:tcPr>
                  <w:tcW w:w="234" w:type="pct"/>
                  <w:tcBorders>
                    <w:tl2br w:val="nil"/>
                    <w:tr2bl w:val="nil"/>
                  </w:tcBorders>
                  <w:vAlign w:val="center"/>
                </w:tcPr>
                <w:p w14:paraId="37FF4D9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575" w:type="pct"/>
                  <w:tcBorders>
                    <w:tl2br w:val="nil"/>
                    <w:tr2bl w:val="nil"/>
                  </w:tcBorders>
                  <w:vAlign w:val="center"/>
                </w:tcPr>
                <w:p w14:paraId="1603986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消声器</w:t>
                  </w:r>
                </w:p>
              </w:tc>
              <w:tc>
                <w:tcPr>
                  <w:tcW w:w="434" w:type="pct"/>
                  <w:tcBorders>
                    <w:tl2br w:val="nil"/>
                    <w:tr2bl w:val="nil"/>
                  </w:tcBorders>
                  <w:vAlign w:val="center"/>
                </w:tcPr>
                <w:p w14:paraId="1DC507F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-101</w:t>
                  </w:r>
                </w:p>
              </w:tc>
              <w:tc>
                <w:tcPr>
                  <w:tcW w:w="320" w:type="pct"/>
                  <w:tcBorders>
                    <w:tl2br w:val="nil"/>
                    <w:tr2bl w:val="nil"/>
                  </w:tcBorders>
                  <w:vAlign w:val="center"/>
                </w:tcPr>
                <w:p w14:paraId="0722C84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123</w:t>
                  </w:r>
                </w:p>
              </w:tc>
              <w:tc>
                <w:tcPr>
                  <w:tcW w:w="336" w:type="pct"/>
                  <w:tcBorders>
                    <w:tl2br w:val="nil"/>
                    <w:tr2bl w:val="nil"/>
                  </w:tcBorders>
                  <w:vAlign w:val="center"/>
                </w:tcPr>
                <w:p w14:paraId="2DB8E31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424" w:type="pct"/>
                  <w:tcBorders>
                    <w:tl2br w:val="nil"/>
                    <w:tr2bl w:val="nil"/>
                  </w:tcBorders>
                  <w:vAlign w:val="center"/>
                </w:tcPr>
                <w:p w14:paraId="74B224CF">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20</w:t>
                  </w:r>
                </w:p>
              </w:tc>
              <w:tc>
                <w:tcPr>
                  <w:tcW w:w="429" w:type="pct"/>
                  <w:tcBorders>
                    <w:tl2br w:val="nil"/>
                    <w:tr2bl w:val="nil"/>
                  </w:tcBorders>
                  <w:vAlign w:val="center"/>
                </w:tcPr>
                <w:p w14:paraId="3EB0607F">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85</w:t>
                  </w:r>
                </w:p>
              </w:tc>
              <w:tc>
                <w:tcPr>
                  <w:tcW w:w="238" w:type="pct"/>
                  <w:tcBorders>
                    <w:tl2br w:val="nil"/>
                    <w:tr2bl w:val="nil"/>
                  </w:tcBorders>
                  <w:vAlign w:val="center"/>
                </w:tcPr>
                <w:p w14:paraId="45DDBAF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连续</w:t>
                  </w:r>
                </w:p>
              </w:tc>
              <w:tc>
                <w:tcPr>
                  <w:tcW w:w="400" w:type="pct"/>
                  <w:tcBorders>
                    <w:tl2br w:val="nil"/>
                    <w:tr2bl w:val="nil"/>
                  </w:tcBorders>
                  <w:vAlign w:val="center"/>
                </w:tcPr>
                <w:p w14:paraId="48527A7B">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15</w:t>
                  </w:r>
                </w:p>
              </w:tc>
              <w:tc>
                <w:tcPr>
                  <w:tcW w:w="430" w:type="pct"/>
                  <w:tcBorders>
                    <w:tl2br w:val="nil"/>
                    <w:tr2bl w:val="nil"/>
                  </w:tcBorders>
                  <w:vAlign w:val="center"/>
                </w:tcPr>
                <w:p w14:paraId="589EB51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sz w:val="18"/>
                      <w:szCs w:val="18"/>
                    </w:rPr>
                    <w:t>56.8</w:t>
                  </w:r>
                </w:p>
              </w:tc>
              <w:tc>
                <w:tcPr>
                  <w:tcW w:w="246" w:type="pct"/>
                  <w:tcBorders>
                    <w:tl2br w:val="nil"/>
                    <w:tr2bl w:val="nil"/>
                  </w:tcBorders>
                  <w:vAlign w:val="center"/>
                </w:tcPr>
                <w:p w14:paraId="530541FF">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r>
          </w:tbl>
          <w:p w14:paraId="7D3290C9">
            <w:pPr>
              <w:tabs>
                <w:tab w:val="left" w:pos="2395"/>
              </w:tabs>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（4）预测结果</w:t>
            </w:r>
          </w:p>
          <w:p w14:paraId="17E97751">
            <w:pPr>
              <w:tabs>
                <w:tab w:val="left" w:pos="2395"/>
              </w:tabs>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预测结果见下表：</w:t>
            </w:r>
          </w:p>
          <w:p w14:paraId="19D4E334">
            <w:pPr>
              <w:tabs>
                <w:tab w:val="left" w:pos="2395"/>
              </w:tabs>
              <w:spacing w:line="360" w:lineRule="auto"/>
              <w:ind w:firstLine="480"/>
              <w:rPr>
                <w:rFonts w:hint="default" w:ascii="Times New Roman" w:hAnsi="Times New Roman" w:cs="Times New Roman"/>
                <w:color w:val="auto"/>
                <w:sz w:val="24"/>
              </w:rPr>
            </w:pPr>
          </w:p>
          <w:p w14:paraId="07DCFA4B">
            <w:pPr>
              <w:tabs>
                <w:tab w:val="left" w:pos="2395"/>
              </w:tabs>
              <w:spacing w:line="360" w:lineRule="auto"/>
              <w:ind w:firstLine="480"/>
              <w:rPr>
                <w:rFonts w:hint="default" w:ascii="Times New Roman" w:hAnsi="Times New Roman" w:cs="Times New Roman"/>
                <w:color w:val="auto"/>
                <w:sz w:val="24"/>
              </w:rPr>
            </w:pPr>
          </w:p>
          <w:p w14:paraId="7293217C">
            <w:pPr>
              <w:pStyle w:val="111"/>
              <w:spacing w:line="36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表4-10     厂界噪声预测结果    单位：dB(A)</w:t>
            </w:r>
          </w:p>
          <w:tbl>
            <w:tblPr>
              <w:tblStyle w:val="35"/>
              <w:tblW w:w="4992" w:type="pct"/>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70"/>
              <w:gridCol w:w="601"/>
              <w:gridCol w:w="850"/>
              <w:gridCol w:w="565"/>
              <w:gridCol w:w="622"/>
              <w:gridCol w:w="1044"/>
              <w:gridCol w:w="751"/>
              <w:gridCol w:w="614"/>
              <w:gridCol w:w="1045"/>
              <w:gridCol w:w="772"/>
              <w:gridCol w:w="593"/>
            </w:tblGrid>
            <w:tr w14:paraId="228FF42D">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68" w:type="pct"/>
                  <w:vMerge w:val="restart"/>
                  <w:tcBorders>
                    <w:tl2br w:val="nil"/>
                    <w:tr2bl w:val="nil"/>
                  </w:tcBorders>
                  <w:vAlign w:val="center"/>
                </w:tcPr>
                <w:p w14:paraId="117881B1">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厂界方位</w:t>
                  </w:r>
                </w:p>
              </w:tc>
              <w:tc>
                <w:tcPr>
                  <w:tcW w:w="365" w:type="pct"/>
                  <w:vMerge w:val="restart"/>
                  <w:tcBorders>
                    <w:tl2br w:val="nil"/>
                    <w:tr2bl w:val="nil"/>
                  </w:tcBorders>
                  <w:vAlign w:val="center"/>
                </w:tcPr>
                <w:p w14:paraId="57142FA7">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编号</w:t>
                  </w:r>
                </w:p>
              </w:tc>
              <w:tc>
                <w:tcPr>
                  <w:tcW w:w="516" w:type="pct"/>
                  <w:vMerge w:val="restart"/>
                  <w:tcBorders>
                    <w:tl2br w:val="nil"/>
                    <w:tr2bl w:val="nil"/>
                  </w:tcBorders>
                  <w:vAlign w:val="center"/>
                </w:tcPr>
                <w:p w14:paraId="3C74F707">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噪声源贡献值</w:t>
                  </w:r>
                </w:p>
              </w:tc>
              <w:tc>
                <w:tcPr>
                  <w:tcW w:w="721" w:type="pct"/>
                  <w:gridSpan w:val="2"/>
                  <w:tcBorders>
                    <w:tl2br w:val="nil"/>
                    <w:tr2bl w:val="nil"/>
                  </w:tcBorders>
                  <w:vAlign w:val="center"/>
                </w:tcPr>
                <w:p w14:paraId="6E35ADD1">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背景值</w:t>
                  </w:r>
                </w:p>
              </w:tc>
              <w:tc>
                <w:tcPr>
                  <w:tcW w:w="1463" w:type="pct"/>
                  <w:gridSpan w:val="3"/>
                  <w:tcBorders>
                    <w:tl2br w:val="nil"/>
                    <w:tr2bl w:val="nil"/>
                  </w:tcBorders>
                  <w:vAlign w:val="center"/>
                </w:tcPr>
                <w:p w14:paraId="1C5A28CF">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昼间</w:t>
                  </w:r>
                </w:p>
              </w:tc>
              <w:tc>
                <w:tcPr>
                  <w:tcW w:w="1464" w:type="pct"/>
                  <w:gridSpan w:val="3"/>
                  <w:tcBorders>
                    <w:tl2br w:val="nil"/>
                    <w:tr2bl w:val="nil"/>
                  </w:tcBorders>
                  <w:vAlign w:val="center"/>
                </w:tcPr>
                <w:p w14:paraId="49DC46AB">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夜间</w:t>
                  </w:r>
                </w:p>
              </w:tc>
            </w:tr>
            <w:tr w14:paraId="2FCF4BF9">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68" w:type="pct"/>
                  <w:vMerge w:val="continue"/>
                  <w:tcBorders>
                    <w:tl2br w:val="nil"/>
                    <w:tr2bl w:val="nil"/>
                  </w:tcBorders>
                  <w:vAlign w:val="center"/>
                </w:tcPr>
                <w:p w14:paraId="079724F6">
                  <w:pPr>
                    <w:widowControl/>
                    <w:jc w:val="center"/>
                    <w:textAlignment w:val="center"/>
                    <w:rPr>
                      <w:rFonts w:hint="default" w:ascii="Times New Roman" w:hAnsi="Times New Roman" w:cs="Times New Roman"/>
                      <w:color w:val="auto"/>
                      <w:kern w:val="0"/>
                      <w:sz w:val="18"/>
                      <w:szCs w:val="18"/>
                      <w:lang w:bidi="ar"/>
                    </w:rPr>
                  </w:pPr>
                </w:p>
              </w:tc>
              <w:tc>
                <w:tcPr>
                  <w:tcW w:w="365" w:type="pct"/>
                  <w:vMerge w:val="continue"/>
                  <w:tcBorders>
                    <w:tl2br w:val="nil"/>
                    <w:tr2bl w:val="nil"/>
                  </w:tcBorders>
                  <w:vAlign w:val="center"/>
                </w:tcPr>
                <w:p w14:paraId="4C71B733">
                  <w:pPr>
                    <w:widowControl/>
                    <w:jc w:val="center"/>
                    <w:textAlignment w:val="center"/>
                    <w:rPr>
                      <w:rFonts w:hint="default" w:ascii="Times New Roman" w:hAnsi="Times New Roman" w:cs="Times New Roman"/>
                      <w:color w:val="auto"/>
                      <w:kern w:val="0"/>
                      <w:sz w:val="18"/>
                      <w:szCs w:val="18"/>
                      <w:lang w:bidi="ar"/>
                    </w:rPr>
                  </w:pPr>
                </w:p>
              </w:tc>
              <w:tc>
                <w:tcPr>
                  <w:tcW w:w="516" w:type="pct"/>
                  <w:vMerge w:val="continue"/>
                  <w:tcBorders>
                    <w:tl2br w:val="nil"/>
                    <w:tr2bl w:val="nil"/>
                  </w:tcBorders>
                  <w:vAlign w:val="center"/>
                </w:tcPr>
                <w:p w14:paraId="418E0475">
                  <w:pPr>
                    <w:widowControl/>
                    <w:jc w:val="center"/>
                    <w:textAlignment w:val="center"/>
                    <w:rPr>
                      <w:rFonts w:hint="default" w:ascii="Times New Roman" w:hAnsi="Times New Roman" w:cs="Times New Roman"/>
                      <w:color w:val="auto"/>
                      <w:kern w:val="0"/>
                      <w:sz w:val="18"/>
                      <w:szCs w:val="18"/>
                      <w:lang w:bidi="ar"/>
                    </w:rPr>
                  </w:pPr>
                </w:p>
              </w:tc>
              <w:tc>
                <w:tcPr>
                  <w:tcW w:w="343" w:type="pct"/>
                  <w:tcBorders>
                    <w:tl2br w:val="nil"/>
                    <w:tr2bl w:val="nil"/>
                  </w:tcBorders>
                  <w:vAlign w:val="center"/>
                </w:tcPr>
                <w:p w14:paraId="004DC9AF">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昼间</w:t>
                  </w:r>
                </w:p>
              </w:tc>
              <w:tc>
                <w:tcPr>
                  <w:tcW w:w="378" w:type="pct"/>
                  <w:tcBorders>
                    <w:tl2br w:val="nil"/>
                    <w:tr2bl w:val="nil"/>
                  </w:tcBorders>
                  <w:vAlign w:val="center"/>
                </w:tcPr>
                <w:p w14:paraId="433EF57F">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夜间</w:t>
                  </w:r>
                </w:p>
              </w:tc>
              <w:tc>
                <w:tcPr>
                  <w:tcW w:w="634" w:type="pct"/>
                  <w:tcBorders>
                    <w:tl2br w:val="nil"/>
                    <w:tr2bl w:val="nil"/>
                  </w:tcBorders>
                  <w:vAlign w:val="center"/>
                </w:tcPr>
                <w:p w14:paraId="615CE87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叠加背景后预测值</w:t>
                  </w:r>
                </w:p>
              </w:tc>
              <w:tc>
                <w:tcPr>
                  <w:tcW w:w="456" w:type="pct"/>
                  <w:tcBorders>
                    <w:tl2br w:val="nil"/>
                    <w:tr2bl w:val="nil"/>
                  </w:tcBorders>
                  <w:vAlign w:val="center"/>
                </w:tcPr>
                <w:p w14:paraId="444E4770">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标准值</w:t>
                  </w:r>
                </w:p>
              </w:tc>
              <w:tc>
                <w:tcPr>
                  <w:tcW w:w="373" w:type="pct"/>
                  <w:tcBorders>
                    <w:tl2br w:val="nil"/>
                    <w:tr2bl w:val="nil"/>
                  </w:tcBorders>
                  <w:vAlign w:val="center"/>
                </w:tcPr>
                <w:p w14:paraId="0A176E5B">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达标情况</w:t>
                  </w:r>
                </w:p>
              </w:tc>
              <w:tc>
                <w:tcPr>
                  <w:tcW w:w="635" w:type="pct"/>
                  <w:tcBorders>
                    <w:tl2br w:val="nil"/>
                    <w:tr2bl w:val="nil"/>
                  </w:tcBorders>
                  <w:vAlign w:val="center"/>
                </w:tcPr>
                <w:p w14:paraId="3FF1444B">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叠加背景后预测值</w:t>
                  </w:r>
                </w:p>
              </w:tc>
              <w:tc>
                <w:tcPr>
                  <w:tcW w:w="469" w:type="pct"/>
                  <w:tcBorders>
                    <w:tl2br w:val="nil"/>
                    <w:tr2bl w:val="nil"/>
                  </w:tcBorders>
                  <w:vAlign w:val="center"/>
                </w:tcPr>
                <w:p w14:paraId="25D5C3AB">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标准值</w:t>
                  </w:r>
                </w:p>
              </w:tc>
              <w:tc>
                <w:tcPr>
                  <w:tcW w:w="359" w:type="pct"/>
                  <w:tcBorders>
                    <w:tl2br w:val="nil"/>
                    <w:tr2bl w:val="nil"/>
                  </w:tcBorders>
                  <w:vAlign w:val="center"/>
                </w:tcPr>
                <w:p w14:paraId="14C04978">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达标情况</w:t>
                  </w:r>
                </w:p>
              </w:tc>
            </w:tr>
            <w:tr w14:paraId="32A12C26">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68" w:type="pct"/>
                  <w:tcBorders>
                    <w:tl2br w:val="nil"/>
                    <w:tr2bl w:val="nil"/>
                  </w:tcBorders>
                  <w:vAlign w:val="center"/>
                </w:tcPr>
                <w:p w14:paraId="3EA25EF5">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厂界西</w:t>
                  </w:r>
                </w:p>
              </w:tc>
              <w:tc>
                <w:tcPr>
                  <w:tcW w:w="365" w:type="pct"/>
                  <w:tcBorders>
                    <w:tl2br w:val="nil"/>
                    <w:tr2bl w:val="nil"/>
                  </w:tcBorders>
                  <w:vAlign w:val="center"/>
                </w:tcPr>
                <w:p w14:paraId="7621AC20">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1#</w:t>
                  </w:r>
                </w:p>
              </w:tc>
              <w:tc>
                <w:tcPr>
                  <w:tcW w:w="516" w:type="pct"/>
                  <w:tcBorders>
                    <w:tl2br w:val="nil"/>
                    <w:tr2bl w:val="nil"/>
                  </w:tcBorders>
                  <w:vAlign w:val="center"/>
                </w:tcPr>
                <w:p w14:paraId="04D540A3">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51.1</w:t>
                  </w:r>
                </w:p>
              </w:tc>
              <w:tc>
                <w:tcPr>
                  <w:tcW w:w="343" w:type="pct"/>
                  <w:tcBorders>
                    <w:tl2br w:val="nil"/>
                    <w:tr2bl w:val="nil"/>
                  </w:tcBorders>
                  <w:vAlign w:val="center"/>
                </w:tcPr>
                <w:p w14:paraId="041D6E2F">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57</w:t>
                  </w:r>
                </w:p>
              </w:tc>
              <w:tc>
                <w:tcPr>
                  <w:tcW w:w="378" w:type="pct"/>
                  <w:tcBorders>
                    <w:tl2br w:val="nil"/>
                    <w:tr2bl w:val="nil"/>
                  </w:tcBorders>
                  <w:vAlign w:val="center"/>
                </w:tcPr>
                <w:p w14:paraId="7818A0B1">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52</w:t>
                  </w:r>
                </w:p>
              </w:tc>
              <w:tc>
                <w:tcPr>
                  <w:tcW w:w="634" w:type="pct"/>
                  <w:tcBorders>
                    <w:tl2br w:val="nil"/>
                    <w:tr2bl w:val="nil"/>
                  </w:tcBorders>
                  <w:vAlign w:val="center"/>
                </w:tcPr>
                <w:p w14:paraId="63D9992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57.99</w:t>
                  </w:r>
                </w:p>
              </w:tc>
              <w:tc>
                <w:tcPr>
                  <w:tcW w:w="456" w:type="pct"/>
                  <w:tcBorders>
                    <w:tl2br w:val="nil"/>
                    <w:tr2bl w:val="nil"/>
                  </w:tcBorders>
                  <w:vAlign w:val="center"/>
                </w:tcPr>
                <w:p w14:paraId="2DD5CBA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65</w:t>
                  </w:r>
                </w:p>
              </w:tc>
              <w:tc>
                <w:tcPr>
                  <w:tcW w:w="373" w:type="pct"/>
                  <w:tcBorders>
                    <w:tl2br w:val="nil"/>
                    <w:tr2bl w:val="nil"/>
                  </w:tcBorders>
                  <w:vAlign w:val="center"/>
                </w:tcPr>
                <w:p w14:paraId="7DF1C47D">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c>
                <w:tcPr>
                  <w:tcW w:w="635" w:type="pct"/>
                  <w:tcBorders>
                    <w:tl2br w:val="nil"/>
                    <w:tr2bl w:val="nil"/>
                  </w:tcBorders>
                  <w:vAlign w:val="center"/>
                </w:tcPr>
                <w:p w14:paraId="3F0BE9EB">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54.58</w:t>
                  </w:r>
                </w:p>
              </w:tc>
              <w:tc>
                <w:tcPr>
                  <w:tcW w:w="469" w:type="pct"/>
                  <w:tcBorders>
                    <w:tl2br w:val="nil"/>
                    <w:tr2bl w:val="nil"/>
                  </w:tcBorders>
                  <w:vAlign w:val="center"/>
                </w:tcPr>
                <w:p w14:paraId="4719B59C">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55</w:t>
                  </w:r>
                </w:p>
              </w:tc>
              <w:tc>
                <w:tcPr>
                  <w:tcW w:w="359" w:type="pct"/>
                  <w:tcBorders>
                    <w:tl2br w:val="nil"/>
                    <w:tr2bl w:val="nil"/>
                  </w:tcBorders>
                  <w:vAlign w:val="center"/>
                </w:tcPr>
                <w:p w14:paraId="40590853">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1439502E">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68" w:type="pct"/>
                  <w:vMerge w:val="restart"/>
                  <w:tcBorders>
                    <w:tl2br w:val="nil"/>
                    <w:tr2bl w:val="nil"/>
                  </w:tcBorders>
                  <w:vAlign w:val="center"/>
                </w:tcPr>
                <w:p w14:paraId="6C277908">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厂界南</w:t>
                  </w:r>
                </w:p>
              </w:tc>
              <w:tc>
                <w:tcPr>
                  <w:tcW w:w="365" w:type="pct"/>
                  <w:tcBorders>
                    <w:tl2br w:val="nil"/>
                    <w:tr2bl w:val="nil"/>
                  </w:tcBorders>
                  <w:vAlign w:val="center"/>
                </w:tcPr>
                <w:p w14:paraId="415B0FD5">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2#</w:t>
                  </w:r>
                </w:p>
              </w:tc>
              <w:tc>
                <w:tcPr>
                  <w:tcW w:w="516" w:type="pct"/>
                  <w:tcBorders>
                    <w:tl2br w:val="nil"/>
                    <w:tr2bl w:val="nil"/>
                  </w:tcBorders>
                  <w:vAlign w:val="center"/>
                </w:tcPr>
                <w:p w14:paraId="5D7B35D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47.68</w:t>
                  </w:r>
                </w:p>
              </w:tc>
              <w:tc>
                <w:tcPr>
                  <w:tcW w:w="343" w:type="pct"/>
                  <w:tcBorders>
                    <w:tl2br w:val="nil"/>
                    <w:tr2bl w:val="nil"/>
                  </w:tcBorders>
                  <w:vAlign w:val="center"/>
                </w:tcPr>
                <w:p w14:paraId="5ACC9227">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59</w:t>
                  </w:r>
                </w:p>
              </w:tc>
              <w:tc>
                <w:tcPr>
                  <w:tcW w:w="378" w:type="pct"/>
                  <w:tcBorders>
                    <w:tl2br w:val="nil"/>
                    <w:tr2bl w:val="nil"/>
                  </w:tcBorders>
                  <w:vAlign w:val="center"/>
                </w:tcPr>
                <w:p w14:paraId="750FCC57">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54</w:t>
                  </w:r>
                </w:p>
              </w:tc>
              <w:tc>
                <w:tcPr>
                  <w:tcW w:w="634" w:type="pct"/>
                  <w:tcBorders>
                    <w:tl2br w:val="nil"/>
                    <w:tr2bl w:val="nil"/>
                  </w:tcBorders>
                  <w:vAlign w:val="center"/>
                </w:tcPr>
                <w:p w14:paraId="7A1F0E34">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59.31</w:t>
                  </w:r>
                </w:p>
              </w:tc>
              <w:tc>
                <w:tcPr>
                  <w:tcW w:w="456" w:type="pct"/>
                  <w:vMerge w:val="restart"/>
                  <w:tcBorders>
                    <w:tl2br w:val="nil"/>
                    <w:tr2bl w:val="nil"/>
                  </w:tcBorders>
                  <w:vAlign w:val="center"/>
                </w:tcPr>
                <w:p w14:paraId="1470D09D">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65</w:t>
                  </w:r>
                </w:p>
              </w:tc>
              <w:tc>
                <w:tcPr>
                  <w:tcW w:w="373" w:type="pct"/>
                  <w:tcBorders>
                    <w:tl2br w:val="nil"/>
                    <w:tr2bl w:val="nil"/>
                  </w:tcBorders>
                  <w:vAlign w:val="center"/>
                </w:tcPr>
                <w:p w14:paraId="46FFC3EB">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c>
                <w:tcPr>
                  <w:tcW w:w="635" w:type="pct"/>
                  <w:tcBorders>
                    <w:tl2br w:val="nil"/>
                    <w:tr2bl w:val="nil"/>
                  </w:tcBorders>
                  <w:vAlign w:val="center"/>
                </w:tcPr>
                <w:p w14:paraId="5D0BE0A4">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54.91</w:t>
                  </w:r>
                </w:p>
              </w:tc>
              <w:tc>
                <w:tcPr>
                  <w:tcW w:w="469" w:type="pct"/>
                  <w:vMerge w:val="restart"/>
                  <w:tcBorders>
                    <w:tl2br w:val="nil"/>
                    <w:tr2bl w:val="nil"/>
                  </w:tcBorders>
                  <w:vAlign w:val="center"/>
                </w:tcPr>
                <w:p w14:paraId="2BB5DE5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55</w:t>
                  </w:r>
                </w:p>
              </w:tc>
              <w:tc>
                <w:tcPr>
                  <w:tcW w:w="359" w:type="pct"/>
                  <w:tcBorders>
                    <w:tl2br w:val="nil"/>
                    <w:tr2bl w:val="nil"/>
                  </w:tcBorders>
                  <w:vAlign w:val="center"/>
                </w:tcPr>
                <w:p w14:paraId="7B1FF650">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544F34C0">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68" w:type="pct"/>
                  <w:vMerge w:val="continue"/>
                  <w:tcBorders>
                    <w:tl2br w:val="nil"/>
                    <w:tr2bl w:val="nil"/>
                  </w:tcBorders>
                  <w:vAlign w:val="center"/>
                </w:tcPr>
                <w:p w14:paraId="75C5A496">
                  <w:pPr>
                    <w:widowControl/>
                    <w:jc w:val="center"/>
                    <w:textAlignment w:val="center"/>
                    <w:rPr>
                      <w:rFonts w:hint="default" w:ascii="Times New Roman" w:hAnsi="Times New Roman" w:cs="Times New Roman"/>
                      <w:color w:val="auto"/>
                      <w:kern w:val="0"/>
                      <w:sz w:val="18"/>
                      <w:szCs w:val="18"/>
                      <w:lang w:bidi="ar"/>
                    </w:rPr>
                  </w:pPr>
                </w:p>
              </w:tc>
              <w:tc>
                <w:tcPr>
                  <w:tcW w:w="365" w:type="pct"/>
                  <w:tcBorders>
                    <w:tl2br w:val="nil"/>
                    <w:tr2bl w:val="nil"/>
                  </w:tcBorders>
                  <w:vAlign w:val="center"/>
                </w:tcPr>
                <w:p w14:paraId="3A481151">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3#</w:t>
                  </w:r>
                </w:p>
              </w:tc>
              <w:tc>
                <w:tcPr>
                  <w:tcW w:w="516" w:type="pct"/>
                  <w:tcBorders>
                    <w:tl2br w:val="nil"/>
                    <w:tr2bl w:val="nil"/>
                  </w:tcBorders>
                  <w:vAlign w:val="center"/>
                </w:tcPr>
                <w:p w14:paraId="79CD2FF5">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42.93</w:t>
                  </w:r>
                </w:p>
              </w:tc>
              <w:tc>
                <w:tcPr>
                  <w:tcW w:w="343" w:type="pct"/>
                  <w:tcBorders>
                    <w:tl2br w:val="nil"/>
                    <w:tr2bl w:val="nil"/>
                  </w:tcBorders>
                  <w:vAlign w:val="center"/>
                </w:tcPr>
                <w:p w14:paraId="4FB5BA8C">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59</w:t>
                  </w:r>
                </w:p>
              </w:tc>
              <w:tc>
                <w:tcPr>
                  <w:tcW w:w="378" w:type="pct"/>
                  <w:tcBorders>
                    <w:tl2br w:val="nil"/>
                    <w:tr2bl w:val="nil"/>
                  </w:tcBorders>
                  <w:vAlign w:val="center"/>
                </w:tcPr>
                <w:p w14:paraId="09C2601C">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54</w:t>
                  </w:r>
                </w:p>
              </w:tc>
              <w:tc>
                <w:tcPr>
                  <w:tcW w:w="634" w:type="pct"/>
                  <w:tcBorders>
                    <w:tl2br w:val="nil"/>
                    <w:tr2bl w:val="nil"/>
                  </w:tcBorders>
                  <w:vAlign w:val="center"/>
                </w:tcPr>
                <w:p w14:paraId="00EDBE16">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59.11</w:t>
                  </w:r>
                </w:p>
              </w:tc>
              <w:tc>
                <w:tcPr>
                  <w:tcW w:w="456" w:type="pct"/>
                  <w:vMerge w:val="continue"/>
                  <w:tcBorders>
                    <w:tl2br w:val="nil"/>
                    <w:tr2bl w:val="nil"/>
                  </w:tcBorders>
                  <w:vAlign w:val="center"/>
                </w:tcPr>
                <w:p w14:paraId="3BA1F00A">
                  <w:pPr>
                    <w:widowControl/>
                    <w:jc w:val="center"/>
                    <w:textAlignment w:val="center"/>
                    <w:rPr>
                      <w:rFonts w:hint="default" w:ascii="Times New Roman" w:hAnsi="Times New Roman" w:cs="Times New Roman"/>
                      <w:color w:val="auto"/>
                      <w:kern w:val="0"/>
                      <w:sz w:val="18"/>
                      <w:szCs w:val="18"/>
                      <w:lang w:bidi="ar"/>
                    </w:rPr>
                  </w:pPr>
                </w:p>
              </w:tc>
              <w:tc>
                <w:tcPr>
                  <w:tcW w:w="373" w:type="pct"/>
                  <w:tcBorders>
                    <w:tl2br w:val="nil"/>
                    <w:tr2bl w:val="nil"/>
                  </w:tcBorders>
                  <w:vAlign w:val="center"/>
                </w:tcPr>
                <w:p w14:paraId="4E828341">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c>
                <w:tcPr>
                  <w:tcW w:w="635" w:type="pct"/>
                  <w:tcBorders>
                    <w:tl2br w:val="nil"/>
                    <w:tr2bl w:val="nil"/>
                  </w:tcBorders>
                  <w:vAlign w:val="center"/>
                </w:tcPr>
                <w:p w14:paraId="7FF22ED3">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54.33</w:t>
                  </w:r>
                </w:p>
              </w:tc>
              <w:tc>
                <w:tcPr>
                  <w:tcW w:w="469" w:type="pct"/>
                  <w:vMerge w:val="continue"/>
                  <w:tcBorders>
                    <w:tl2br w:val="nil"/>
                    <w:tr2bl w:val="nil"/>
                  </w:tcBorders>
                  <w:vAlign w:val="center"/>
                </w:tcPr>
                <w:p w14:paraId="08FB492B">
                  <w:pPr>
                    <w:widowControl/>
                    <w:jc w:val="center"/>
                    <w:textAlignment w:val="center"/>
                    <w:rPr>
                      <w:rFonts w:hint="default" w:ascii="Times New Roman" w:hAnsi="Times New Roman" w:cs="Times New Roman"/>
                      <w:color w:val="auto"/>
                      <w:kern w:val="0"/>
                      <w:sz w:val="18"/>
                      <w:szCs w:val="18"/>
                      <w:lang w:bidi="ar"/>
                    </w:rPr>
                  </w:pPr>
                </w:p>
              </w:tc>
              <w:tc>
                <w:tcPr>
                  <w:tcW w:w="359" w:type="pct"/>
                  <w:tcBorders>
                    <w:tl2br w:val="nil"/>
                    <w:tr2bl w:val="nil"/>
                  </w:tcBorders>
                  <w:vAlign w:val="center"/>
                </w:tcPr>
                <w:p w14:paraId="2B32BB7B">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33C643CF">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68" w:type="pct"/>
                  <w:tcBorders>
                    <w:tl2br w:val="nil"/>
                    <w:tr2bl w:val="nil"/>
                  </w:tcBorders>
                  <w:vAlign w:val="center"/>
                </w:tcPr>
                <w:p w14:paraId="7DA7862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厂界东</w:t>
                  </w:r>
                </w:p>
              </w:tc>
              <w:tc>
                <w:tcPr>
                  <w:tcW w:w="365" w:type="pct"/>
                  <w:tcBorders>
                    <w:tl2br w:val="nil"/>
                    <w:tr2bl w:val="nil"/>
                  </w:tcBorders>
                  <w:vAlign w:val="center"/>
                </w:tcPr>
                <w:p w14:paraId="1ED1C52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4#</w:t>
                  </w:r>
                </w:p>
              </w:tc>
              <w:tc>
                <w:tcPr>
                  <w:tcW w:w="516" w:type="pct"/>
                  <w:tcBorders>
                    <w:tl2br w:val="nil"/>
                    <w:tr2bl w:val="nil"/>
                  </w:tcBorders>
                  <w:vAlign w:val="center"/>
                </w:tcPr>
                <w:p w14:paraId="708469B6">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42.46</w:t>
                  </w:r>
                </w:p>
              </w:tc>
              <w:tc>
                <w:tcPr>
                  <w:tcW w:w="343" w:type="pct"/>
                  <w:tcBorders>
                    <w:tl2br w:val="nil"/>
                    <w:tr2bl w:val="nil"/>
                  </w:tcBorders>
                  <w:vAlign w:val="center"/>
                </w:tcPr>
                <w:p w14:paraId="22D86C7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60</w:t>
                  </w:r>
                </w:p>
              </w:tc>
              <w:tc>
                <w:tcPr>
                  <w:tcW w:w="378" w:type="pct"/>
                  <w:tcBorders>
                    <w:tl2br w:val="nil"/>
                    <w:tr2bl w:val="nil"/>
                  </w:tcBorders>
                  <w:vAlign w:val="center"/>
                </w:tcPr>
                <w:p w14:paraId="63C518AB">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53</w:t>
                  </w:r>
                </w:p>
              </w:tc>
              <w:tc>
                <w:tcPr>
                  <w:tcW w:w="634" w:type="pct"/>
                  <w:tcBorders>
                    <w:tl2br w:val="nil"/>
                    <w:tr2bl w:val="nil"/>
                  </w:tcBorders>
                  <w:vAlign w:val="center"/>
                </w:tcPr>
                <w:p w14:paraId="1B504E5C">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60.08</w:t>
                  </w:r>
                </w:p>
              </w:tc>
              <w:tc>
                <w:tcPr>
                  <w:tcW w:w="456" w:type="pct"/>
                  <w:tcBorders>
                    <w:tl2br w:val="nil"/>
                    <w:tr2bl w:val="nil"/>
                  </w:tcBorders>
                  <w:vAlign w:val="center"/>
                </w:tcPr>
                <w:p w14:paraId="72DAEB06">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65</w:t>
                  </w:r>
                </w:p>
              </w:tc>
              <w:tc>
                <w:tcPr>
                  <w:tcW w:w="373" w:type="pct"/>
                  <w:tcBorders>
                    <w:tl2br w:val="nil"/>
                    <w:tr2bl w:val="nil"/>
                  </w:tcBorders>
                  <w:vAlign w:val="center"/>
                </w:tcPr>
                <w:p w14:paraId="53772995">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c>
                <w:tcPr>
                  <w:tcW w:w="635" w:type="pct"/>
                  <w:tcBorders>
                    <w:tl2br w:val="nil"/>
                    <w:tr2bl w:val="nil"/>
                  </w:tcBorders>
                  <w:vAlign w:val="center"/>
                </w:tcPr>
                <w:p w14:paraId="1D832241">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53.37</w:t>
                  </w:r>
                </w:p>
              </w:tc>
              <w:tc>
                <w:tcPr>
                  <w:tcW w:w="469" w:type="pct"/>
                  <w:tcBorders>
                    <w:tl2br w:val="nil"/>
                    <w:tr2bl w:val="nil"/>
                  </w:tcBorders>
                  <w:vAlign w:val="center"/>
                </w:tcPr>
                <w:p w14:paraId="4AC5EB6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55</w:t>
                  </w:r>
                </w:p>
              </w:tc>
              <w:tc>
                <w:tcPr>
                  <w:tcW w:w="359" w:type="pct"/>
                  <w:tcBorders>
                    <w:tl2br w:val="nil"/>
                    <w:tr2bl w:val="nil"/>
                  </w:tcBorders>
                  <w:vAlign w:val="center"/>
                </w:tcPr>
                <w:p w14:paraId="25E3EB4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671E675D">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68" w:type="pct"/>
                  <w:vMerge w:val="restart"/>
                  <w:tcBorders>
                    <w:tl2br w:val="nil"/>
                    <w:tr2bl w:val="nil"/>
                  </w:tcBorders>
                  <w:vAlign w:val="center"/>
                </w:tcPr>
                <w:p w14:paraId="58243271">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厂界北</w:t>
                  </w:r>
                </w:p>
              </w:tc>
              <w:tc>
                <w:tcPr>
                  <w:tcW w:w="365" w:type="pct"/>
                  <w:tcBorders>
                    <w:tl2br w:val="nil"/>
                    <w:tr2bl w:val="nil"/>
                  </w:tcBorders>
                  <w:vAlign w:val="center"/>
                </w:tcPr>
                <w:p w14:paraId="7FAFF58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5#</w:t>
                  </w:r>
                </w:p>
              </w:tc>
              <w:tc>
                <w:tcPr>
                  <w:tcW w:w="516" w:type="pct"/>
                  <w:tcBorders>
                    <w:tl2br w:val="nil"/>
                    <w:tr2bl w:val="nil"/>
                  </w:tcBorders>
                  <w:vAlign w:val="center"/>
                </w:tcPr>
                <w:p w14:paraId="1C6A81F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43.46</w:t>
                  </w:r>
                </w:p>
              </w:tc>
              <w:tc>
                <w:tcPr>
                  <w:tcW w:w="343" w:type="pct"/>
                  <w:tcBorders>
                    <w:tl2br w:val="nil"/>
                    <w:tr2bl w:val="nil"/>
                  </w:tcBorders>
                  <w:vAlign w:val="center"/>
                </w:tcPr>
                <w:p w14:paraId="3D091023">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64</w:t>
                  </w:r>
                </w:p>
              </w:tc>
              <w:tc>
                <w:tcPr>
                  <w:tcW w:w="378" w:type="pct"/>
                  <w:tcBorders>
                    <w:tl2br w:val="nil"/>
                    <w:tr2bl w:val="nil"/>
                  </w:tcBorders>
                  <w:vAlign w:val="center"/>
                </w:tcPr>
                <w:p w14:paraId="1FBCF106">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54</w:t>
                  </w:r>
                </w:p>
              </w:tc>
              <w:tc>
                <w:tcPr>
                  <w:tcW w:w="634" w:type="pct"/>
                  <w:tcBorders>
                    <w:tl2br w:val="nil"/>
                    <w:tr2bl w:val="nil"/>
                  </w:tcBorders>
                  <w:vAlign w:val="center"/>
                </w:tcPr>
                <w:p w14:paraId="2E7732A5">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64.04</w:t>
                  </w:r>
                </w:p>
              </w:tc>
              <w:tc>
                <w:tcPr>
                  <w:tcW w:w="456" w:type="pct"/>
                  <w:tcBorders>
                    <w:bottom w:val="single" w:color="000000" w:sz="4" w:space="0"/>
                    <w:tl2br w:val="nil"/>
                    <w:tr2bl w:val="nil"/>
                  </w:tcBorders>
                  <w:vAlign w:val="center"/>
                </w:tcPr>
                <w:p w14:paraId="2DDEB803">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70</w:t>
                  </w:r>
                </w:p>
              </w:tc>
              <w:tc>
                <w:tcPr>
                  <w:tcW w:w="373" w:type="pct"/>
                  <w:tcBorders>
                    <w:tl2br w:val="nil"/>
                    <w:tr2bl w:val="nil"/>
                  </w:tcBorders>
                  <w:vAlign w:val="center"/>
                </w:tcPr>
                <w:p w14:paraId="54461D49">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c>
                <w:tcPr>
                  <w:tcW w:w="635" w:type="pct"/>
                  <w:tcBorders>
                    <w:bottom w:val="single" w:color="000000" w:sz="4" w:space="0"/>
                    <w:tl2br w:val="nil"/>
                    <w:tr2bl w:val="nil"/>
                  </w:tcBorders>
                  <w:vAlign w:val="center"/>
                </w:tcPr>
                <w:p w14:paraId="20DE5D54">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54.37</w:t>
                  </w:r>
                </w:p>
              </w:tc>
              <w:tc>
                <w:tcPr>
                  <w:tcW w:w="469" w:type="pct"/>
                  <w:tcBorders>
                    <w:bottom w:val="single" w:color="000000" w:sz="4" w:space="0"/>
                    <w:tl2br w:val="nil"/>
                    <w:tr2bl w:val="nil"/>
                  </w:tcBorders>
                  <w:vAlign w:val="center"/>
                </w:tcPr>
                <w:p w14:paraId="0DAF10E6">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55</w:t>
                  </w:r>
                </w:p>
              </w:tc>
              <w:tc>
                <w:tcPr>
                  <w:tcW w:w="359" w:type="pct"/>
                  <w:tcBorders>
                    <w:tl2br w:val="nil"/>
                    <w:tr2bl w:val="nil"/>
                  </w:tcBorders>
                  <w:vAlign w:val="center"/>
                </w:tcPr>
                <w:p w14:paraId="1027EF92">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r w14:paraId="0A7CDFF3">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68" w:type="pct"/>
                  <w:vMerge w:val="continue"/>
                  <w:tcBorders>
                    <w:tl2br w:val="nil"/>
                    <w:tr2bl w:val="nil"/>
                  </w:tcBorders>
                  <w:vAlign w:val="center"/>
                </w:tcPr>
                <w:p w14:paraId="147044E3">
                  <w:pPr>
                    <w:widowControl/>
                    <w:jc w:val="center"/>
                    <w:textAlignment w:val="center"/>
                    <w:rPr>
                      <w:rFonts w:hint="default" w:ascii="Times New Roman" w:hAnsi="Times New Roman" w:cs="Times New Roman"/>
                      <w:color w:val="auto"/>
                      <w:kern w:val="0"/>
                      <w:sz w:val="18"/>
                      <w:szCs w:val="18"/>
                      <w:lang w:bidi="ar"/>
                    </w:rPr>
                  </w:pPr>
                </w:p>
              </w:tc>
              <w:tc>
                <w:tcPr>
                  <w:tcW w:w="365" w:type="pct"/>
                  <w:tcBorders>
                    <w:tl2br w:val="nil"/>
                    <w:tr2bl w:val="nil"/>
                  </w:tcBorders>
                  <w:vAlign w:val="center"/>
                </w:tcPr>
                <w:p w14:paraId="320F73BC">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6#</w:t>
                  </w:r>
                </w:p>
              </w:tc>
              <w:tc>
                <w:tcPr>
                  <w:tcW w:w="516" w:type="pct"/>
                  <w:tcBorders>
                    <w:tl2br w:val="nil"/>
                    <w:tr2bl w:val="nil"/>
                  </w:tcBorders>
                  <w:vAlign w:val="center"/>
                </w:tcPr>
                <w:p w14:paraId="15D7C0C7">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43.36</w:t>
                  </w:r>
                </w:p>
              </w:tc>
              <w:tc>
                <w:tcPr>
                  <w:tcW w:w="343" w:type="pct"/>
                  <w:tcBorders>
                    <w:tl2br w:val="nil"/>
                    <w:tr2bl w:val="nil"/>
                  </w:tcBorders>
                  <w:vAlign w:val="center"/>
                </w:tcPr>
                <w:p w14:paraId="110B3EBB">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64</w:t>
                  </w:r>
                </w:p>
              </w:tc>
              <w:tc>
                <w:tcPr>
                  <w:tcW w:w="378" w:type="pct"/>
                  <w:tcBorders>
                    <w:tl2br w:val="nil"/>
                    <w:tr2bl w:val="nil"/>
                  </w:tcBorders>
                  <w:vAlign w:val="center"/>
                </w:tcPr>
                <w:p w14:paraId="77723464">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54</w:t>
                  </w:r>
                </w:p>
              </w:tc>
              <w:tc>
                <w:tcPr>
                  <w:tcW w:w="634" w:type="pct"/>
                  <w:tcBorders>
                    <w:tl2br w:val="nil"/>
                    <w:tr2bl w:val="nil"/>
                  </w:tcBorders>
                  <w:vAlign w:val="center"/>
                </w:tcPr>
                <w:p w14:paraId="7350E3D3">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64.04</w:t>
                  </w:r>
                </w:p>
              </w:tc>
              <w:tc>
                <w:tcPr>
                  <w:tcW w:w="456" w:type="pct"/>
                  <w:tcBorders>
                    <w:top w:val="single" w:color="000000" w:sz="4" w:space="0"/>
                    <w:tl2br w:val="nil"/>
                    <w:tr2bl w:val="nil"/>
                  </w:tcBorders>
                  <w:vAlign w:val="center"/>
                </w:tcPr>
                <w:p w14:paraId="01410D78">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65</w:t>
                  </w:r>
                </w:p>
              </w:tc>
              <w:tc>
                <w:tcPr>
                  <w:tcW w:w="373" w:type="pct"/>
                  <w:tcBorders>
                    <w:tl2br w:val="nil"/>
                    <w:tr2bl w:val="nil"/>
                  </w:tcBorders>
                  <w:vAlign w:val="center"/>
                </w:tcPr>
                <w:p w14:paraId="37AE52CA">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c>
                <w:tcPr>
                  <w:tcW w:w="635" w:type="pct"/>
                  <w:tcBorders>
                    <w:top w:val="single" w:color="000000" w:sz="4" w:space="0"/>
                    <w:tl2br w:val="nil"/>
                    <w:tr2bl w:val="nil"/>
                  </w:tcBorders>
                  <w:vAlign w:val="center"/>
                </w:tcPr>
                <w:p w14:paraId="35AAF0F1">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54.36</w:t>
                  </w:r>
                </w:p>
              </w:tc>
              <w:tc>
                <w:tcPr>
                  <w:tcW w:w="469" w:type="pct"/>
                  <w:tcBorders>
                    <w:top w:val="single" w:color="000000" w:sz="4" w:space="0"/>
                    <w:tl2br w:val="nil"/>
                    <w:tr2bl w:val="nil"/>
                  </w:tcBorders>
                  <w:vAlign w:val="center"/>
                </w:tcPr>
                <w:p w14:paraId="79EA1F85">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55</w:t>
                  </w:r>
                </w:p>
              </w:tc>
              <w:tc>
                <w:tcPr>
                  <w:tcW w:w="359" w:type="pct"/>
                  <w:tcBorders>
                    <w:tl2br w:val="nil"/>
                    <w:tr2bl w:val="nil"/>
                  </w:tcBorders>
                  <w:vAlign w:val="center"/>
                </w:tcPr>
                <w:p w14:paraId="25C82695">
                  <w:pPr>
                    <w:widowControl/>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r>
          </w:tbl>
          <w:p w14:paraId="73A81B2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根据上述预测，项目运营后昼间、夜间噪声贡献值叠加背景值后均可以达到《工业企业厂界环境噪声排放标准》（GB12348-2008）3、4类标准要求。</w:t>
            </w:r>
          </w:p>
          <w:p w14:paraId="1325C77D">
            <w:pPr>
              <w:spacing w:line="360" w:lineRule="auto"/>
              <w:ind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噪声等声值线图见下图。</w:t>
            </w:r>
          </w:p>
          <w:p w14:paraId="2B62BBB0">
            <w:pPr>
              <w:pStyle w:val="18"/>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344160" cy="3229610"/>
                  <wp:effectExtent l="9525" t="9525" r="18415" b="18415"/>
                  <wp:docPr id="6" name="图片 6"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23"/>
                          <pic:cNvPicPr>
                            <a:picLocks noChangeAspect="1"/>
                          </pic:cNvPicPr>
                        </pic:nvPicPr>
                        <pic:blipFill>
                          <a:blip r:embed="rId31"/>
                          <a:stretch>
                            <a:fillRect/>
                          </a:stretch>
                        </pic:blipFill>
                        <pic:spPr>
                          <a:xfrm>
                            <a:off x="0" y="0"/>
                            <a:ext cx="5344160" cy="3229610"/>
                          </a:xfrm>
                          <a:prstGeom prst="rect">
                            <a:avLst/>
                          </a:prstGeom>
                          <a:ln>
                            <a:solidFill>
                              <a:schemeClr val="tx1"/>
                            </a:solidFill>
                          </a:ln>
                        </pic:spPr>
                      </pic:pic>
                    </a:graphicData>
                  </a:graphic>
                </wp:inline>
              </w:drawing>
            </w:r>
          </w:p>
          <w:p w14:paraId="05C70809">
            <w:pPr>
              <w:spacing w:line="360" w:lineRule="auto"/>
              <w:ind w:firstLine="422" w:firstLineChars="20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图4-2  噪声等声值线预测图</w:t>
            </w:r>
          </w:p>
          <w:p w14:paraId="3F8C047B">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3.5采取措施</w:t>
            </w:r>
          </w:p>
          <w:p w14:paraId="7994B9E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为降低项目运行时噪声的影响，本环评提出以下防治措施：</w:t>
            </w:r>
          </w:p>
          <w:p w14:paraId="59AC96E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①尽量选用低噪声设备；</w:t>
            </w:r>
          </w:p>
          <w:p w14:paraId="4D2505F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②对产生振动的设备安装振动幅度小的防振设施；对水泵及电机出、入口弯头安装在同一个混凝土惯性基座上，进行消声和减振，主体设备基础减振、厂房进行隔声；</w:t>
            </w:r>
          </w:p>
          <w:p w14:paraId="206382FE">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③对设备进行定期维修，保持设备良好的运转状态，降低噪声。</w:t>
            </w:r>
          </w:p>
          <w:p w14:paraId="24A51A1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据现场踏勘，厂区周围50m范围内没有声环境敏感目标，但为了满足环保要求和保护本厂职工、员工，建设单位应高度重视噪声污染防治。</w:t>
            </w:r>
          </w:p>
          <w:p w14:paraId="6CE60F8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综上，本项目高噪声源定径机、穿孔机、辊机、剪切机、水泵等机械噪声采取相应的降噪、减震等措施后能达标排放，项目运行对声环境影响较小。</w:t>
            </w:r>
          </w:p>
          <w:p w14:paraId="50EEE34B">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3.6监测要求</w:t>
            </w:r>
          </w:p>
          <w:p w14:paraId="06686E11">
            <w:pPr>
              <w:pStyle w:val="31"/>
              <w:adjustRightInd w:val="0"/>
              <w:snapToGrid w:val="0"/>
              <w:spacing w:before="0" w:beforeAutospacing="0" w:after="0" w:afterAutospacing="0"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根据《排污单位自行监测技术指南  钢铁工业及炼焦化学工业》（HJ878-2017）、《排污许可证申请与核发技术规范  钢铁工业》（HJ84-2017）、《固定源检测技术规范》（HJY397-2007）和建设项目生产及排污特点，同时由于项目位于公司现有厂区范围之内，因此自行监测计划按现有执行，查阅企业现有自行监测计划，其噪声自行监测计划具体如下：</w:t>
            </w:r>
          </w:p>
          <w:p w14:paraId="4EA099CC">
            <w:pPr>
              <w:pStyle w:val="111"/>
              <w:spacing w:line="36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表4-11   噪声自行监测计划表</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0"/>
              <w:gridCol w:w="1391"/>
              <w:gridCol w:w="1143"/>
              <w:gridCol w:w="3253"/>
            </w:tblGrid>
            <w:tr w14:paraId="7EED0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82" w:type="pct"/>
                  <w:tcBorders>
                    <w:top w:val="single" w:color="000000" w:sz="4" w:space="0"/>
                    <w:bottom w:val="single" w:color="000000" w:sz="4" w:space="0"/>
                    <w:right w:val="single" w:color="000000" w:sz="4" w:space="0"/>
                  </w:tcBorders>
                  <w:vAlign w:val="center"/>
                </w:tcPr>
                <w:p w14:paraId="0239146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监测点位</w:t>
                  </w:r>
                </w:p>
              </w:tc>
              <w:tc>
                <w:tcPr>
                  <w:tcW w:w="845" w:type="pct"/>
                  <w:tcBorders>
                    <w:top w:val="single" w:color="000000" w:sz="4" w:space="0"/>
                    <w:left w:val="single" w:color="000000" w:sz="4" w:space="0"/>
                    <w:bottom w:val="single" w:color="000000" w:sz="4" w:space="0"/>
                    <w:right w:val="single" w:color="000000" w:sz="4" w:space="0"/>
                  </w:tcBorders>
                  <w:vAlign w:val="center"/>
                </w:tcPr>
                <w:p w14:paraId="62D19A5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监测项目</w:t>
                  </w:r>
                </w:p>
              </w:tc>
              <w:tc>
                <w:tcPr>
                  <w:tcW w:w="694" w:type="pct"/>
                  <w:tcBorders>
                    <w:top w:val="single" w:color="000000" w:sz="4" w:space="0"/>
                    <w:left w:val="single" w:color="000000" w:sz="4" w:space="0"/>
                    <w:bottom w:val="single" w:color="000000" w:sz="4" w:space="0"/>
                    <w:right w:val="single" w:color="000000" w:sz="4" w:space="0"/>
                  </w:tcBorders>
                  <w:vAlign w:val="center"/>
                </w:tcPr>
                <w:p w14:paraId="1E1A3E3E">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监测频率</w:t>
                  </w:r>
                </w:p>
              </w:tc>
              <w:tc>
                <w:tcPr>
                  <w:tcW w:w="1976" w:type="pct"/>
                  <w:tcBorders>
                    <w:top w:val="single" w:color="000000" w:sz="4" w:space="0"/>
                    <w:left w:val="single" w:color="000000" w:sz="4" w:space="0"/>
                    <w:bottom w:val="single" w:color="000000" w:sz="4" w:space="0"/>
                    <w:right w:val="nil"/>
                  </w:tcBorders>
                  <w:vAlign w:val="center"/>
                </w:tcPr>
                <w:p w14:paraId="6FD2A41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执行标准</w:t>
                  </w:r>
                </w:p>
              </w:tc>
            </w:tr>
            <w:tr w14:paraId="0DE1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82" w:type="pct"/>
                  <w:tcBorders>
                    <w:top w:val="single" w:color="000000" w:sz="4" w:space="0"/>
                    <w:left w:val="nil"/>
                    <w:bottom w:val="single" w:color="000000" w:sz="4" w:space="0"/>
                    <w:right w:val="single" w:color="000000" w:sz="4" w:space="0"/>
                  </w:tcBorders>
                  <w:vAlign w:val="center"/>
                </w:tcPr>
                <w:p w14:paraId="674B3A3A">
                  <w:pPr>
                    <w:jc w:val="center"/>
                    <w:rPr>
                      <w:rFonts w:hint="default" w:ascii="Times New Roman" w:hAnsi="Times New Roman" w:cs="Times New Roman"/>
                      <w:color w:val="auto"/>
                      <w:sz w:val="18"/>
                      <w:szCs w:val="18"/>
                      <w:lang w:val="zh-CN"/>
                    </w:rPr>
                  </w:pPr>
                  <w:r>
                    <w:rPr>
                      <w:rFonts w:hint="default" w:ascii="Times New Roman" w:hAnsi="Times New Roman" w:cs="Times New Roman"/>
                      <w:color w:val="auto"/>
                      <w:sz w:val="18"/>
                      <w:szCs w:val="18"/>
                    </w:rPr>
                    <w:t>厂界东、南、西、北厂界</w:t>
                  </w:r>
                </w:p>
              </w:tc>
              <w:tc>
                <w:tcPr>
                  <w:tcW w:w="845" w:type="pct"/>
                  <w:tcBorders>
                    <w:top w:val="single" w:color="000000" w:sz="4" w:space="0"/>
                    <w:left w:val="single" w:color="000000" w:sz="4" w:space="0"/>
                    <w:bottom w:val="single" w:color="000000" w:sz="4" w:space="0"/>
                    <w:right w:val="single" w:color="000000" w:sz="4" w:space="0"/>
                  </w:tcBorders>
                  <w:vAlign w:val="center"/>
                </w:tcPr>
                <w:p w14:paraId="4C05A633">
                  <w:pPr>
                    <w:jc w:val="center"/>
                    <w:rPr>
                      <w:rFonts w:hint="default" w:ascii="Times New Roman" w:hAnsi="Times New Roman" w:cs="Times New Roman"/>
                      <w:color w:val="auto"/>
                      <w:sz w:val="18"/>
                      <w:szCs w:val="18"/>
                      <w:lang w:val="zh-CN"/>
                    </w:rPr>
                  </w:pPr>
                  <w:r>
                    <w:rPr>
                      <w:rFonts w:hint="default" w:ascii="Times New Roman" w:hAnsi="Times New Roman" w:cs="Times New Roman"/>
                      <w:color w:val="auto"/>
                      <w:sz w:val="18"/>
                      <w:szCs w:val="18"/>
                    </w:rPr>
                    <w:t>dB(A)</w:t>
                  </w:r>
                </w:p>
              </w:tc>
              <w:tc>
                <w:tcPr>
                  <w:tcW w:w="694" w:type="pct"/>
                  <w:tcBorders>
                    <w:top w:val="single" w:color="000000" w:sz="4" w:space="0"/>
                    <w:left w:val="single" w:color="000000" w:sz="4" w:space="0"/>
                    <w:bottom w:val="single" w:color="000000" w:sz="4" w:space="0"/>
                    <w:right w:val="single" w:color="000000" w:sz="4" w:space="0"/>
                  </w:tcBorders>
                  <w:vAlign w:val="center"/>
                </w:tcPr>
                <w:p w14:paraId="0FC5D84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zh-CN"/>
                    </w:rPr>
                    <w:t>1次/</w:t>
                  </w:r>
                  <w:r>
                    <w:rPr>
                      <w:rFonts w:hint="default" w:ascii="Times New Roman" w:hAnsi="Times New Roman" w:cs="Times New Roman"/>
                      <w:color w:val="auto"/>
                      <w:sz w:val="18"/>
                      <w:szCs w:val="18"/>
                    </w:rPr>
                    <w:t>季度</w:t>
                  </w:r>
                </w:p>
              </w:tc>
              <w:tc>
                <w:tcPr>
                  <w:tcW w:w="1976" w:type="pct"/>
                  <w:tcBorders>
                    <w:top w:val="single" w:color="000000" w:sz="4" w:space="0"/>
                    <w:left w:val="single" w:color="000000" w:sz="4" w:space="0"/>
                    <w:bottom w:val="single" w:color="000000" w:sz="4" w:space="0"/>
                    <w:right w:val="nil"/>
                  </w:tcBorders>
                  <w:vAlign w:val="center"/>
                </w:tcPr>
                <w:p w14:paraId="34070F4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《工业企业厂界环境噪声排放标准》（GB12348-2008）3类、4类标准要求</w:t>
                  </w:r>
                </w:p>
              </w:tc>
            </w:tr>
          </w:tbl>
          <w:p w14:paraId="08A6B0BA">
            <w:pPr>
              <w:pStyle w:val="31"/>
              <w:adjustRightInd w:val="0"/>
              <w:snapToGrid w:val="0"/>
              <w:spacing w:before="0" w:beforeAutospacing="0" w:after="0" w:afterAutospacing="0"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此外，为了方便验收，本次环评罗列了如下竣工验收监测计划，具体如下：</w:t>
            </w:r>
          </w:p>
          <w:p w14:paraId="76F8BCF1">
            <w:pPr>
              <w:pStyle w:val="111"/>
              <w:spacing w:line="36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表4-12   本项目噪声竣工验收监测情况一览表</w:t>
            </w:r>
          </w:p>
          <w:tbl>
            <w:tblPr>
              <w:tblStyle w:val="35"/>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8"/>
              <w:gridCol w:w="1292"/>
              <w:gridCol w:w="1616"/>
              <w:gridCol w:w="3251"/>
            </w:tblGrid>
            <w:tr w14:paraId="3FB69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2" w:type="pct"/>
                  <w:tcBorders>
                    <w:top w:val="single" w:color="000000" w:sz="4" w:space="0"/>
                    <w:bottom w:val="single" w:color="000000" w:sz="4" w:space="0"/>
                    <w:right w:val="single" w:color="000000" w:sz="4" w:space="0"/>
                  </w:tcBorders>
                  <w:vAlign w:val="center"/>
                </w:tcPr>
                <w:p w14:paraId="6B263E1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监测点位</w:t>
                  </w:r>
                </w:p>
              </w:tc>
              <w:tc>
                <w:tcPr>
                  <w:tcW w:w="786" w:type="pct"/>
                  <w:tcBorders>
                    <w:top w:val="single" w:color="000000" w:sz="4" w:space="0"/>
                    <w:left w:val="single" w:color="000000" w:sz="4" w:space="0"/>
                    <w:bottom w:val="single" w:color="000000" w:sz="4" w:space="0"/>
                    <w:right w:val="single" w:color="000000" w:sz="4" w:space="0"/>
                  </w:tcBorders>
                  <w:vAlign w:val="center"/>
                </w:tcPr>
                <w:p w14:paraId="1D00F5C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监测项目</w:t>
                  </w:r>
                </w:p>
              </w:tc>
              <w:tc>
                <w:tcPr>
                  <w:tcW w:w="983" w:type="pct"/>
                  <w:tcBorders>
                    <w:top w:val="single" w:color="000000" w:sz="4" w:space="0"/>
                    <w:left w:val="single" w:color="000000" w:sz="4" w:space="0"/>
                    <w:bottom w:val="single" w:color="000000" w:sz="4" w:space="0"/>
                    <w:right w:val="single" w:color="000000" w:sz="4" w:space="0"/>
                  </w:tcBorders>
                  <w:vAlign w:val="center"/>
                </w:tcPr>
                <w:p w14:paraId="1169F5D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监测频率</w:t>
                  </w:r>
                </w:p>
              </w:tc>
              <w:tc>
                <w:tcPr>
                  <w:tcW w:w="1977" w:type="pct"/>
                  <w:tcBorders>
                    <w:top w:val="single" w:color="000000" w:sz="4" w:space="0"/>
                    <w:left w:val="single" w:color="000000" w:sz="4" w:space="0"/>
                    <w:bottom w:val="single" w:color="000000" w:sz="4" w:space="0"/>
                    <w:right w:val="nil"/>
                  </w:tcBorders>
                  <w:vAlign w:val="center"/>
                </w:tcPr>
                <w:p w14:paraId="1A24252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执行标准</w:t>
                  </w:r>
                </w:p>
              </w:tc>
            </w:tr>
            <w:tr w14:paraId="75BE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2" w:type="pct"/>
                  <w:tcBorders>
                    <w:top w:val="single" w:color="000000" w:sz="4" w:space="0"/>
                    <w:left w:val="nil"/>
                    <w:bottom w:val="single" w:color="000000" w:sz="4" w:space="0"/>
                    <w:right w:val="single" w:color="000000" w:sz="4" w:space="0"/>
                  </w:tcBorders>
                  <w:vAlign w:val="center"/>
                </w:tcPr>
                <w:p w14:paraId="5AE12F52">
                  <w:pPr>
                    <w:jc w:val="center"/>
                    <w:rPr>
                      <w:rFonts w:hint="default" w:ascii="Times New Roman" w:hAnsi="Times New Roman" w:cs="Times New Roman"/>
                      <w:color w:val="auto"/>
                      <w:sz w:val="18"/>
                      <w:szCs w:val="18"/>
                      <w:lang w:val="zh-CN"/>
                    </w:rPr>
                  </w:pPr>
                  <w:r>
                    <w:rPr>
                      <w:rFonts w:hint="default" w:ascii="Times New Roman" w:hAnsi="Times New Roman" w:cs="Times New Roman"/>
                      <w:color w:val="auto"/>
                      <w:sz w:val="18"/>
                      <w:szCs w:val="18"/>
                    </w:rPr>
                    <w:t>厂界东、南、西、北厂界</w:t>
                  </w:r>
                </w:p>
              </w:tc>
              <w:tc>
                <w:tcPr>
                  <w:tcW w:w="786" w:type="pct"/>
                  <w:tcBorders>
                    <w:top w:val="single" w:color="000000" w:sz="4" w:space="0"/>
                    <w:left w:val="single" w:color="000000" w:sz="4" w:space="0"/>
                    <w:bottom w:val="single" w:color="000000" w:sz="4" w:space="0"/>
                    <w:right w:val="single" w:color="000000" w:sz="4" w:space="0"/>
                  </w:tcBorders>
                  <w:vAlign w:val="center"/>
                </w:tcPr>
                <w:p w14:paraId="68E54251">
                  <w:pPr>
                    <w:jc w:val="center"/>
                    <w:rPr>
                      <w:rFonts w:hint="default" w:ascii="Times New Roman" w:hAnsi="Times New Roman" w:cs="Times New Roman"/>
                      <w:color w:val="auto"/>
                      <w:sz w:val="18"/>
                      <w:szCs w:val="18"/>
                      <w:lang w:val="zh-CN"/>
                    </w:rPr>
                  </w:pPr>
                  <w:r>
                    <w:rPr>
                      <w:rFonts w:hint="default" w:ascii="Times New Roman" w:hAnsi="Times New Roman" w:cs="Times New Roman"/>
                      <w:color w:val="auto"/>
                      <w:sz w:val="18"/>
                      <w:szCs w:val="18"/>
                    </w:rPr>
                    <w:t>dB(A)</w:t>
                  </w:r>
                </w:p>
              </w:tc>
              <w:tc>
                <w:tcPr>
                  <w:tcW w:w="983" w:type="pct"/>
                  <w:tcBorders>
                    <w:top w:val="single" w:color="000000" w:sz="4" w:space="0"/>
                    <w:left w:val="single" w:color="000000" w:sz="4" w:space="0"/>
                    <w:bottom w:val="single" w:color="000000" w:sz="4" w:space="0"/>
                    <w:right w:val="single" w:color="000000" w:sz="4" w:space="0"/>
                  </w:tcBorders>
                  <w:vAlign w:val="center"/>
                </w:tcPr>
                <w:p w14:paraId="0136B4B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连续监测2天，每天昼夜各一次</w:t>
                  </w:r>
                </w:p>
              </w:tc>
              <w:tc>
                <w:tcPr>
                  <w:tcW w:w="1977" w:type="pct"/>
                  <w:tcBorders>
                    <w:top w:val="single" w:color="000000" w:sz="4" w:space="0"/>
                    <w:left w:val="single" w:color="000000" w:sz="4" w:space="0"/>
                    <w:bottom w:val="single" w:color="000000" w:sz="4" w:space="0"/>
                    <w:right w:val="nil"/>
                  </w:tcBorders>
                  <w:vAlign w:val="center"/>
                </w:tcPr>
                <w:p w14:paraId="02491A4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《工业企业厂界环境噪声排放标准》（GB12348-2008）3类、4类标准要求</w:t>
                  </w:r>
                </w:p>
              </w:tc>
            </w:tr>
          </w:tbl>
          <w:p w14:paraId="129379AE">
            <w:pPr>
              <w:spacing w:before="120" w:beforeLines="50"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3.7结论</w:t>
            </w:r>
          </w:p>
          <w:p w14:paraId="3EAFBD1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厂界外50m范围内无敏感目标，项目运营后其噪声贡献值叠加背景值后外排噪声昼夜间项目区东北面靠近道路一侧30m范围内噪声可达《工业企业厂界环境噪声排放标准》（GB12348-2008）中的4类标准；其余厂界噪声可满足《工业企业厂界环境噪声排放标准》（GB12348-2008）中的3类标准，对周边环境影响较小。</w:t>
            </w:r>
          </w:p>
          <w:p w14:paraId="76F6BE26">
            <w:pPr>
              <w:adjustRightInd w:val="0"/>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4、固体废物影响</w:t>
            </w:r>
          </w:p>
          <w:p w14:paraId="72E9B5FB">
            <w:pPr>
              <w:pStyle w:val="4"/>
              <w:autoSpaceDE w:val="0"/>
              <w:spacing w:line="360" w:lineRule="auto"/>
              <w:ind w:firstLine="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4.1项目固体废物产生情况</w:t>
            </w:r>
          </w:p>
          <w:p w14:paraId="0AF759E5">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4.1.1一般固废</w:t>
            </w:r>
          </w:p>
          <w:p w14:paraId="4E405578">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1、边角料及不合格产品</w:t>
            </w:r>
          </w:p>
          <w:p w14:paraId="151BCE0A">
            <w:pPr>
              <w:tabs>
                <w:tab w:val="left" w:pos="195"/>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剪切、定减径及切头去尾过程中会产生固废，主要为边角料及不合格产品，经类比其他同类项目，项目在生产过程中产生的废边角料和不合格品约为产量的1.7%，项目产量为3万t/a无缝钢管，经核算，边角料及不合格产品产生量约510t/a，经收集后外售。</w:t>
            </w:r>
          </w:p>
          <w:p w14:paraId="66BC0942">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2、氧化铁皮</w:t>
            </w:r>
          </w:p>
          <w:p w14:paraId="56BC0896">
            <w:pPr>
              <w:tabs>
                <w:tab w:val="left" w:pos="195"/>
              </w:tabs>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项目加热及穿孔过程中会产生氧化铁皮，经类比其他同类项目，项目在生产过程中产生的氧化铁皮量约占无缝钢管量的0.3%，项目产量为3万t/a无缝钢管，经核算，边角料及不合格产品产生量约90t/a，经收集后外售。</w:t>
            </w:r>
          </w:p>
          <w:p w14:paraId="06A233A5">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4.1.2危险废物</w:t>
            </w:r>
          </w:p>
          <w:p w14:paraId="17A3E98E">
            <w:pPr>
              <w:tabs>
                <w:tab w:val="left" w:pos="195"/>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项目生产过程中危险废物主要为废机油</w:t>
            </w:r>
            <w:r>
              <w:rPr>
                <w:rFonts w:hint="default" w:ascii="Times New Roman" w:hAnsi="Times New Roman" w:cs="Times New Roman"/>
                <w:color w:val="auto"/>
                <w:sz w:val="24"/>
                <w:lang w:eastAsia="zh-CN"/>
              </w:rPr>
              <w:t>、废弃含油抹布和劳保用品</w:t>
            </w:r>
            <w:r>
              <w:rPr>
                <w:rFonts w:hint="default" w:ascii="Times New Roman" w:hAnsi="Times New Roman" w:cs="Times New Roman"/>
                <w:color w:val="auto"/>
                <w:sz w:val="24"/>
              </w:rPr>
              <w:t>。</w:t>
            </w:r>
          </w:p>
          <w:p w14:paraId="444A7C4A">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cs="Times New Roman"/>
                <w:color w:val="auto"/>
                <w:sz w:val="24"/>
              </w:rPr>
              <w:t>（1）</w:t>
            </w:r>
            <w:r>
              <w:rPr>
                <w:rFonts w:hint="default" w:ascii="Times New Roman" w:hAnsi="Times New Roman" w:eastAsia="宋体" w:cs="Times New Roman"/>
                <w:b w:val="0"/>
                <w:bCs w:val="0"/>
                <w:color w:val="auto"/>
                <w:kern w:val="0"/>
                <w:sz w:val="24"/>
                <w:szCs w:val="24"/>
                <w:lang w:val="en-US" w:eastAsia="zh-CN"/>
              </w:rPr>
              <w:t>废弃含油抹布</w:t>
            </w:r>
            <w:r>
              <w:rPr>
                <w:rFonts w:hint="default" w:ascii="Times New Roman" w:hAnsi="Times New Roman" w:eastAsia="宋体" w:cs="Times New Roman"/>
                <w:b w:val="0"/>
                <w:bCs w:val="0"/>
                <w:color w:val="auto"/>
                <w:sz w:val="24"/>
                <w:szCs w:val="24"/>
                <w:lang w:val="en-US" w:eastAsia="zh-CN"/>
              </w:rPr>
              <w:t>和劳保用品</w:t>
            </w:r>
          </w:p>
          <w:p w14:paraId="57C61A5D">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本项目机械设备维修时会产生少量的废弃含油抹布和劳保用品，属于HW49类危险废物，废物代码为900-041-49，废弃含油抹布和劳保用品产生量较小（0.01t/a）</w:t>
            </w:r>
            <w:r>
              <w:rPr>
                <w:rFonts w:hint="eastAsia" w:cs="Times New Roman"/>
                <w:b w:val="0"/>
                <w:bCs w:val="0"/>
                <w:color w:val="auto"/>
                <w:sz w:val="24"/>
                <w:szCs w:val="24"/>
                <w:lang w:val="en-US" w:eastAsia="zh-CN"/>
              </w:rPr>
              <w:t>。根据《国家危险废物名录》含油废抹布和手套属于“危险废物豁免管理清单”中的危险废物（废物代码900-041-49），废弃含油抹布、手套豁免内容为全过程不按危险废物管理，豁免条件为混入生活垃圾，豁免环节为全部环节。因此本次评价提出，项目建成运行后对设备抢修产生的含油废抹布和手套进行分类收集，暂存于危险废物贮存库内，定期委托有资质的单位处置。</w:t>
            </w:r>
          </w:p>
          <w:p w14:paraId="0643B14D">
            <w:pPr>
              <w:tabs>
                <w:tab w:val="left" w:pos="195"/>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废机油产生情况</w:t>
            </w:r>
          </w:p>
          <w:p w14:paraId="6DF579BD">
            <w:pPr>
              <w:tabs>
                <w:tab w:val="left" w:pos="195"/>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机械设备在维护过程中将会产生废机油，其产生量约为0.1t/a，根据《国家危险废物名录（2025年版）》，废机油为危险废物（废机油类别属“HW08废矿物油”，废物代码为“900-249-08”），公司轧钢车间内已建设1座危险废物贮存库，废机油用专门的储油桶收集，暂存于危险废物贮存库中，然后返回对设备进行润滑使用，在厂区内能自行利用，本环评提出项目运行后若利用不完，必须定期委托有资质的单位处置，储存和转运符合《危险废物贮存污染控制标准》（GB18597-2023）相关要求，建设完善的危废管理制度和转运联单，项目废机油得到合理处置。</w:t>
            </w:r>
          </w:p>
          <w:p w14:paraId="7D4C2C4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）危险废物暂存依托性分析</w:t>
            </w:r>
          </w:p>
          <w:p w14:paraId="6E4BEA9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公司厂区内现建有一座危险废物贮存库，地面经过钢筋混凝土硬化及防渗要求，废油均经过桶装后临时放置在危险废物贮存库中，不会导致废油液下渗对地下水和土壤造成影响，危险废物贮存、处置满足《危险废物贮存污染控制标准》（GB18597-2023）中的相关要求，各车间对产生的危险废物进行严格管理，对公司产生的危险废物进行详细的登记，填写《危险废物产生贮存台账》，并对危险废物的贮存量及时上报安全环保部；需要转移危险废物时，必须按照相关规定办理危险废物转移联单，未经批准，不得进行转移。</w:t>
            </w:r>
          </w:p>
          <w:p w14:paraId="7174CA92">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在贮存场所设置了明显标志，贮存场所应采取防火、防渗等措施，严格执行《危险废物贮存污染控制标准》（GB18597-2023）的相关要求。</w:t>
            </w:r>
          </w:p>
          <w:p w14:paraId="288C4A2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因此本项目产生的废油依托危险废物贮存库暂存可行。</w:t>
            </w:r>
          </w:p>
          <w:p w14:paraId="2904E760">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）危废管理措施</w:t>
            </w:r>
          </w:p>
          <w:p w14:paraId="3C2D0C5E">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厂区内设置专门的环保专员负责环保设施运行的管理和维护，产生的危险废物不得私自处置，进出厂区需要建立台账和环境保护管理制度，不得在本项目厂区内储存，可有效解决危废产生的环境影响。</w:t>
            </w:r>
          </w:p>
          <w:p w14:paraId="2740385C">
            <w:pPr>
              <w:pStyle w:val="18"/>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综上，本项目固废均得到了合理的处置，对环境影响较小。</w:t>
            </w:r>
          </w:p>
          <w:p w14:paraId="65BEDC77">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4.1.3其他固废</w:t>
            </w:r>
          </w:p>
          <w:p w14:paraId="661CA02A">
            <w:pPr>
              <w:pStyle w:val="4"/>
              <w:autoSpaceDE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（1）生活垃圾</w:t>
            </w:r>
          </w:p>
          <w:p w14:paraId="73394A6A">
            <w:pPr>
              <w:tabs>
                <w:tab w:val="left" w:pos="195"/>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项目新增职工50人，生活垃圾按1.2kg/d.人计，经核算，生活垃圾产生量为60kg/d、18t/a，生活垃圾统一收集后委托环卫部门清运处置。</w:t>
            </w:r>
          </w:p>
          <w:p w14:paraId="77E8B892">
            <w:pPr>
              <w:pStyle w:val="4"/>
              <w:autoSpaceDE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（2）化粪池污泥</w:t>
            </w:r>
          </w:p>
          <w:p w14:paraId="35FDA0D1">
            <w:pPr>
              <w:tabs>
                <w:tab w:val="left" w:pos="195"/>
              </w:tabs>
              <w:spacing w:line="360" w:lineRule="auto"/>
              <w:ind w:left="420" w:leftChars="200"/>
              <w:rPr>
                <w:rFonts w:hint="default" w:ascii="Times New Roman" w:hAnsi="Times New Roman" w:cs="Times New Roman"/>
                <w:color w:val="auto"/>
                <w:sz w:val="24"/>
              </w:rPr>
            </w:pPr>
            <w:r>
              <w:rPr>
                <w:rFonts w:hint="default" w:ascii="Times New Roman" w:hAnsi="Times New Roman" w:cs="Times New Roman"/>
                <w:color w:val="auto"/>
                <w:sz w:val="24"/>
              </w:rPr>
              <w:t>化粪池污泥产生量约为0.2t/a，委托环卫部门采用吸粪车运走。</w:t>
            </w:r>
          </w:p>
          <w:p w14:paraId="5E0F3B6E">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4.2项目固体废物属性判定</w:t>
            </w:r>
          </w:p>
          <w:p w14:paraId="0967CC12">
            <w:pPr>
              <w:pStyle w:val="4"/>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根据《中华人民共和国固体废物污染环境防治法》、《固体废物鉴别标准  通则》（GB34330-2025），对建设单位产生的物质（除目标产物，即产品、副产品外）依据产生来源、利用和处置过程鉴别属于固体废物并且作为固体废物管理的物质，应按照《国家危险废物名录》（2025年版）、《危险废物鉴别标准  通则》（GB5085.7）等进行属性判定。</w:t>
            </w:r>
          </w:p>
          <w:p w14:paraId="6E0C9199">
            <w:pPr>
              <w:spacing w:line="360" w:lineRule="auto"/>
              <w:ind w:firstLine="480" w:firstLineChars="200"/>
              <w:rPr>
                <w:rFonts w:hint="default" w:ascii="Times New Roman" w:hAnsi="Times New Roman" w:eastAsia="黑体" w:cs="Times New Roman"/>
                <w:color w:val="auto"/>
                <w:szCs w:val="21"/>
              </w:rPr>
            </w:pPr>
            <w:r>
              <w:rPr>
                <w:rFonts w:hint="default" w:ascii="Times New Roman" w:hAnsi="Times New Roman" w:cs="Times New Roman"/>
                <w:color w:val="auto"/>
                <w:sz w:val="24"/>
              </w:rPr>
              <w:t>根据《固体废物鉴别标准  通则》（GB34330-2025）的规定对本项目副产物的属性进行判定，见下表。</w:t>
            </w:r>
          </w:p>
          <w:p w14:paraId="733A8A39">
            <w:pPr>
              <w:pStyle w:val="111"/>
              <w:spacing w:line="36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表4-13   本项目运营过程中产生的固体废物属性判定结果一览表</w:t>
            </w:r>
          </w:p>
          <w:tbl>
            <w:tblPr>
              <w:tblStyle w:val="35"/>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97"/>
              <w:gridCol w:w="1318"/>
              <w:gridCol w:w="1780"/>
              <w:gridCol w:w="1626"/>
              <w:gridCol w:w="1681"/>
              <w:gridCol w:w="1138"/>
            </w:tblGrid>
            <w:tr w14:paraId="6B0A621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3" w:type="pct"/>
                  <w:tcBorders>
                    <w:tl2br w:val="nil"/>
                    <w:tr2bl w:val="nil"/>
                  </w:tcBorders>
                  <w:vAlign w:val="center"/>
                </w:tcPr>
                <w:p w14:paraId="27D59F6D">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799" w:type="pct"/>
                  <w:tcBorders>
                    <w:tl2br w:val="nil"/>
                    <w:tr2bl w:val="nil"/>
                  </w:tcBorders>
                  <w:vAlign w:val="center"/>
                </w:tcPr>
                <w:p w14:paraId="4951CFAB">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固废名称</w:t>
                  </w:r>
                </w:p>
              </w:tc>
              <w:tc>
                <w:tcPr>
                  <w:tcW w:w="1079" w:type="pct"/>
                  <w:tcBorders>
                    <w:tl2br w:val="nil"/>
                    <w:tr2bl w:val="nil"/>
                  </w:tcBorders>
                  <w:vAlign w:val="center"/>
                </w:tcPr>
                <w:p w14:paraId="6298C05D">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产生工序</w:t>
                  </w:r>
                </w:p>
              </w:tc>
              <w:tc>
                <w:tcPr>
                  <w:tcW w:w="986" w:type="pct"/>
                  <w:tcBorders>
                    <w:tl2br w:val="nil"/>
                    <w:tr2bl w:val="nil"/>
                  </w:tcBorders>
                  <w:vAlign w:val="center"/>
                </w:tcPr>
                <w:p w14:paraId="1918A98C">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主要成分</w:t>
                  </w:r>
                </w:p>
              </w:tc>
              <w:tc>
                <w:tcPr>
                  <w:tcW w:w="1019" w:type="pct"/>
                  <w:tcBorders>
                    <w:tl2br w:val="nil"/>
                    <w:tr2bl w:val="nil"/>
                  </w:tcBorders>
                  <w:vAlign w:val="center"/>
                </w:tcPr>
                <w:p w14:paraId="622D19B4">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是否属于固体废物</w:t>
                  </w:r>
                </w:p>
              </w:tc>
              <w:tc>
                <w:tcPr>
                  <w:tcW w:w="690" w:type="pct"/>
                  <w:tcBorders>
                    <w:tl2br w:val="nil"/>
                    <w:tr2bl w:val="nil"/>
                  </w:tcBorders>
                  <w:vAlign w:val="center"/>
                </w:tcPr>
                <w:p w14:paraId="773FF0EB">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判定依据</w:t>
                  </w:r>
                </w:p>
              </w:tc>
            </w:tr>
            <w:tr w14:paraId="03587D4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3" w:type="pct"/>
                  <w:tcBorders>
                    <w:tl2br w:val="nil"/>
                    <w:tr2bl w:val="nil"/>
                  </w:tcBorders>
                  <w:vAlign w:val="center"/>
                </w:tcPr>
                <w:p w14:paraId="08626DAB">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799" w:type="pct"/>
                  <w:tcBorders>
                    <w:tl2br w:val="nil"/>
                    <w:tr2bl w:val="nil"/>
                  </w:tcBorders>
                  <w:vAlign w:val="center"/>
                </w:tcPr>
                <w:p w14:paraId="4315F417">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边角料及不合格产品</w:t>
                  </w:r>
                </w:p>
              </w:tc>
              <w:tc>
                <w:tcPr>
                  <w:tcW w:w="1079" w:type="pct"/>
                  <w:tcBorders>
                    <w:tl2br w:val="nil"/>
                    <w:tr2bl w:val="nil"/>
                  </w:tcBorders>
                  <w:vAlign w:val="center"/>
                </w:tcPr>
                <w:p w14:paraId="3C41EE52">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剪切、定减径及切头去尾过程</w:t>
                  </w:r>
                </w:p>
              </w:tc>
              <w:tc>
                <w:tcPr>
                  <w:tcW w:w="986" w:type="pct"/>
                  <w:tcBorders>
                    <w:tl2br w:val="nil"/>
                    <w:tr2bl w:val="nil"/>
                  </w:tcBorders>
                  <w:vAlign w:val="center"/>
                </w:tcPr>
                <w:p w14:paraId="4860A312">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铁</w:t>
                  </w:r>
                </w:p>
              </w:tc>
              <w:tc>
                <w:tcPr>
                  <w:tcW w:w="1019" w:type="pct"/>
                  <w:tcBorders>
                    <w:tl2br w:val="nil"/>
                    <w:tr2bl w:val="nil"/>
                  </w:tcBorders>
                  <w:vAlign w:val="center"/>
                </w:tcPr>
                <w:p w14:paraId="3E5CB6DE">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690" w:type="pct"/>
                  <w:tcBorders>
                    <w:tl2br w:val="nil"/>
                    <w:tr2bl w:val="nil"/>
                  </w:tcBorders>
                  <w:vAlign w:val="center"/>
                </w:tcPr>
                <w:p w14:paraId="05E02783">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A.2d(1)</w:t>
                  </w:r>
                </w:p>
              </w:tc>
            </w:tr>
            <w:tr w14:paraId="3480C36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3" w:type="pct"/>
                  <w:tcBorders>
                    <w:tl2br w:val="nil"/>
                    <w:tr2bl w:val="nil"/>
                  </w:tcBorders>
                  <w:vAlign w:val="center"/>
                </w:tcPr>
                <w:p w14:paraId="74CB82A1">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799" w:type="pct"/>
                  <w:tcBorders>
                    <w:tl2br w:val="nil"/>
                    <w:tr2bl w:val="nil"/>
                  </w:tcBorders>
                  <w:vAlign w:val="center"/>
                </w:tcPr>
                <w:p w14:paraId="3E5F5944">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氧化铁皮</w:t>
                  </w:r>
                </w:p>
              </w:tc>
              <w:tc>
                <w:tcPr>
                  <w:tcW w:w="1079" w:type="pct"/>
                  <w:tcBorders>
                    <w:tl2br w:val="nil"/>
                    <w:tr2bl w:val="nil"/>
                  </w:tcBorders>
                  <w:vAlign w:val="center"/>
                </w:tcPr>
                <w:p w14:paraId="6AF06C6D">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加热及穿孔过程</w:t>
                  </w:r>
                </w:p>
              </w:tc>
              <w:tc>
                <w:tcPr>
                  <w:tcW w:w="986" w:type="pct"/>
                  <w:tcBorders>
                    <w:tl2br w:val="nil"/>
                    <w:tr2bl w:val="nil"/>
                  </w:tcBorders>
                  <w:vAlign w:val="center"/>
                </w:tcPr>
                <w:p w14:paraId="247C92ED">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铁</w:t>
                  </w:r>
                </w:p>
              </w:tc>
              <w:tc>
                <w:tcPr>
                  <w:tcW w:w="1019" w:type="pct"/>
                  <w:tcBorders>
                    <w:tl2br w:val="nil"/>
                    <w:tr2bl w:val="nil"/>
                  </w:tcBorders>
                  <w:vAlign w:val="center"/>
                </w:tcPr>
                <w:p w14:paraId="5A1D555A">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690" w:type="pct"/>
                  <w:tcBorders>
                    <w:tl2br w:val="nil"/>
                    <w:tr2bl w:val="nil"/>
                  </w:tcBorders>
                  <w:vAlign w:val="center"/>
                </w:tcPr>
                <w:p w14:paraId="326053EF">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A.2c(1)</w:t>
                  </w:r>
                </w:p>
              </w:tc>
            </w:tr>
            <w:tr w14:paraId="42927EF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3" w:type="pct"/>
                  <w:tcBorders>
                    <w:tl2br w:val="nil"/>
                    <w:tr2bl w:val="nil"/>
                  </w:tcBorders>
                  <w:vAlign w:val="center"/>
                </w:tcPr>
                <w:p w14:paraId="4AD61100">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799" w:type="pct"/>
                  <w:tcBorders>
                    <w:tl2br w:val="nil"/>
                    <w:tr2bl w:val="nil"/>
                  </w:tcBorders>
                  <w:vAlign w:val="center"/>
                </w:tcPr>
                <w:p w14:paraId="11571621">
                  <w:pPr>
                    <w:pStyle w:val="4"/>
                    <w:adjustRightInd/>
                    <w:spacing w:line="276" w:lineRule="auto"/>
                    <w:ind w:firstLine="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废机油</w:t>
                  </w:r>
                  <w:r>
                    <w:rPr>
                      <w:rFonts w:hint="default" w:ascii="Times New Roman" w:hAnsi="Times New Roman" w:cs="Times New Roman"/>
                      <w:color w:val="auto"/>
                      <w:sz w:val="18"/>
                      <w:szCs w:val="18"/>
                      <w:lang w:eastAsia="zh-CN"/>
                    </w:rPr>
                    <w:t>、废弃含油抹布和劳保用品</w:t>
                  </w:r>
                </w:p>
              </w:tc>
              <w:tc>
                <w:tcPr>
                  <w:tcW w:w="1079" w:type="pct"/>
                  <w:tcBorders>
                    <w:tl2br w:val="nil"/>
                    <w:tr2bl w:val="nil"/>
                  </w:tcBorders>
                  <w:vAlign w:val="center"/>
                </w:tcPr>
                <w:p w14:paraId="54F89D65">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设备日常维修</w:t>
                  </w:r>
                </w:p>
              </w:tc>
              <w:tc>
                <w:tcPr>
                  <w:tcW w:w="986" w:type="pct"/>
                  <w:tcBorders>
                    <w:tl2br w:val="nil"/>
                    <w:tr2bl w:val="nil"/>
                  </w:tcBorders>
                  <w:vAlign w:val="center"/>
                </w:tcPr>
                <w:p w14:paraId="60BB0860">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油类</w:t>
                  </w:r>
                </w:p>
              </w:tc>
              <w:tc>
                <w:tcPr>
                  <w:tcW w:w="1019" w:type="pct"/>
                  <w:tcBorders>
                    <w:tl2br w:val="nil"/>
                    <w:tr2bl w:val="nil"/>
                  </w:tcBorders>
                  <w:vAlign w:val="center"/>
                </w:tcPr>
                <w:p w14:paraId="023D3F2B">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690" w:type="pct"/>
                  <w:tcBorders>
                    <w:tl2br w:val="nil"/>
                    <w:tr2bl w:val="nil"/>
                  </w:tcBorders>
                  <w:vAlign w:val="center"/>
                </w:tcPr>
                <w:p w14:paraId="02AD0481">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A.1c(3)</w:t>
                  </w:r>
                </w:p>
              </w:tc>
            </w:tr>
            <w:tr w14:paraId="5695D4B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3" w:type="pct"/>
                  <w:tcBorders>
                    <w:tl2br w:val="nil"/>
                    <w:tr2bl w:val="nil"/>
                  </w:tcBorders>
                  <w:vAlign w:val="center"/>
                </w:tcPr>
                <w:p w14:paraId="091D99C1">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799" w:type="pct"/>
                  <w:tcBorders>
                    <w:tl2br w:val="nil"/>
                    <w:tr2bl w:val="nil"/>
                  </w:tcBorders>
                  <w:vAlign w:val="center"/>
                </w:tcPr>
                <w:p w14:paraId="4FA02CA5">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生活垃圾</w:t>
                  </w:r>
                </w:p>
              </w:tc>
              <w:tc>
                <w:tcPr>
                  <w:tcW w:w="1079" w:type="pct"/>
                  <w:tcBorders>
                    <w:tl2br w:val="nil"/>
                    <w:tr2bl w:val="nil"/>
                  </w:tcBorders>
                  <w:vAlign w:val="center"/>
                </w:tcPr>
                <w:p w14:paraId="4EDDA43C">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办公生活</w:t>
                  </w:r>
                </w:p>
              </w:tc>
              <w:tc>
                <w:tcPr>
                  <w:tcW w:w="986" w:type="pct"/>
                  <w:tcBorders>
                    <w:tl2br w:val="nil"/>
                    <w:tr2bl w:val="nil"/>
                  </w:tcBorders>
                  <w:vAlign w:val="center"/>
                </w:tcPr>
                <w:p w14:paraId="27F27A06">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包装物、纸屑等</w:t>
                  </w:r>
                </w:p>
              </w:tc>
              <w:tc>
                <w:tcPr>
                  <w:tcW w:w="1019" w:type="pct"/>
                  <w:tcBorders>
                    <w:tl2br w:val="nil"/>
                    <w:tr2bl w:val="nil"/>
                  </w:tcBorders>
                  <w:vAlign w:val="center"/>
                </w:tcPr>
                <w:p w14:paraId="1C40050F">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690" w:type="pct"/>
                  <w:tcBorders>
                    <w:tl2br w:val="nil"/>
                    <w:tr2bl w:val="nil"/>
                  </w:tcBorders>
                  <w:vAlign w:val="center"/>
                </w:tcPr>
                <w:p w14:paraId="5F0ED1DC">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A.3d(2)</w:t>
                  </w:r>
                </w:p>
              </w:tc>
            </w:tr>
            <w:tr w14:paraId="2F87EAD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23" w:type="pct"/>
                  <w:tcBorders>
                    <w:tl2br w:val="nil"/>
                    <w:tr2bl w:val="nil"/>
                  </w:tcBorders>
                  <w:vAlign w:val="center"/>
                </w:tcPr>
                <w:p w14:paraId="4D0E4A9E">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799" w:type="pct"/>
                  <w:tcBorders>
                    <w:tl2br w:val="nil"/>
                    <w:tr2bl w:val="nil"/>
                  </w:tcBorders>
                  <w:vAlign w:val="center"/>
                </w:tcPr>
                <w:p w14:paraId="38517CF2">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污泥</w:t>
                  </w:r>
                </w:p>
              </w:tc>
              <w:tc>
                <w:tcPr>
                  <w:tcW w:w="1079" w:type="pct"/>
                  <w:tcBorders>
                    <w:tl2br w:val="nil"/>
                    <w:tr2bl w:val="nil"/>
                  </w:tcBorders>
                  <w:vAlign w:val="center"/>
                </w:tcPr>
                <w:p w14:paraId="293318D2">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化粪池</w:t>
                  </w:r>
                </w:p>
              </w:tc>
              <w:tc>
                <w:tcPr>
                  <w:tcW w:w="986" w:type="pct"/>
                  <w:tcBorders>
                    <w:tl2br w:val="nil"/>
                    <w:tr2bl w:val="nil"/>
                  </w:tcBorders>
                  <w:vAlign w:val="center"/>
                </w:tcPr>
                <w:p w14:paraId="284C0004">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有机物、无机物</w:t>
                  </w:r>
                </w:p>
              </w:tc>
              <w:tc>
                <w:tcPr>
                  <w:tcW w:w="1019" w:type="pct"/>
                  <w:tcBorders>
                    <w:tl2br w:val="nil"/>
                    <w:tr2bl w:val="nil"/>
                  </w:tcBorders>
                  <w:vAlign w:val="center"/>
                </w:tcPr>
                <w:p w14:paraId="06A9571F">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690" w:type="pct"/>
                  <w:tcBorders>
                    <w:tl2br w:val="nil"/>
                    <w:tr2bl w:val="nil"/>
                  </w:tcBorders>
                  <w:vAlign w:val="center"/>
                </w:tcPr>
                <w:p w14:paraId="2980068C">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A.3d(2)</w:t>
                  </w:r>
                </w:p>
              </w:tc>
            </w:tr>
          </w:tbl>
          <w:p w14:paraId="0C4A47D4">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对于本项目产生的固体废物，根据《国家危险废物名录》（2025版）、《危险废物鉴别标准  通则》（GB5085.7）以及《建设项目危险废物环境影响评价指南》，判定是否属于危险废物，判定结果见下表。</w:t>
            </w:r>
          </w:p>
          <w:p w14:paraId="18B24930">
            <w:pPr>
              <w:pStyle w:val="111"/>
              <w:spacing w:line="36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表4-14  本项目固体废物危险属性判定结果一览表</w:t>
            </w:r>
          </w:p>
          <w:tbl>
            <w:tblPr>
              <w:tblStyle w:val="35"/>
              <w:tblW w:w="493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72"/>
              <w:gridCol w:w="1192"/>
              <w:gridCol w:w="1399"/>
              <w:gridCol w:w="633"/>
              <w:gridCol w:w="1483"/>
              <w:gridCol w:w="1064"/>
              <w:gridCol w:w="828"/>
              <w:gridCol w:w="1054"/>
            </w:tblGrid>
            <w:tr w14:paraId="300B730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vMerge w:val="restart"/>
                  <w:tcBorders>
                    <w:tl2br w:val="nil"/>
                    <w:tr2bl w:val="nil"/>
                  </w:tcBorders>
                  <w:vAlign w:val="center"/>
                </w:tcPr>
                <w:p w14:paraId="0AAE809F">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733" w:type="pct"/>
                  <w:vMerge w:val="restart"/>
                  <w:tcBorders>
                    <w:tl2br w:val="nil"/>
                    <w:tr2bl w:val="nil"/>
                  </w:tcBorders>
                  <w:vAlign w:val="center"/>
                </w:tcPr>
                <w:p w14:paraId="6389007E">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固废名称</w:t>
                  </w:r>
                </w:p>
              </w:tc>
              <w:tc>
                <w:tcPr>
                  <w:tcW w:w="860" w:type="pct"/>
                  <w:vMerge w:val="restart"/>
                  <w:tcBorders>
                    <w:tl2br w:val="nil"/>
                    <w:tr2bl w:val="nil"/>
                  </w:tcBorders>
                  <w:vAlign w:val="center"/>
                </w:tcPr>
                <w:p w14:paraId="19E4CC79">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产生工序</w:t>
                  </w:r>
                </w:p>
              </w:tc>
              <w:tc>
                <w:tcPr>
                  <w:tcW w:w="389" w:type="pct"/>
                  <w:vMerge w:val="restart"/>
                  <w:tcBorders>
                    <w:tl2br w:val="nil"/>
                    <w:tr2bl w:val="nil"/>
                  </w:tcBorders>
                  <w:vAlign w:val="center"/>
                </w:tcPr>
                <w:p w14:paraId="79850A9B">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形态</w:t>
                  </w:r>
                </w:p>
              </w:tc>
              <w:tc>
                <w:tcPr>
                  <w:tcW w:w="912" w:type="pct"/>
                  <w:vMerge w:val="restart"/>
                  <w:tcBorders>
                    <w:tl2br w:val="nil"/>
                    <w:tr2bl w:val="nil"/>
                  </w:tcBorders>
                  <w:vAlign w:val="center"/>
                </w:tcPr>
                <w:p w14:paraId="7FF4D58A">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属性（危险废物、一般工业固体废物或待鉴定）</w:t>
                  </w:r>
                </w:p>
              </w:tc>
              <w:tc>
                <w:tcPr>
                  <w:tcW w:w="654" w:type="pct"/>
                  <w:vMerge w:val="restart"/>
                  <w:tcBorders>
                    <w:tl2br w:val="nil"/>
                    <w:tr2bl w:val="nil"/>
                  </w:tcBorders>
                  <w:vAlign w:val="center"/>
                </w:tcPr>
                <w:p w14:paraId="6EB10B70">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危险特性鉴别方法</w:t>
                  </w:r>
                </w:p>
              </w:tc>
              <w:tc>
                <w:tcPr>
                  <w:tcW w:w="1157" w:type="pct"/>
                  <w:gridSpan w:val="2"/>
                  <w:tcBorders>
                    <w:tl2br w:val="nil"/>
                    <w:tr2bl w:val="nil"/>
                  </w:tcBorders>
                  <w:vAlign w:val="center"/>
                </w:tcPr>
                <w:p w14:paraId="1910AEB7">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废物代码</w:t>
                  </w:r>
                </w:p>
              </w:tc>
            </w:tr>
            <w:tr w14:paraId="74BA9C2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vMerge w:val="continue"/>
                  <w:tcBorders>
                    <w:tl2br w:val="nil"/>
                    <w:tr2bl w:val="nil"/>
                  </w:tcBorders>
                  <w:vAlign w:val="center"/>
                </w:tcPr>
                <w:p w14:paraId="4248B77F">
                  <w:pPr>
                    <w:widowControl/>
                    <w:spacing w:line="276" w:lineRule="auto"/>
                    <w:jc w:val="center"/>
                    <w:rPr>
                      <w:rFonts w:hint="default" w:ascii="Times New Roman" w:hAnsi="Times New Roman" w:cs="Times New Roman"/>
                      <w:color w:val="auto"/>
                      <w:sz w:val="18"/>
                      <w:szCs w:val="18"/>
                    </w:rPr>
                  </w:pPr>
                </w:p>
              </w:tc>
              <w:tc>
                <w:tcPr>
                  <w:tcW w:w="733" w:type="pct"/>
                  <w:vMerge w:val="continue"/>
                  <w:tcBorders>
                    <w:tl2br w:val="nil"/>
                    <w:tr2bl w:val="nil"/>
                  </w:tcBorders>
                  <w:vAlign w:val="center"/>
                </w:tcPr>
                <w:p w14:paraId="7AB468D0">
                  <w:pPr>
                    <w:widowControl/>
                    <w:spacing w:line="276" w:lineRule="auto"/>
                    <w:jc w:val="center"/>
                    <w:rPr>
                      <w:rFonts w:hint="default" w:ascii="Times New Roman" w:hAnsi="Times New Roman" w:cs="Times New Roman"/>
                      <w:color w:val="auto"/>
                      <w:sz w:val="18"/>
                      <w:szCs w:val="18"/>
                    </w:rPr>
                  </w:pPr>
                </w:p>
              </w:tc>
              <w:tc>
                <w:tcPr>
                  <w:tcW w:w="860" w:type="pct"/>
                  <w:vMerge w:val="continue"/>
                  <w:tcBorders>
                    <w:tl2br w:val="nil"/>
                    <w:tr2bl w:val="nil"/>
                  </w:tcBorders>
                  <w:vAlign w:val="center"/>
                </w:tcPr>
                <w:p w14:paraId="7625E00E">
                  <w:pPr>
                    <w:widowControl/>
                    <w:spacing w:line="276" w:lineRule="auto"/>
                    <w:jc w:val="center"/>
                    <w:rPr>
                      <w:rFonts w:hint="default" w:ascii="Times New Roman" w:hAnsi="Times New Roman" w:cs="Times New Roman"/>
                      <w:color w:val="auto"/>
                      <w:sz w:val="18"/>
                      <w:szCs w:val="18"/>
                    </w:rPr>
                  </w:pPr>
                </w:p>
              </w:tc>
              <w:tc>
                <w:tcPr>
                  <w:tcW w:w="389" w:type="pct"/>
                  <w:vMerge w:val="continue"/>
                  <w:tcBorders>
                    <w:tl2br w:val="nil"/>
                    <w:tr2bl w:val="nil"/>
                  </w:tcBorders>
                  <w:vAlign w:val="center"/>
                </w:tcPr>
                <w:p w14:paraId="261179E4">
                  <w:pPr>
                    <w:widowControl/>
                    <w:spacing w:line="276" w:lineRule="auto"/>
                    <w:jc w:val="center"/>
                    <w:rPr>
                      <w:rFonts w:hint="default" w:ascii="Times New Roman" w:hAnsi="Times New Roman" w:cs="Times New Roman"/>
                      <w:color w:val="auto"/>
                      <w:sz w:val="18"/>
                      <w:szCs w:val="18"/>
                    </w:rPr>
                  </w:pPr>
                </w:p>
              </w:tc>
              <w:tc>
                <w:tcPr>
                  <w:tcW w:w="912" w:type="pct"/>
                  <w:vMerge w:val="continue"/>
                  <w:tcBorders>
                    <w:tl2br w:val="nil"/>
                    <w:tr2bl w:val="nil"/>
                  </w:tcBorders>
                  <w:vAlign w:val="center"/>
                </w:tcPr>
                <w:p w14:paraId="077DDC99">
                  <w:pPr>
                    <w:widowControl/>
                    <w:spacing w:line="276" w:lineRule="auto"/>
                    <w:jc w:val="center"/>
                    <w:rPr>
                      <w:rFonts w:hint="default" w:ascii="Times New Roman" w:hAnsi="Times New Roman" w:cs="Times New Roman"/>
                      <w:color w:val="auto"/>
                      <w:sz w:val="18"/>
                      <w:szCs w:val="18"/>
                    </w:rPr>
                  </w:pPr>
                </w:p>
              </w:tc>
              <w:tc>
                <w:tcPr>
                  <w:tcW w:w="654" w:type="pct"/>
                  <w:vMerge w:val="continue"/>
                  <w:tcBorders>
                    <w:tl2br w:val="nil"/>
                    <w:tr2bl w:val="nil"/>
                  </w:tcBorders>
                  <w:vAlign w:val="center"/>
                </w:tcPr>
                <w:p w14:paraId="028498FA">
                  <w:pPr>
                    <w:widowControl/>
                    <w:spacing w:line="276" w:lineRule="auto"/>
                    <w:jc w:val="center"/>
                    <w:rPr>
                      <w:rFonts w:hint="default" w:ascii="Times New Roman" w:hAnsi="Times New Roman" w:cs="Times New Roman"/>
                      <w:color w:val="auto"/>
                      <w:sz w:val="18"/>
                      <w:szCs w:val="18"/>
                    </w:rPr>
                  </w:pPr>
                </w:p>
              </w:tc>
              <w:tc>
                <w:tcPr>
                  <w:tcW w:w="509" w:type="pct"/>
                  <w:tcBorders>
                    <w:tl2br w:val="nil"/>
                    <w:tr2bl w:val="nil"/>
                  </w:tcBorders>
                  <w:vAlign w:val="center"/>
                </w:tcPr>
                <w:p w14:paraId="33ED558F">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类别</w:t>
                  </w:r>
                </w:p>
              </w:tc>
              <w:tc>
                <w:tcPr>
                  <w:tcW w:w="648" w:type="pct"/>
                  <w:tcBorders>
                    <w:tl2br w:val="nil"/>
                    <w:tr2bl w:val="nil"/>
                  </w:tcBorders>
                  <w:vAlign w:val="center"/>
                </w:tcPr>
                <w:p w14:paraId="32F82545">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废物代码</w:t>
                  </w:r>
                </w:p>
              </w:tc>
            </w:tr>
            <w:tr w14:paraId="58D1F90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tcBorders>
                    <w:tl2br w:val="nil"/>
                    <w:tr2bl w:val="nil"/>
                  </w:tcBorders>
                  <w:vAlign w:val="center"/>
                </w:tcPr>
                <w:p w14:paraId="3604BCEA">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733" w:type="pct"/>
                  <w:tcBorders>
                    <w:tl2br w:val="nil"/>
                    <w:tr2bl w:val="nil"/>
                  </w:tcBorders>
                  <w:vAlign w:val="center"/>
                </w:tcPr>
                <w:p w14:paraId="6ED01A85">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边角料及不合格产品</w:t>
                  </w:r>
                </w:p>
              </w:tc>
              <w:tc>
                <w:tcPr>
                  <w:tcW w:w="860" w:type="pct"/>
                  <w:tcBorders>
                    <w:tl2br w:val="nil"/>
                    <w:tr2bl w:val="nil"/>
                  </w:tcBorders>
                  <w:vAlign w:val="center"/>
                </w:tcPr>
                <w:p w14:paraId="40966564">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剪切、定减径及切头去尾过程</w:t>
                  </w:r>
                </w:p>
              </w:tc>
              <w:tc>
                <w:tcPr>
                  <w:tcW w:w="389" w:type="pct"/>
                  <w:tcBorders>
                    <w:tl2br w:val="nil"/>
                    <w:tr2bl w:val="nil"/>
                  </w:tcBorders>
                  <w:vAlign w:val="center"/>
                </w:tcPr>
                <w:p w14:paraId="64BC7795">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固态</w:t>
                  </w:r>
                </w:p>
              </w:tc>
              <w:tc>
                <w:tcPr>
                  <w:tcW w:w="912" w:type="pct"/>
                  <w:tcBorders>
                    <w:tl2br w:val="nil"/>
                    <w:tr2bl w:val="nil"/>
                  </w:tcBorders>
                  <w:vAlign w:val="center"/>
                </w:tcPr>
                <w:p w14:paraId="2D446932">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第Ⅰ类一般工业固体废物</w:t>
                  </w:r>
                </w:p>
              </w:tc>
              <w:tc>
                <w:tcPr>
                  <w:tcW w:w="654" w:type="pct"/>
                  <w:tcBorders>
                    <w:tl2br w:val="nil"/>
                    <w:tr2bl w:val="nil"/>
                  </w:tcBorders>
                  <w:vAlign w:val="center"/>
                </w:tcPr>
                <w:p w14:paraId="34846361">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名录鉴别</w:t>
                  </w:r>
                </w:p>
              </w:tc>
              <w:tc>
                <w:tcPr>
                  <w:tcW w:w="1157" w:type="pct"/>
                  <w:gridSpan w:val="2"/>
                  <w:tcBorders>
                    <w:tl2br w:val="nil"/>
                    <w:tr2bl w:val="nil"/>
                  </w:tcBorders>
                  <w:vAlign w:val="center"/>
                </w:tcPr>
                <w:p w14:paraId="55E54D43">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bCs/>
                      <w:color w:val="auto"/>
                      <w:kern w:val="0"/>
                      <w:sz w:val="18"/>
                      <w:szCs w:val="18"/>
                    </w:rPr>
                    <w:t>313-001-S01</w:t>
                  </w:r>
                </w:p>
              </w:tc>
            </w:tr>
            <w:tr w14:paraId="3AA47B0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tcBorders>
                    <w:tl2br w:val="nil"/>
                    <w:tr2bl w:val="nil"/>
                  </w:tcBorders>
                  <w:vAlign w:val="center"/>
                </w:tcPr>
                <w:p w14:paraId="0A4C4F47">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733" w:type="pct"/>
                  <w:tcBorders>
                    <w:tl2br w:val="nil"/>
                    <w:tr2bl w:val="nil"/>
                  </w:tcBorders>
                  <w:vAlign w:val="center"/>
                </w:tcPr>
                <w:p w14:paraId="2C8A0B52">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氧化铁皮</w:t>
                  </w:r>
                </w:p>
              </w:tc>
              <w:tc>
                <w:tcPr>
                  <w:tcW w:w="860" w:type="pct"/>
                  <w:tcBorders>
                    <w:tl2br w:val="nil"/>
                    <w:tr2bl w:val="nil"/>
                  </w:tcBorders>
                  <w:vAlign w:val="center"/>
                </w:tcPr>
                <w:p w14:paraId="46E108ED">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生产过程</w:t>
                  </w:r>
                </w:p>
              </w:tc>
              <w:tc>
                <w:tcPr>
                  <w:tcW w:w="389" w:type="pct"/>
                  <w:tcBorders>
                    <w:tl2br w:val="nil"/>
                    <w:tr2bl w:val="nil"/>
                  </w:tcBorders>
                  <w:vAlign w:val="center"/>
                </w:tcPr>
                <w:p w14:paraId="42205885">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固态</w:t>
                  </w:r>
                </w:p>
              </w:tc>
              <w:tc>
                <w:tcPr>
                  <w:tcW w:w="912" w:type="pct"/>
                  <w:tcBorders>
                    <w:tl2br w:val="nil"/>
                    <w:tr2bl w:val="nil"/>
                  </w:tcBorders>
                  <w:vAlign w:val="center"/>
                </w:tcPr>
                <w:p w14:paraId="6DF0B9C9">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第Ⅰ类一般工业固体废物</w:t>
                  </w:r>
                </w:p>
              </w:tc>
              <w:tc>
                <w:tcPr>
                  <w:tcW w:w="654" w:type="pct"/>
                  <w:tcBorders>
                    <w:tl2br w:val="nil"/>
                    <w:tr2bl w:val="nil"/>
                  </w:tcBorders>
                  <w:vAlign w:val="center"/>
                </w:tcPr>
                <w:p w14:paraId="47143B32">
                  <w:pPr>
                    <w:spacing w:line="276" w:lineRule="auto"/>
                    <w:jc w:val="center"/>
                    <w:rPr>
                      <w:rFonts w:hint="default" w:ascii="Times New Roman" w:hAnsi="Times New Roman" w:cs="Times New Roman"/>
                      <w:color w:val="auto"/>
                    </w:rPr>
                  </w:pPr>
                  <w:r>
                    <w:rPr>
                      <w:rFonts w:hint="default" w:ascii="Times New Roman" w:hAnsi="Times New Roman" w:cs="Times New Roman"/>
                      <w:color w:val="auto"/>
                      <w:sz w:val="18"/>
                      <w:szCs w:val="18"/>
                    </w:rPr>
                    <w:t>名录鉴别</w:t>
                  </w:r>
                </w:p>
              </w:tc>
              <w:tc>
                <w:tcPr>
                  <w:tcW w:w="1157" w:type="pct"/>
                  <w:gridSpan w:val="2"/>
                  <w:tcBorders>
                    <w:tl2br w:val="nil"/>
                    <w:tr2bl w:val="nil"/>
                  </w:tcBorders>
                  <w:vAlign w:val="center"/>
                </w:tcPr>
                <w:p w14:paraId="6E2FCBA5">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bCs/>
                      <w:color w:val="auto"/>
                      <w:kern w:val="0"/>
                      <w:sz w:val="18"/>
                      <w:szCs w:val="18"/>
                    </w:rPr>
                    <w:t>313-001-S01</w:t>
                  </w:r>
                </w:p>
              </w:tc>
            </w:tr>
            <w:tr w14:paraId="131415F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tcBorders>
                    <w:tl2br w:val="nil"/>
                    <w:tr2bl w:val="nil"/>
                  </w:tcBorders>
                  <w:vAlign w:val="center"/>
                </w:tcPr>
                <w:p w14:paraId="53102EE1">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733" w:type="pct"/>
                  <w:tcBorders>
                    <w:tl2br w:val="nil"/>
                    <w:tr2bl w:val="nil"/>
                  </w:tcBorders>
                  <w:vAlign w:val="center"/>
                </w:tcPr>
                <w:p w14:paraId="2EE35331">
                  <w:pPr>
                    <w:pStyle w:val="4"/>
                    <w:adjustRightInd/>
                    <w:spacing w:line="276" w:lineRule="auto"/>
                    <w:ind w:firstLine="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废机油</w:t>
                  </w:r>
                </w:p>
              </w:tc>
              <w:tc>
                <w:tcPr>
                  <w:tcW w:w="860" w:type="pct"/>
                  <w:tcBorders>
                    <w:tl2br w:val="nil"/>
                    <w:tr2bl w:val="nil"/>
                  </w:tcBorders>
                  <w:vAlign w:val="center"/>
                </w:tcPr>
                <w:p w14:paraId="61FB5664">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设备日常维修</w:t>
                  </w:r>
                </w:p>
              </w:tc>
              <w:tc>
                <w:tcPr>
                  <w:tcW w:w="389" w:type="pct"/>
                  <w:tcBorders>
                    <w:tl2br w:val="nil"/>
                    <w:tr2bl w:val="nil"/>
                  </w:tcBorders>
                  <w:vAlign w:val="center"/>
                </w:tcPr>
                <w:p w14:paraId="022E2122">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液态</w:t>
                  </w:r>
                </w:p>
              </w:tc>
              <w:tc>
                <w:tcPr>
                  <w:tcW w:w="912" w:type="pct"/>
                  <w:tcBorders>
                    <w:tl2br w:val="nil"/>
                    <w:tr2bl w:val="nil"/>
                  </w:tcBorders>
                  <w:vAlign w:val="center"/>
                </w:tcPr>
                <w:p w14:paraId="3EB9D0EC">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w:t>
                  </w:r>
                </w:p>
              </w:tc>
              <w:tc>
                <w:tcPr>
                  <w:tcW w:w="654" w:type="pct"/>
                  <w:tcBorders>
                    <w:tl2br w:val="nil"/>
                    <w:tr2bl w:val="nil"/>
                  </w:tcBorders>
                  <w:vAlign w:val="center"/>
                </w:tcPr>
                <w:p w14:paraId="7990B0B8">
                  <w:pPr>
                    <w:spacing w:line="276" w:lineRule="auto"/>
                    <w:jc w:val="center"/>
                    <w:rPr>
                      <w:rFonts w:hint="default" w:ascii="Times New Roman" w:hAnsi="Times New Roman" w:cs="Times New Roman"/>
                      <w:color w:val="auto"/>
                    </w:rPr>
                  </w:pPr>
                  <w:r>
                    <w:rPr>
                      <w:rFonts w:hint="default" w:ascii="Times New Roman" w:hAnsi="Times New Roman" w:cs="Times New Roman"/>
                      <w:color w:val="auto"/>
                      <w:sz w:val="18"/>
                      <w:szCs w:val="18"/>
                    </w:rPr>
                    <w:t>名录鉴别</w:t>
                  </w:r>
                </w:p>
              </w:tc>
              <w:tc>
                <w:tcPr>
                  <w:tcW w:w="1157" w:type="pct"/>
                  <w:gridSpan w:val="2"/>
                  <w:tcBorders>
                    <w:tl2br w:val="nil"/>
                    <w:tr2bl w:val="nil"/>
                  </w:tcBorders>
                  <w:vAlign w:val="center"/>
                </w:tcPr>
                <w:p w14:paraId="3ED88286">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900-249-08</w:t>
                  </w:r>
                </w:p>
              </w:tc>
            </w:tr>
            <w:tr w14:paraId="738B1C7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tcBorders>
                    <w:tl2br w:val="nil"/>
                    <w:tr2bl w:val="nil"/>
                  </w:tcBorders>
                  <w:shd w:val="clear" w:color="auto" w:fill="auto"/>
                  <w:vAlign w:val="center"/>
                </w:tcPr>
                <w:p w14:paraId="32673E53">
                  <w:pPr>
                    <w:pStyle w:val="4"/>
                    <w:adjustRightInd/>
                    <w:spacing w:line="276"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4</w:t>
                  </w:r>
                </w:p>
              </w:tc>
              <w:tc>
                <w:tcPr>
                  <w:tcW w:w="733" w:type="pct"/>
                  <w:tcBorders>
                    <w:tl2br w:val="nil"/>
                    <w:tr2bl w:val="nil"/>
                  </w:tcBorders>
                  <w:vAlign w:val="center"/>
                </w:tcPr>
                <w:p w14:paraId="34725EF0">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废弃含油抹布和劳保用品</w:t>
                  </w:r>
                </w:p>
              </w:tc>
              <w:tc>
                <w:tcPr>
                  <w:tcW w:w="860" w:type="pct"/>
                  <w:tcBorders>
                    <w:tl2br w:val="nil"/>
                    <w:tr2bl w:val="nil"/>
                  </w:tcBorders>
                  <w:vAlign w:val="center"/>
                </w:tcPr>
                <w:p w14:paraId="1F3208D7">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设备日常维修</w:t>
                  </w:r>
                </w:p>
              </w:tc>
              <w:tc>
                <w:tcPr>
                  <w:tcW w:w="389" w:type="pct"/>
                  <w:tcBorders>
                    <w:tl2br w:val="nil"/>
                    <w:tr2bl w:val="nil"/>
                  </w:tcBorders>
                  <w:vAlign w:val="center"/>
                </w:tcPr>
                <w:p w14:paraId="16A1DFFE">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固态</w:t>
                  </w:r>
                </w:p>
              </w:tc>
              <w:tc>
                <w:tcPr>
                  <w:tcW w:w="912" w:type="pct"/>
                  <w:tcBorders>
                    <w:tl2br w:val="nil"/>
                    <w:tr2bl w:val="nil"/>
                  </w:tcBorders>
                  <w:vAlign w:val="center"/>
                </w:tcPr>
                <w:p w14:paraId="2A2FBB15">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w:t>
                  </w:r>
                </w:p>
              </w:tc>
              <w:tc>
                <w:tcPr>
                  <w:tcW w:w="654" w:type="pct"/>
                  <w:tcBorders>
                    <w:tl2br w:val="nil"/>
                    <w:tr2bl w:val="nil"/>
                  </w:tcBorders>
                  <w:vAlign w:val="center"/>
                </w:tcPr>
                <w:p w14:paraId="5D8024FC">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名录鉴别</w:t>
                  </w:r>
                </w:p>
              </w:tc>
              <w:tc>
                <w:tcPr>
                  <w:tcW w:w="1157" w:type="pct"/>
                  <w:gridSpan w:val="2"/>
                  <w:tcBorders>
                    <w:tl2br w:val="nil"/>
                    <w:tr2bl w:val="nil"/>
                  </w:tcBorders>
                  <w:vAlign w:val="center"/>
                </w:tcPr>
                <w:p w14:paraId="4DCA1FFC">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900-041-49</w:t>
                  </w:r>
                </w:p>
              </w:tc>
            </w:tr>
            <w:tr w14:paraId="0726E5A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tcBorders>
                    <w:tl2br w:val="nil"/>
                    <w:tr2bl w:val="nil"/>
                  </w:tcBorders>
                  <w:shd w:val="clear" w:color="auto" w:fill="auto"/>
                  <w:vAlign w:val="center"/>
                </w:tcPr>
                <w:p w14:paraId="049A6811">
                  <w:pPr>
                    <w:pStyle w:val="4"/>
                    <w:adjustRightInd/>
                    <w:spacing w:line="276"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5</w:t>
                  </w:r>
                </w:p>
              </w:tc>
              <w:tc>
                <w:tcPr>
                  <w:tcW w:w="733" w:type="pct"/>
                  <w:tcBorders>
                    <w:tl2br w:val="nil"/>
                    <w:tr2bl w:val="nil"/>
                  </w:tcBorders>
                  <w:vAlign w:val="center"/>
                </w:tcPr>
                <w:p w14:paraId="3296F96B">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生活垃圾</w:t>
                  </w:r>
                </w:p>
              </w:tc>
              <w:tc>
                <w:tcPr>
                  <w:tcW w:w="860" w:type="pct"/>
                  <w:tcBorders>
                    <w:tl2br w:val="nil"/>
                    <w:tr2bl w:val="nil"/>
                  </w:tcBorders>
                  <w:vAlign w:val="center"/>
                </w:tcPr>
                <w:p w14:paraId="64EB3BE9">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办公生活</w:t>
                  </w:r>
                </w:p>
              </w:tc>
              <w:tc>
                <w:tcPr>
                  <w:tcW w:w="389" w:type="pct"/>
                  <w:tcBorders>
                    <w:tl2br w:val="nil"/>
                    <w:tr2bl w:val="nil"/>
                  </w:tcBorders>
                  <w:vAlign w:val="center"/>
                </w:tcPr>
                <w:p w14:paraId="2F6642C5">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固态</w:t>
                  </w:r>
                </w:p>
              </w:tc>
              <w:tc>
                <w:tcPr>
                  <w:tcW w:w="912" w:type="pct"/>
                  <w:tcBorders>
                    <w:tl2br w:val="nil"/>
                    <w:tr2bl w:val="nil"/>
                  </w:tcBorders>
                  <w:vAlign w:val="center"/>
                </w:tcPr>
                <w:p w14:paraId="011C5357">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生活垃圾</w:t>
                  </w:r>
                </w:p>
              </w:tc>
              <w:tc>
                <w:tcPr>
                  <w:tcW w:w="654" w:type="pct"/>
                  <w:tcBorders>
                    <w:tl2br w:val="nil"/>
                    <w:tr2bl w:val="nil"/>
                  </w:tcBorders>
                  <w:vAlign w:val="center"/>
                </w:tcPr>
                <w:p w14:paraId="36B5E6EE">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名录鉴别</w:t>
                  </w:r>
                </w:p>
              </w:tc>
              <w:tc>
                <w:tcPr>
                  <w:tcW w:w="1157" w:type="pct"/>
                  <w:gridSpan w:val="2"/>
                  <w:tcBorders>
                    <w:tl2br w:val="nil"/>
                    <w:tr2bl w:val="nil"/>
                  </w:tcBorders>
                  <w:vAlign w:val="center"/>
                </w:tcPr>
                <w:p w14:paraId="7B690662">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900-099-S64</w:t>
                  </w:r>
                </w:p>
              </w:tc>
            </w:tr>
            <w:tr w14:paraId="5626D99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tcBorders>
                    <w:tl2br w:val="nil"/>
                    <w:tr2bl w:val="nil"/>
                  </w:tcBorders>
                  <w:vAlign w:val="center"/>
                </w:tcPr>
                <w:p w14:paraId="7A45CBED">
                  <w:pPr>
                    <w:pStyle w:val="4"/>
                    <w:adjustRightInd/>
                    <w:spacing w:line="276" w:lineRule="auto"/>
                    <w:ind w:firstLine="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w:t>
                  </w:r>
                </w:p>
              </w:tc>
              <w:tc>
                <w:tcPr>
                  <w:tcW w:w="733" w:type="pct"/>
                  <w:tcBorders>
                    <w:tl2br w:val="nil"/>
                    <w:tr2bl w:val="nil"/>
                  </w:tcBorders>
                  <w:vAlign w:val="center"/>
                </w:tcPr>
                <w:p w14:paraId="62AD3822">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污泥</w:t>
                  </w:r>
                </w:p>
              </w:tc>
              <w:tc>
                <w:tcPr>
                  <w:tcW w:w="860" w:type="pct"/>
                  <w:tcBorders>
                    <w:tl2br w:val="nil"/>
                    <w:tr2bl w:val="nil"/>
                  </w:tcBorders>
                  <w:vAlign w:val="center"/>
                </w:tcPr>
                <w:p w14:paraId="2A4F6611">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化粪池</w:t>
                  </w:r>
                </w:p>
              </w:tc>
              <w:tc>
                <w:tcPr>
                  <w:tcW w:w="389" w:type="pct"/>
                  <w:tcBorders>
                    <w:tl2br w:val="nil"/>
                    <w:tr2bl w:val="nil"/>
                  </w:tcBorders>
                  <w:vAlign w:val="center"/>
                </w:tcPr>
                <w:p w14:paraId="430B5B5D">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固态</w:t>
                  </w:r>
                </w:p>
              </w:tc>
              <w:tc>
                <w:tcPr>
                  <w:tcW w:w="912" w:type="pct"/>
                  <w:tcBorders>
                    <w:tl2br w:val="nil"/>
                    <w:tr2bl w:val="nil"/>
                  </w:tcBorders>
                  <w:vAlign w:val="center"/>
                </w:tcPr>
                <w:p w14:paraId="25BCD9AD">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生活垃圾</w:t>
                  </w:r>
                </w:p>
              </w:tc>
              <w:tc>
                <w:tcPr>
                  <w:tcW w:w="654" w:type="pct"/>
                  <w:tcBorders>
                    <w:tl2br w:val="nil"/>
                    <w:tr2bl w:val="nil"/>
                  </w:tcBorders>
                  <w:vAlign w:val="center"/>
                </w:tcPr>
                <w:p w14:paraId="58F781FC">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名录鉴别</w:t>
                  </w:r>
                </w:p>
              </w:tc>
              <w:tc>
                <w:tcPr>
                  <w:tcW w:w="1157" w:type="pct"/>
                  <w:gridSpan w:val="2"/>
                  <w:tcBorders>
                    <w:tl2br w:val="nil"/>
                    <w:tr2bl w:val="nil"/>
                  </w:tcBorders>
                  <w:vAlign w:val="center"/>
                </w:tcPr>
                <w:p w14:paraId="2A428CF8">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900-099-S64</w:t>
                  </w:r>
                </w:p>
              </w:tc>
            </w:tr>
          </w:tbl>
          <w:p w14:paraId="2B75507E">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4.3项目固体废物产生及处置方式</w:t>
            </w:r>
          </w:p>
          <w:p w14:paraId="4E9DA9D2">
            <w:pPr>
              <w:pStyle w:val="111"/>
              <w:spacing w:line="36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表4-15   项目一般固体废物产生及处置情况表</w:t>
            </w:r>
          </w:p>
          <w:tbl>
            <w:tblPr>
              <w:tblStyle w:val="35"/>
              <w:tblW w:w="4997"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83"/>
              <w:gridCol w:w="903"/>
              <w:gridCol w:w="1273"/>
              <w:gridCol w:w="953"/>
              <w:gridCol w:w="986"/>
              <w:gridCol w:w="1365"/>
              <w:gridCol w:w="823"/>
              <w:gridCol w:w="1349"/>
            </w:tblGrid>
            <w:tr w14:paraId="746407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blHeader/>
              </w:trPr>
              <w:tc>
                <w:tcPr>
                  <w:tcW w:w="354" w:type="pct"/>
                  <w:tcBorders>
                    <w:tl2br w:val="nil"/>
                    <w:tr2bl w:val="nil"/>
                  </w:tcBorders>
                  <w:vAlign w:val="center"/>
                </w:tcPr>
                <w:p w14:paraId="1188B209">
                  <w:pPr>
                    <w:pStyle w:val="91"/>
                    <w:jc w:val="center"/>
                    <w:rPr>
                      <w:rFonts w:hint="default" w:ascii="Times New Roman" w:hAnsi="Times New Roman" w:eastAsia="宋体" w:cs="Times New Roman"/>
                      <w:color w:val="auto"/>
                      <w:sz w:val="18"/>
                      <w:szCs w:val="18"/>
                    </w:rPr>
                  </w:pPr>
                  <w:bookmarkStart w:id="121" w:name="_Hlk220339226"/>
                  <w:r>
                    <w:rPr>
                      <w:rFonts w:hint="default" w:ascii="Times New Roman" w:hAnsi="Times New Roman" w:eastAsia="宋体" w:cs="Times New Roman"/>
                      <w:color w:val="auto"/>
                      <w:sz w:val="18"/>
                      <w:szCs w:val="18"/>
                    </w:rPr>
                    <w:t>序号</w:t>
                  </w:r>
                </w:p>
              </w:tc>
              <w:tc>
                <w:tcPr>
                  <w:tcW w:w="548" w:type="pct"/>
                  <w:tcBorders>
                    <w:tl2br w:val="nil"/>
                    <w:tr2bl w:val="nil"/>
                  </w:tcBorders>
                  <w:vAlign w:val="center"/>
                </w:tcPr>
                <w:p w14:paraId="4422C774">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名称</w:t>
                  </w:r>
                </w:p>
              </w:tc>
              <w:tc>
                <w:tcPr>
                  <w:tcW w:w="772" w:type="pct"/>
                  <w:tcBorders>
                    <w:tl2br w:val="nil"/>
                    <w:tr2bl w:val="nil"/>
                  </w:tcBorders>
                  <w:vAlign w:val="center"/>
                </w:tcPr>
                <w:p w14:paraId="054A9239">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属性</w:t>
                  </w:r>
                </w:p>
              </w:tc>
              <w:tc>
                <w:tcPr>
                  <w:tcW w:w="578" w:type="pct"/>
                  <w:tcBorders>
                    <w:tl2br w:val="nil"/>
                    <w:tr2bl w:val="nil"/>
                  </w:tcBorders>
                  <w:vAlign w:val="center"/>
                </w:tcPr>
                <w:p w14:paraId="18D84976">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物理性状</w:t>
                  </w:r>
                </w:p>
              </w:tc>
              <w:tc>
                <w:tcPr>
                  <w:tcW w:w="598" w:type="pct"/>
                  <w:tcBorders>
                    <w:tl2br w:val="nil"/>
                    <w:tr2bl w:val="nil"/>
                  </w:tcBorders>
                  <w:vAlign w:val="center"/>
                </w:tcPr>
                <w:p w14:paraId="3C86E28C">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产生量</w:t>
                  </w:r>
                </w:p>
                <w:p w14:paraId="1DADF4EB">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(t/a)</w:t>
                  </w:r>
                </w:p>
              </w:tc>
              <w:tc>
                <w:tcPr>
                  <w:tcW w:w="828" w:type="pct"/>
                  <w:tcBorders>
                    <w:tl2br w:val="nil"/>
                    <w:tr2bl w:val="nil"/>
                  </w:tcBorders>
                  <w:vAlign w:val="center"/>
                </w:tcPr>
                <w:p w14:paraId="3599AFF7">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利用处置方式和去向</w:t>
                  </w:r>
                </w:p>
              </w:tc>
              <w:tc>
                <w:tcPr>
                  <w:tcW w:w="499" w:type="pct"/>
                  <w:tcBorders>
                    <w:tl2br w:val="nil"/>
                    <w:tr2bl w:val="nil"/>
                  </w:tcBorders>
                  <w:vAlign w:val="center"/>
                </w:tcPr>
                <w:p w14:paraId="64007357">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利用或处置量（t/a）</w:t>
                  </w:r>
                </w:p>
              </w:tc>
              <w:tc>
                <w:tcPr>
                  <w:tcW w:w="818" w:type="pct"/>
                  <w:tcBorders>
                    <w:tl2br w:val="nil"/>
                    <w:tr2bl w:val="nil"/>
                  </w:tcBorders>
                  <w:vAlign w:val="center"/>
                </w:tcPr>
                <w:p w14:paraId="0055BDEE">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环境管理要求</w:t>
                  </w:r>
                </w:p>
              </w:tc>
            </w:tr>
            <w:tr w14:paraId="69382D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blHeader/>
              </w:trPr>
              <w:tc>
                <w:tcPr>
                  <w:tcW w:w="354" w:type="pct"/>
                  <w:tcBorders>
                    <w:tl2br w:val="nil"/>
                    <w:tr2bl w:val="nil"/>
                  </w:tcBorders>
                  <w:vAlign w:val="center"/>
                </w:tcPr>
                <w:p w14:paraId="3C7F15F5">
                  <w:pPr>
                    <w:pStyle w:val="4"/>
                    <w:adjustRightInd/>
                    <w:spacing w:line="276" w:lineRule="auto"/>
                    <w:ind w:firstLine="0"/>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1</w:t>
                  </w:r>
                </w:p>
              </w:tc>
              <w:tc>
                <w:tcPr>
                  <w:tcW w:w="548" w:type="pct"/>
                  <w:tcBorders>
                    <w:tl2br w:val="nil"/>
                    <w:tr2bl w:val="nil"/>
                  </w:tcBorders>
                  <w:vAlign w:val="center"/>
                </w:tcPr>
                <w:p w14:paraId="727A2301">
                  <w:pPr>
                    <w:pStyle w:val="4"/>
                    <w:adjustRightInd/>
                    <w:spacing w:line="276" w:lineRule="auto"/>
                    <w:ind w:firstLine="0"/>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边角料及不合格产品</w:t>
                  </w:r>
                </w:p>
              </w:tc>
              <w:tc>
                <w:tcPr>
                  <w:tcW w:w="772" w:type="pct"/>
                  <w:tcBorders>
                    <w:tl2br w:val="nil"/>
                    <w:tr2bl w:val="nil"/>
                  </w:tcBorders>
                  <w:vAlign w:val="center"/>
                </w:tcPr>
                <w:p w14:paraId="529DD6BF">
                  <w:pPr>
                    <w:pStyle w:val="4"/>
                    <w:adjustRightInd/>
                    <w:spacing w:line="276" w:lineRule="auto"/>
                    <w:ind w:firstLine="0"/>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第Ⅰ类一般工业固体废物</w:t>
                  </w:r>
                </w:p>
              </w:tc>
              <w:tc>
                <w:tcPr>
                  <w:tcW w:w="578" w:type="pct"/>
                  <w:tcBorders>
                    <w:tl2br w:val="nil"/>
                    <w:tr2bl w:val="nil"/>
                  </w:tcBorders>
                  <w:vAlign w:val="center"/>
                </w:tcPr>
                <w:p w14:paraId="0C44411F">
                  <w:pPr>
                    <w:pStyle w:val="4"/>
                    <w:adjustRightInd/>
                    <w:spacing w:line="276" w:lineRule="auto"/>
                    <w:ind w:firstLine="0"/>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固态</w:t>
                  </w:r>
                </w:p>
              </w:tc>
              <w:tc>
                <w:tcPr>
                  <w:tcW w:w="598" w:type="pct"/>
                  <w:tcBorders>
                    <w:tl2br w:val="nil"/>
                    <w:tr2bl w:val="nil"/>
                  </w:tcBorders>
                  <w:vAlign w:val="center"/>
                </w:tcPr>
                <w:p w14:paraId="3182ECAC">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510</w:t>
                  </w:r>
                </w:p>
              </w:tc>
              <w:tc>
                <w:tcPr>
                  <w:tcW w:w="828" w:type="pct"/>
                  <w:tcBorders>
                    <w:tl2br w:val="nil"/>
                    <w:tr2bl w:val="nil"/>
                  </w:tcBorders>
                  <w:vAlign w:val="center"/>
                </w:tcPr>
                <w:p w14:paraId="06BE54FC">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经收集后外售</w:t>
                  </w:r>
                </w:p>
              </w:tc>
              <w:tc>
                <w:tcPr>
                  <w:tcW w:w="499" w:type="pct"/>
                  <w:tcBorders>
                    <w:tl2br w:val="nil"/>
                    <w:tr2bl w:val="nil"/>
                  </w:tcBorders>
                  <w:vAlign w:val="center"/>
                </w:tcPr>
                <w:p w14:paraId="4ECEFA7F">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510</w:t>
                  </w:r>
                </w:p>
              </w:tc>
              <w:tc>
                <w:tcPr>
                  <w:tcW w:w="818" w:type="pct"/>
                  <w:tcBorders>
                    <w:tl2br w:val="nil"/>
                    <w:tr2bl w:val="nil"/>
                  </w:tcBorders>
                  <w:vAlign w:val="center"/>
                </w:tcPr>
                <w:p w14:paraId="756CC7C1">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按一般固废处置管理</w:t>
                  </w:r>
                </w:p>
              </w:tc>
            </w:tr>
            <w:tr w14:paraId="652CFF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30" w:hRule="atLeast"/>
                <w:tblHeader/>
              </w:trPr>
              <w:tc>
                <w:tcPr>
                  <w:tcW w:w="354" w:type="pct"/>
                  <w:tcBorders>
                    <w:tl2br w:val="nil"/>
                    <w:tr2bl w:val="nil"/>
                  </w:tcBorders>
                  <w:vAlign w:val="center"/>
                </w:tcPr>
                <w:p w14:paraId="2B30A173">
                  <w:pPr>
                    <w:pStyle w:val="4"/>
                    <w:adjustRightInd/>
                    <w:spacing w:line="276" w:lineRule="auto"/>
                    <w:ind w:firstLine="0"/>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2</w:t>
                  </w:r>
                </w:p>
              </w:tc>
              <w:tc>
                <w:tcPr>
                  <w:tcW w:w="548" w:type="pct"/>
                  <w:tcBorders>
                    <w:tl2br w:val="nil"/>
                    <w:tr2bl w:val="nil"/>
                  </w:tcBorders>
                  <w:vAlign w:val="center"/>
                </w:tcPr>
                <w:p w14:paraId="03AE84C2">
                  <w:pPr>
                    <w:pStyle w:val="4"/>
                    <w:adjustRightInd/>
                    <w:spacing w:line="276" w:lineRule="auto"/>
                    <w:ind w:firstLine="0"/>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氧化铁皮</w:t>
                  </w:r>
                </w:p>
              </w:tc>
              <w:tc>
                <w:tcPr>
                  <w:tcW w:w="772" w:type="pct"/>
                  <w:tcBorders>
                    <w:tl2br w:val="nil"/>
                    <w:tr2bl w:val="nil"/>
                  </w:tcBorders>
                  <w:vAlign w:val="center"/>
                </w:tcPr>
                <w:p w14:paraId="5927C0FF">
                  <w:pPr>
                    <w:spacing w:line="276" w:lineRule="auto"/>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第Ⅰ类一般工业固体废物</w:t>
                  </w:r>
                </w:p>
              </w:tc>
              <w:tc>
                <w:tcPr>
                  <w:tcW w:w="578" w:type="pct"/>
                  <w:tcBorders>
                    <w:tl2br w:val="nil"/>
                    <w:tr2bl w:val="nil"/>
                  </w:tcBorders>
                  <w:vAlign w:val="center"/>
                </w:tcPr>
                <w:p w14:paraId="6523CB27">
                  <w:pPr>
                    <w:pStyle w:val="4"/>
                    <w:adjustRightInd/>
                    <w:spacing w:line="276" w:lineRule="auto"/>
                    <w:ind w:firstLine="0"/>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固态</w:t>
                  </w:r>
                </w:p>
              </w:tc>
              <w:tc>
                <w:tcPr>
                  <w:tcW w:w="598" w:type="pct"/>
                  <w:tcBorders>
                    <w:tl2br w:val="nil"/>
                    <w:tr2bl w:val="nil"/>
                  </w:tcBorders>
                  <w:vAlign w:val="center"/>
                </w:tcPr>
                <w:p w14:paraId="2935932D">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90</w:t>
                  </w:r>
                </w:p>
              </w:tc>
              <w:tc>
                <w:tcPr>
                  <w:tcW w:w="828" w:type="pct"/>
                  <w:tcBorders>
                    <w:tl2br w:val="nil"/>
                    <w:tr2bl w:val="nil"/>
                  </w:tcBorders>
                  <w:vAlign w:val="center"/>
                </w:tcPr>
                <w:p w14:paraId="075BF06E">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经收集后外售</w:t>
                  </w:r>
                </w:p>
              </w:tc>
              <w:tc>
                <w:tcPr>
                  <w:tcW w:w="499" w:type="pct"/>
                  <w:tcBorders>
                    <w:tl2br w:val="nil"/>
                    <w:tr2bl w:val="nil"/>
                  </w:tcBorders>
                  <w:vAlign w:val="center"/>
                </w:tcPr>
                <w:p w14:paraId="6D235F96">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90</w:t>
                  </w:r>
                </w:p>
              </w:tc>
              <w:tc>
                <w:tcPr>
                  <w:tcW w:w="818" w:type="pct"/>
                  <w:tcBorders>
                    <w:tl2br w:val="nil"/>
                    <w:tr2bl w:val="nil"/>
                  </w:tcBorders>
                  <w:vAlign w:val="center"/>
                </w:tcPr>
                <w:p w14:paraId="0116DD1B">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按一般固废处置管理</w:t>
                  </w:r>
                </w:p>
              </w:tc>
            </w:tr>
            <w:tr w14:paraId="1E3C3E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blHeader/>
              </w:trPr>
              <w:tc>
                <w:tcPr>
                  <w:tcW w:w="354" w:type="pct"/>
                  <w:tcBorders>
                    <w:tl2br w:val="nil"/>
                    <w:tr2bl w:val="nil"/>
                  </w:tcBorders>
                  <w:vAlign w:val="center"/>
                </w:tcPr>
                <w:p w14:paraId="0A563933">
                  <w:pPr>
                    <w:pStyle w:val="4"/>
                    <w:adjustRightInd/>
                    <w:spacing w:line="276" w:lineRule="auto"/>
                    <w:ind w:firstLine="0"/>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3</w:t>
                  </w:r>
                </w:p>
              </w:tc>
              <w:tc>
                <w:tcPr>
                  <w:tcW w:w="548" w:type="pct"/>
                  <w:tcBorders>
                    <w:tl2br w:val="nil"/>
                    <w:tr2bl w:val="nil"/>
                  </w:tcBorders>
                  <w:vAlign w:val="center"/>
                </w:tcPr>
                <w:p w14:paraId="28DD0357">
                  <w:pPr>
                    <w:pStyle w:val="4"/>
                    <w:adjustRightInd/>
                    <w:spacing w:line="276" w:lineRule="auto"/>
                    <w:ind w:firstLine="0"/>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废机油</w:t>
                  </w:r>
                </w:p>
              </w:tc>
              <w:tc>
                <w:tcPr>
                  <w:tcW w:w="772" w:type="pct"/>
                  <w:tcBorders>
                    <w:tl2br w:val="nil"/>
                    <w:tr2bl w:val="nil"/>
                  </w:tcBorders>
                  <w:vAlign w:val="center"/>
                </w:tcPr>
                <w:p w14:paraId="41D5E1B8">
                  <w:pPr>
                    <w:pStyle w:val="4"/>
                    <w:adjustRightInd/>
                    <w:spacing w:line="276" w:lineRule="auto"/>
                    <w:ind w:firstLine="0"/>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危险废物</w:t>
                  </w:r>
                </w:p>
              </w:tc>
              <w:tc>
                <w:tcPr>
                  <w:tcW w:w="578" w:type="pct"/>
                  <w:tcBorders>
                    <w:tl2br w:val="nil"/>
                    <w:tr2bl w:val="nil"/>
                  </w:tcBorders>
                  <w:vAlign w:val="center"/>
                </w:tcPr>
                <w:p w14:paraId="454123C3">
                  <w:pPr>
                    <w:spacing w:line="276" w:lineRule="auto"/>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液态</w:t>
                  </w:r>
                </w:p>
              </w:tc>
              <w:tc>
                <w:tcPr>
                  <w:tcW w:w="598" w:type="pct"/>
                  <w:tcBorders>
                    <w:tl2br w:val="nil"/>
                    <w:tr2bl w:val="nil"/>
                  </w:tcBorders>
                  <w:vAlign w:val="center"/>
                </w:tcPr>
                <w:p w14:paraId="6F05DA76">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828" w:type="pct"/>
                  <w:tcBorders>
                    <w:tl2br w:val="nil"/>
                    <w:tr2bl w:val="nil"/>
                  </w:tcBorders>
                  <w:vAlign w:val="center"/>
                </w:tcPr>
                <w:p w14:paraId="4E9ACCEA">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经过收集后暂存于现有危险废物贮存库（5m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）进行暂存，然后返回对设备进行润滑使用，在厂区内能自行利用。</w:t>
                  </w:r>
                </w:p>
              </w:tc>
              <w:tc>
                <w:tcPr>
                  <w:tcW w:w="499" w:type="pct"/>
                  <w:tcBorders>
                    <w:tl2br w:val="nil"/>
                    <w:tr2bl w:val="nil"/>
                  </w:tcBorders>
                  <w:vAlign w:val="center"/>
                </w:tcPr>
                <w:p w14:paraId="23B40427">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818" w:type="pct"/>
                  <w:tcBorders>
                    <w:tl2br w:val="nil"/>
                    <w:tr2bl w:val="nil"/>
                  </w:tcBorders>
                  <w:vAlign w:val="center"/>
                </w:tcPr>
                <w:p w14:paraId="4C100929">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按危废的暂存处置要求管理</w:t>
                  </w:r>
                </w:p>
              </w:tc>
            </w:tr>
            <w:tr w14:paraId="6045CA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blHeader/>
              </w:trPr>
              <w:tc>
                <w:tcPr>
                  <w:tcW w:w="354" w:type="pct"/>
                  <w:tcBorders>
                    <w:tl2br w:val="nil"/>
                    <w:tr2bl w:val="nil"/>
                  </w:tcBorders>
                  <w:vAlign w:val="center"/>
                </w:tcPr>
                <w:p w14:paraId="351C316A">
                  <w:pPr>
                    <w:pStyle w:val="4"/>
                    <w:adjustRightInd/>
                    <w:spacing w:line="276" w:lineRule="auto"/>
                    <w:ind w:firstLine="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w:t>
                  </w:r>
                </w:p>
              </w:tc>
              <w:tc>
                <w:tcPr>
                  <w:tcW w:w="548" w:type="pct"/>
                  <w:tcBorders>
                    <w:tl2br w:val="nil"/>
                    <w:tr2bl w:val="nil"/>
                  </w:tcBorders>
                  <w:vAlign w:val="center"/>
                </w:tcPr>
                <w:p w14:paraId="57BB7425">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废弃含油抹布和劳保用品</w:t>
                  </w:r>
                </w:p>
              </w:tc>
              <w:tc>
                <w:tcPr>
                  <w:tcW w:w="772" w:type="pct"/>
                  <w:tcBorders>
                    <w:tl2br w:val="nil"/>
                    <w:tr2bl w:val="nil"/>
                  </w:tcBorders>
                  <w:vAlign w:val="center"/>
                </w:tcPr>
                <w:p w14:paraId="3294BA88">
                  <w:pPr>
                    <w:pStyle w:val="4"/>
                    <w:adjustRightInd/>
                    <w:spacing w:line="276" w:lineRule="auto"/>
                    <w:ind w:firstLine="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w:t>
                  </w:r>
                </w:p>
              </w:tc>
              <w:tc>
                <w:tcPr>
                  <w:tcW w:w="578" w:type="pct"/>
                  <w:tcBorders>
                    <w:tl2br w:val="nil"/>
                    <w:tr2bl w:val="nil"/>
                  </w:tcBorders>
                  <w:vAlign w:val="center"/>
                </w:tcPr>
                <w:p w14:paraId="575525BC">
                  <w:pPr>
                    <w:spacing w:line="276"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固态</w:t>
                  </w:r>
                </w:p>
              </w:tc>
              <w:tc>
                <w:tcPr>
                  <w:tcW w:w="598" w:type="pct"/>
                  <w:tcBorders>
                    <w:tl2br w:val="nil"/>
                    <w:tr2bl w:val="nil"/>
                  </w:tcBorders>
                  <w:vAlign w:val="center"/>
                </w:tcPr>
                <w:p w14:paraId="32F21D47">
                  <w:pPr>
                    <w:pStyle w:val="91"/>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w:t>
                  </w:r>
                </w:p>
              </w:tc>
              <w:tc>
                <w:tcPr>
                  <w:tcW w:w="828" w:type="pct"/>
                  <w:tcBorders>
                    <w:tl2br w:val="nil"/>
                    <w:tr2bl w:val="nil"/>
                  </w:tcBorders>
                  <w:vAlign w:val="center"/>
                </w:tcPr>
                <w:p w14:paraId="05378F45">
                  <w:pPr>
                    <w:pStyle w:val="91"/>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分类收集，暂存于危险废物贮存库内，定期委托有资质的单位处置。</w:t>
                  </w:r>
                </w:p>
              </w:tc>
              <w:tc>
                <w:tcPr>
                  <w:tcW w:w="499" w:type="pct"/>
                  <w:tcBorders>
                    <w:tl2br w:val="nil"/>
                    <w:tr2bl w:val="nil"/>
                  </w:tcBorders>
                  <w:vAlign w:val="center"/>
                </w:tcPr>
                <w:p w14:paraId="6A187EC9">
                  <w:pPr>
                    <w:pStyle w:val="91"/>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w:t>
                  </w:r>
                </w:p>
              </w:tc>
              <w:tc>
                <w:tcPr>
                  <w:tcW w:w="818" w:type="pct"/>
                  <w:tcBorders>
                    <w:tl2br w:val="nil"/>
                    <w:tr2bl w:val="nil"/>
                  </w:tcBorders>
                  <w:vAlign w:val="center"/>
                </w:tcPr>
                <w:p w14:paraId="50DE7B2D">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按危废的暂存处置要求管理</w:t>
                  </w:r>
                </w:p>
              </w:tc>
            </w:tr>
            <w:tr w14:paraId="5C9456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blHeader/>
              </w:trPr>
              <w:tc>
                <w:tcPr>
                  <w:tcW w:w="354" w:type="pct"/>
                  <w:tcBorders>
                    <w:tl2br w:val="nil"/>
                    <w:tr2bl w:val="nil"/>
                  </w:tcBorders>
                  <w:vAlign w:val="center"/>
                </w:tcPr>
                <w:p w14:paraId="082A9E8B">
                  <w:pPr>
                    <w:pStyle w:val="4"/>
                    <w:adjustRightInd/>
                    <w:spacing w:line="276" w:lineRule="auto"/>
                    <w:ind w:firstLine="0"/>
                    <w:jc w:val="center"/>
                    <w:rPr>
                      <w:rFonts w:hint="default" w:ascii="Times New Roman" w:hAnsi="Times New Roman" w:eastAsia="宋体" w:cs="Times New Roman"/>
                      <w:color w:val="auto"/>
                      <w:sz w:val="18"/>
                      <w:szCs w:val="18"/>
                      <w:highlight w:val="yellow"/>
                      <w:lang w:eastAsia="zh-CN"/>
                    </w:rPr>
                  </w:pPr>
                  <w:r>
                    <w:rPr>
                      <w:rFonts w:hint="default" w:ascii="Times New Roman" w:hAnsi="Times New Roman" w:cs="Times New Roman"/>
                      <w:color w:val="auto"/>
                      <w:sz w:val="18"/>
                      <w:szCs w:val="18"/>
                      <w:lang w:val="en-US" w:eastAsia="zh-CN"/>
                    </w:rPr>
                    <w:t>5</w:t>
                  </w:r>
                </w:p>
              </w:tc>
              <w:tc>
                <w:tcPr>
                  <w:tcW w:w="548" w:type="pct"/>
                  <w:tcBorders>
                    <w:tl2br w:val="nil"/>
                    <w:tr2bl w:val="nil"/>
                  </w:tcBorders>
                  <w:vAlign w:val="center"/>
                </w:tcPr>
                <w:p w14:paraId="6610EB92">
                  <w:pPr>
                    <w:pStyle w:val="4"/>
                    <w:adjustRightInd/>
                    <w:spacing w:line="276" w:lineRule="auto"/>
                    <w:ind w:firstLine="0"/>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生活垃圾</w:t>
                  </w:r>
                </w:p>
              </w:tc>
              <w:tc>
                <w:tcPr>
                  <w:tcW w:w="772" w:type="pct"/>
                  <w:tcBorders>
                    <w:tl2br w:val="nil"/>
                    <w:tr2bl w:val="nil"/>
                  </w:tcBorders>
                  <w:vAlign w:val="center"/>
                </w:tcPr>
                <w:p w14:paraId="322A3F45">
                  <w:pPr>
                    <w:pStyle w:val="4"/>
                    <w:adjustRightInd/>
                    <w:spacing w:line="276" w:lineRule="auto"/>
                    <w:ind w:firstLine="0"/>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生活垃圾</w:t>
                  </w:r>
                </w:p>
              </w:tc>
              <w:tc>
                <w:tcPr>
                  <w:tcW w:w="578" w:type="pct"/>
                  <w:tcBorders>
                    <w:tl2br w:val="nil"/>
                    <w:tr2bl w:val="nil"/>
                  </w:tcBorders>
                  <w:vAlign w:val="center"/>
                </w:tcPr>
                <w:p w14:paraId="19C9FDE1">
                  <w:pPr>
                    <w:spacing w:line="276" w:lineRule="auto"/>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固态</w:t>
                  </w:r>
                </w:p>
              </w:tc>
              <w:tc>
                <w:tcPr>
                  <w:tcW w:w="598" w:type="pct"/>
                  <w:tcBorders>
                    <w:tl2br w:val="nil"/>
                    <w:tr2bl w:val="nil"/>
                  </w:tcBorders>
                  <w:vAlign w:val="center"/>
                </w:tcPr>
                <w:p w14:paraId="751D62F9">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w:t>
                  </w:r>
                </w:p>
              </w:tc>
              <w:tc>
                <w:tcPr>
                  <w:tcW w:w="828" w:type="pct"/>
                  <w:tcBorders>
                    <w:tl2br w:val="nil"/>
                    <w:tr2bl w:val="nil"/>
                  </w:tcBorders>
                  <w:vAlign w:val="center"/>
                </w:tcPr>
                <w:p w14:paraId="036ADA2E">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收集后送至环卫部门指定地点</w:t>
                  </w:r>
                </w:p>
              </w:tc>
              <w:tc>
                <w:tcPr>
                  <w:tcW w:w="499" w:type="pct"/>
                  <w:tcBorders>
                    <w:tl2br w:val="nil"/>
                    <w:tr2bl w:val="nil"/>
                  </w:tcBorders>
                  <w:vAlign w:val="center"/>
                </w:tcPr>
                <w:p w14:paraId="3540C398">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w:t>
                  </w:r>
                </w:p>
              </w:tc>
              <w:tc>
                <w:tcPr>
                  <w:tcW w:w="818" w:type="pct"/>
                  <w:tcBorders>
                    <w:tl2br w:val="nil"/>
                    <w:tr2bl w:val="nil"/>
                  </w:tcBorders>
                  <w:vAlign w:val="center"/>
                </w:tcPr>
                <w:p w14:paraId="109C707E">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设置垃圾桶收集，禁止随意丢弃</w:t>
                  </w:r>
                </w:p>
              </w:tc>
            </w:tr>
            <w:tr w14:paraId="4759CF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blHeader/>
              </w:trPr>
              <w:tc>
                <w:tcPr>
                  <w:tcW w:w="354" w:type="pct"/>
                  <w:tcBorders>
                    <w:tl2br w:val="nil"/>
                    <w:tr2bl w:val="nil"/>
                  </w:tcBorders>
                  <w:vAlign w:val="center"/>
                </w:tcPr>
                <w:p w14:paraId="41BB1CB2">
                  <w:pPr>
                    <w:pStyle w:val="4"/>
                    <w:adjustRightInd/>
                    <w:spacing w:line="276" w:lineRule="auto"/>
                    <w:ind w:firstLine="0"/>
                    <w:jc w:val="center"/>
                    <w:rPr>
                      <w:rFonts w:hint="default" w:ascii="Times New Roman" w:hAnsi="Times New Roman" w:eastAsia="宋体" w:cs="Times New Roman"/>
                      <w:color w:val="auto"/>
                      <w:sz w:val="18"/>
                      <w:szCs w:val="18"/>
                      <w:highlight w:val="yellow"/>
                      <w:lang w:eastAsia="zh-CN"/>
                    </w:rPr>
                  </w:pPr>
                  <w:r>
                    <w:rPr>
                      <w:rFonts w:hint="default" w:ascii="Times New Roman" w:hAnsi="Times New Roman" w:cs="Times New Roman"/>
                      <w:color w:val="auto"/>
                      <w:sz w:val="18"/>
                      <w:szCs w:val="18"/>
                      <w:lang w:val="en-US" w:eastAsia="zh-CN"/>
                    </w:rPr>
                    <w:t>6</w:t>
                  </w:r>
                </w:p>
              </w:tc>
              <w:tc>
                <w:tcPr>
                  <w:tcW w:w="548" w:type="pct"/>
                  <w:tcBorders>
                    <w:tl2br w:val="nil"/>
                    <w:tr2bl w:val="nil"/>
                  </w:tcBorders>
                  <w:vAlign w:val="center"/>
                </w:tcPr>
                <w:p w14:paraId="4248A76A">
                  <w:pPr>
                    <w:pStyle w:val="4"/>
                    <w:adjustRightInd/>
                    <w:spacing w:line="276" w:lineRule="auto"/>
                    <w:ind w:firstLine="0"/>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化粪池污泥</w:t>
                  </w:r>
                </w:p>
              </w:tc>
              <w:tc>
                <w:tcPr>
                  <w:tcW w:w="772" w:type="pct"/>
                  <w:tcBorders>
                    <w:tl2br w:val="nil"/>
                    <w:tr2bl w:val="nil"/>
                  </w:tcBorders>
                  <w:vAlign w:val="center"/>
                </w:tcPr>
                <w:p w14:paraId="784B63AC">
                  <w:pPr>
                    <w:pStyle w:val="4"/>
                    <w:adjustRightInd/>
                    <w:spacing w:line="276" w:lineRule="auto"/>
                    <w:ind w:firstLine="0"/>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生活垃圾</w:t>
                  </w:r>
                </w:p>
              </w:tc>
              <w:tc>
                <w:tcPr>
                  <w:tcW w:w="578" w:type="pct"/>
                  <w:tcBorders>
                    <w:tl2br w:val="nil"/>
                    <w:tr2bl w:val="nil"/>
                  </w:tcBorders>
                  <w:vAlign w:val="center"/>
                </w:tcPr>
                <w:p w14:paraId="7F3BB956">
                  <w:pPr>
                    <w:spacing w:line="276" w:lineRule="auto"/>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固态</w:t>
                  </w:r>
                </w:p>
              </w:tc>
              <w:tc>
                <w:tcPr>
                  <w:tcW w:w="598" w:type="pct"/>
                  <w:tcBorders>
                    <w:tl2br w:val="nil"/>
                    <w:tr2bl w:val="nil"/>
                  </w:tcBorders>
                  <w:vAlign w:val="center"/>
                </w:tcPr>
                <w:p w14:paraId="31422230">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0.2</w:t>
                  </w:r>
                </w:p>
              </w:tc>
              <w:tc>
                <w:tcPr>
                  <w:tcW w:w="828" w:type="pct"/>
                  <w:tcBorders>
                    <w:tl2br w:val="nil"/>
                    <w:tr2bl w:val="nil"/>
                  </w:tcBorders>
                  <w:vAlign w:val="center"/>
                </w:tcPr>
                <w:p w14:paraId="51264E59">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委托环卫部门采用吸粪车运走。</w:t>
                  </w:r>
                </w:p>
              </w:tc>
              <w:tc>
                <w:tcPr>
                  <w:tcW w:w="499" w:type="pct"/>
                  <w:tcBorders>
                    <w:tl2br w:val="nil"/>
                    <w:tr2bl w:val="nil"/>
                  </w:tcBorders>
                  <w:vAlign w:val="center"/>
                </w:tcPr>
                <w:p w14:paraId="45988E0A">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0.2</w:t>
                  </w:r>
                </w:p>
              </w:tc>
              <w:tc>
                <w:tcPr>
                  <w:tcW w:w="818" w:type="pct"/>
                  <w:tcBorders>
                    <w:tl2br w:val="nil"/>
                    <w:tr2bl w:val="nil"/>
                  </w:tcBorders>
                  <w:vAlign w:val="center"/>
                </w:tcPr>
                <w:p w14:paraId="088DEA15">
                  <w:pPr>
                    <w:pStyle w:val="9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妥善处置</w:t>
                  </w:r>
                </w:p>
              </w:tc>
            </w:tr>
            <w:bookmarkEnd w:id="121"/>
          </w:tbl>
          <w:p w14:paraId="5B8B1FC0">
            <w:pPr>
              <w:adjustRightInd w:val="0"/>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5、地下水、土壤</w:t>
            </w:r>
          </w:p>
          <w:p w14:paraId="034DE25E">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根据《建设项目环境影响报告表编制技术指南  污染影响类》（试行），项目地下水和土壤不开展专项评价。</w:t>
            </w:r>
          </w:p>
          <w:p w14:paraId="5DF1ECEA">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（1）地下水类型及含水层</w:t>
            </w:r>
          </w:p>
          <w:p w14:paraId="251AB2C4">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项目厂区内地下水类型主要为：场地地基土①层素填土为透水层；②层粉质粘土和③层粘土为相对隔水层；④层强风化粉砂质泥岩为弱含水层，含风化裂隙水。</w:t>
            </w:r>
          </w:p>
          <w:p w14:paraId="0C48C6F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场地水文地质条件较简单，地基土中的地下水主要赋存于④层强风化粉砂质泥岩中，场地地下水类型为孔隙潜水型和风化裂隙型，富水性较弱。厂区地下水主要接受大气降水补给为主，水位随季节变化，由北向南低处缓慢径流排泄，部分蒸发排泄。本项目所在场地水文地质条件较简单，地基土中的地下水主要赋存于④层强风化粉砂质泥岩中，场地地下水类型为孔隙潜水型和风化裂隙型，富水性较弱。厂区地下水主要接受大气降水补给为主，水位随季节变化，由北向南低处缓慢径流排泄，部分蒸发排泄。</w:t>
            </w:r>
          </w:p>
          <w:p w14:paraId="5F04FF2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（2）地下水、土壤污染源及防渗措施</w:t>
            </w:r>
          </w:p>
          <w:p w14:paraId="5DBDD28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经识别，本项目地下水主要污染源为浊循环废水</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生活污水</w:t>
            </w:r>
            <w:r>
              <w:rPr>
                <w:rFonts w:hint="default" w:ascii="Times New Roman" w:hAnsi="Times New Roman" w:cs="Times New Roman"/>
                <w:color w:val="auto"/>
                <w:sz w:val="24"/>
              </w:rPr>
              <w:t>和废机油，主要污染途径为</w:t>
            </w:r>
            <w:r>
              <w:rPr>
                <w:rFonts w:hint="default" w:ascii="Times New Roman" w:hAnsi="Times New Roman" w:cs="Times New Roman"/>
                <w:color w:val="auto"/>
                <w:sz w:val="24"/>
                <w:lang w:val="en-US" w:eastAsia="zh-CN"/>
              </w:rPr>
              <w:t>浊循环水池、化粪池及危险废物贮存库防渗层破裂导致废水及废机油</w:t>
            </w:r>
            <w:r>
              <w:rPr>
                <w:rFonts w:hint="default" w:ascii="Times New Roman" w:hAnsi="Times New Roman" w:cs="Times New Roman"/>
                <w:color w:val="auto"/>
                <w:sz w:val="24"/>
              </w:rPr>
              <w:t>泄漏对土壤产生的影响，以及下渗对地下水产生的影响。</w:t>
            </w:r>
          </w:p>
          <w:p w14:paraId="34739C4E">
            <w:pPr>
              <w:widowControl/>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公司根据厂区平面布置设置情况，将其分为重点防渗区、一般防渗区和简单防渗区。</w:t>
            </w:r>
          </w:p>
          <w:p w14:paraId="51701A0F">
            <w:pPr>
              <w:widowControl/>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①重点防渗区：</w:t>
            </w:r>
            <w:r>
              <w:rPr>
                <w:rFonts w:hint="default" w:ascii="Times New Roman" w:hAnsi="Times New Roman" w:cs="Times New Roman"/>
                <w:color w:val="auto"/>
                <w:sz w:val="24"/>
              </w:rPr>
              <w:t>危险废物贮存库依托现有，根据调查，其现状防渗措施为地面采用1.5m厚黏土层+人工防渗膜（渗透系数≤10</w:t>
            </w:r>
            <w:r>
              <w:rPr>
                <w:rFonts w:hint="default" w:ascii="Times New Roman" w:hAnsi="Times New Roman" w:cs="Times New Roman"/>
                <w:color w:val="auto"/>
                <w:sz w:val="24"/>
                <w:vertAlign w:val="superscript"/>
              </w:rPr>
              <w:t>-10</w:t>
            </w:r>
            <w:r>
              <w:rPr>
                <w:rFonts w:hint="default" w:ascii="Times New Roman" w:hAnsi="Times New Roman" w:cs="Times New Roman"/>
                <w:color w:val="auto"/>
                <w:sz w:val="24"/>
              </w:rPr>
              <w:t>cm/s）+抗渗砼+环氧乙烯基酯树脂，内墙面四周2m以下采用1.5mm厚的水泥基渗透结晶型防水涂料涂抹，满足满足《危险废物贮存污染控制标准》（GB18597-2023）中渗透系数≤1×10</w:t>
            </w:r>
            <w:r>
              <w:rPr>
                <w:rFonts w:hint="default" w:ascii="Times New Roman" w:hAnsi="Times New Roman" w:cs="Times New Roman"/>
                <w:color w:val="auto"/>
                <w:sz w:val="24"/>
                <w:vertAlign w:val="superscript"/>
              </w:rPr>
              <w:t>-10</w:t>
            </w:r>
            <w:r>
              <w:rPr>
                <w:rFonts w:hint="default" w:ascii="Times New Roman" w:hAnsi="Times New Roman" w:cs="Times New Roman"/>
                <w:color w:val="auto"/>
                <w:sz w:val="24"/>
              </w:rPr>
              <w:t>cm/s要求。</w:t>
            </w:r>
          </w:p>
          <w:p w14:paraId="7951153D">
            <w:pPr>
              <w:widowControl/>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②一般防渗区：</w:t>
            </w:r>
            <w:r>
              <w:rPr>
                <w:rFonts w:hint="default" w:ascii="Times New Roman" w:hAnsi="Times New Roman" w:cs="Times New Roman"/>
                <w:color w:val="auto"/>
                <w:sz w:val="24"/>
              </w:rPr>
              <w:t>化粪池（10m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）、初期雨水收集池、无缝钢管车间、成品库依托现有，根据调查，其已采用厚度15cm的C20混凝土浇注作为防渗漏措施，防渗满足《环境影响评价技术导则  地下水环境》（HJ610-2016）中一般防渗区等效黏土防渗层Mb≥1.5m，K≤1×10</w:t>
            </w:r>
            <w:r>
              <w:rPr>
                <w:rFonts w:hint="default" w:ascii="Times New Roman" w:hAnsi="Times New Roman" w:cs="Times New Roman"/>
                <w:color w:val="auto"/>
                <w:sz w:val="24"/>
                <w:vertAlign w:val="superscript"/>
              </w:rPr>
              <w:t>-7</w:t>
            </w:r>
            <w:r>
              <w:rPr>
                <w:rFonts w:hint="default" w:ascii="Times New Roman" w:hAnsi="Times New Roman" w:cs="Times New Roman"/>
                <w:color w:val="auto"/>
                <w:sz w:val="24"/>
              </w:rPr>
              <w:t>cm/s的防渗能力要求。化粪池（6m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）、循环水池为本次新建，要求严格按照《环境影响评价技术导则  地下水环境》（HJ610-2016）中的一般防渗区要求进行防渗，确保防渗效果等效于厚度≥1.5m，渗透系数≤1×10</w:t>
            </w:r>
            <w:r>
              <w:rPr>
                <w:rFonts w:hint="default" w:ascii="Times New Roman" w:hAnsi="Times New Roman" w:cs="Times New Roman"/>
                <w:color w:val="auto"/>
                <w:sz w:val="24"/>
                <w:vertAlign w:val="superscript"/>
              </w:rPr>
              <w:t>-7</w:t>
            </w:r>
            <w:r>
              <w:rPr>
                <w:rFonts w:hint="default" w:ascii="Times New Roman" w:hAnsi="Times New Roman" w:cs="Times New Roman"/>
                <w:color w:val="auto"/>
                <w:sz w:val="24"/>
              </w:rPr>
              <w:t>cm/s）的黏土防渗效能。</w:t>
            </w:r>
          </w:p>
          <w:p w14:paraId="4C0E026E">
            <w:pPr>
              <w:widowControl/>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③简单防渗区：</w:t>
            </w:r>
            <w:r>
              <w:rPr>
                <w:rFonts w:hint="default" w:ascii="Times New Roman" w:hAnsi="Times New Roman" w:cs="Times New Roman"/>
                <w:color w:val="auto"/>
                <w:sz w:val="24"/>
              </w:rPr>
              <w:t>办公区、磅房、道路、大门值班室依托现有，已采用一般水泥硬化处理。</w:t>
            </w:r>
          </w:p>
          <w:p w14:paraId="5240384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（3）防控措施</w:t>
            </w:r>
          </w:p>
          <w:p w14:paraId="04BBAA6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为避免本项目浊循环水池内废水和废机油泄漏对地下水和土壤产生影响，本次环评提出对应的防控措施，主要措施如下：</w:t>
            </w:r>
          </w:p>
          <w:p w14:paraId="2E84E42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①对生产浊循环水池进行防渗处置。产生的废机油使用油桶收集，及时送到轧钢车间内的危险废物贮存库依托暂存。</w:t>
            </w:r>
          </w:p>
          <w:p w14:paraId="3B313828">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②加强对项目各污水处理池的巡检，尽量避免池体的破裂，而导致废水下渗。若发现池体破裂导致废水下渗，及时对池体进行修补。</w:t>
            </w:r>
          </w:p>
          <w:p w14:paraId="6A4432C4">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③项目运营期成立环保科室，专人负责各环保设施的日常管理，保证各环保设施、设备的正常运营，避免非正常排放。</w:t>
            </w:r>
          </w:p>
          <w:p w14:paraId="555C7A0B">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本项目在浊循环水池底部进行防渗透处理，废水很难渗到地下，废油依托现有危险废物贮存库储存，其建设已按《危险废物贮存污染控制标准》（GB18597-2023）要求进行建设，因此，本项目建设对地下水的影响很小。</w:t>
            </w:r>
          </w:p>
          <w:p w14:paraId="57C2E6F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经采取措施后项目对地下水环境及土壤环境的影响较小。</w:t>
            </w:r>
          </w:p>
          <w:p w14:paraId="6B236BF1">
            <w:pPr>
              <w:adjustRightInd w:val="0"/>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6、生态环境</w:t>
            </w:r>
          </w:p>
          <w:p w14:paraId="48F0F11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本项目位于通海五金产业园区里山片区，用地范围内无生态环境保护目标，工程占地面积约为占地3500m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，占地类型为规划的三类工业用地（M3）。工程占地均为永久占地，不涉及基本农田，对生态环境的影响小。</w:t>
            </w:r>
          </w:p>
          <w:p w14:paraId="5E5CDE09">
            <w:pPr>
              <w:adjustRightInd w:val="0"/>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7、环境风险</w:t>
            </w:r>
          </w:p>
          <w:p w14:paraId="2BBED656">
            <w:pPr>
              <w:pStyle w:val="4"/>
              <w:autoSpaceDE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14:paraId="53317DA1">
            <w:pPr>
              <w:adjustRightInd w:val="0"/>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7.1风险调查</w:t>
            </w:r>
          </w:p>
          <w:p w14:paraId="2CAD61E8">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环境风险评价技术导则》（HJ169-2018）附录B重点关注的危险物质及临界量表，本项目在生产过程中涉及危险物质为废机油；若危险废物贮存库发生泄漏，导致废机油泄漏至场地周围，则会污染周围地表水环境和地下水环境。</w:t>
            </w:r>
          </w:p>
          <w:p w14:paraId="1291C1A6">
            <w:pPr>
              <w:adjustRightInd w:val="0"/>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7.2环境风险评价等级</w:t>
            </w:r>
          </w:p>
          <w:p w14:paraId="7CBEB1E7">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（1）环境风险潜势划分</w:t>
            </w:r>
          </w:p>
          <w:p w14:paraId="3ABBD864">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根据《建设项目环境风险评价技术导则》（HJ169-2018）环境风险潜势划分为Ⅰ、Ⅱ、Ⅲ、Ⅳ/Ⅳ</w:t>
            </w:r>
            <w:r>
              <w:rPr>
                <w:rFonts w:hint="default" w:ascii="Times New Roman" w:hAnsi="Times New Roman" w:cs="Times New Roman"/>
                <w:color w:val="auto"/>
                <w:sz w:val="24"/>
                <w:vertAlign w:val="superscript"/>
              </w:rPr>
              <w:t>+</w:t>
            </w:r>
            <w:r>
              <w:rPr>
                <w:rFonts w:hint="default" w:ascii="Times New Roman" w:hAnsi="Times New Roman" w:cs="Times New Roman"/>
                <w:color w:val="auto"/>
                <w:sz w:val="24"/>
              </w:rPr>
              <w:t>级。环境风险潜势划分依据下表划分。</w:t>
            </w:r>
          </w:p>
          <w:p w14:paraId="53693657">
            <w:pPr>
              <w:pStyle w:val="111"/>
              <w:spacing w:line="36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表4-16   建设项目环境风险潜势划分表</w:t>
            </w:r>
          </w:p>
          <w:tbl>
            <w:tblPr>
              <w:tblStyle w:val="35"/>
              <w:tblW w:w="4999"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28"/>
              <w:gridCol w:w="1471"/>
              <w:gridCol w:w="1542"/>
              <w:gridCol w:w="1583"/>
              <w:gridCol w:w="1414"/>
            </w:tblGrid>
            <w:tr w14:paraId="14F2B9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2" w:type="pct"/>
                  <w:vMerge w:val="restart"/>
                  <w:tcBorders>
                    <w:tl2br w:val="nil"/>
                    <w:tr2bl w:val="nil"/>
                  </w:tcBorders>
                  <w:vAlign w:val="center"/>
                </w:tcPr>
                <w:p w14:paraId="0656826C">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环境敏感程度（E）</w:t>
                  </w:r>
                </w:p>
              </w:tc>
              <w:tc>
                <w:tcPr>
                  <w:tcW w:w="3647" w:type="pct"/>
                  <w:gridSpan w:val="4"/>
                  <w:tcBorders>
                    <w:tl2br w:val="nil"/>
                    <w:tr2bl w:val="nil"/>
                  </w:tcBorders>
                  <w:vAlign w:val="center"/>
                </w:tcPr>
                <w:p w14:paraId="3FD62268">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危险物质及工艺系统危险性（P）</w:t>
                  </w:r>
                </w:p>
              </w:tc>
            </w:tr>
            <w:tr w14:paraId="730408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2" w:type="pct"/>
                  <w:vMerge w:val="continue"/>
                  <w:tcBorders>
                    <w:tl2br w:val="nil"/>
                    <w:tr2bl w:val="nil"/>
                  </w:tcBorders>
                  <w:vAlign w:val="center"/>
                </w:tcPr>
                <w:p w14:paraId="3ED4E577">
                  <w:pPr>
                    <w:pStyle w:val="18"/>
                    <w:adjustRightInd w:val="0"/>
                    <w:snapToGrid w:val="0"/>
                    <w:spacing w:line="240" w:lineRule="auto"/>
                    <w:ind w:left="67" w:firstLine="360"/>
                    <w:jc w:val="center"/>
                    <w:rPr>
                      <w:rFonts w:hint="default" w:ascii="Times New Roman" w:hAnsi="Times New Roman" w:cs="Times New Roman"/>
                      <w:color w:val="auto"/>
                      <w:sz w:val="18"/>
                      <w:szCs w:val="18"/>
                    </w:rPr>
                  </w:pPr>
                </w:p>
              </w:tc>
              <w:tc>
                <w:tcPr>
                  <w:tcW w:w="893" w:type="pct"/>
                  <w:tcBorders>
                    <w:tl2br w:val="nil"/>
                    <w:tr2bl w:val="nil"/>
                  </w:tcBorders>
                  <w:vAlign w:val="center"/>
                </w:tcPr>
                <w:p w14:paraId="0873CA92">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极高危害（P1）</w:t>
                  </w:r>
                </w:p>
              </w:tc>
              <w:tc>
                <w:tcPr>
                  <w:tcW w:w="936" w:type="pct"/>
                  <w:tcBorders>
                    <w:tl2br w:val="nil"/>
                    <w:tr2bl w:val="nil"/>
                  </w:tcBorders>
                  <w:vAlign w:val="center"/>
                </w:tcPr>
                <w:p w14:paraId="5D2EE953">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高度危害（P2）</w:t>
                  </w:r>
                </w:p>
              </w:tc>
              <w:tc>
                <w:tcPr>
                  <w:tcW w:w="961" w:type="pct"/>
                  <w:tcBorders>
                    <w:tl2br w:val="nil"/>
                    <w:tr2bl w:val="nil"/>
                  </w:tcBorders>
                  <w:vAlign w:val="center"/>
                </w:tcPr>
                <w:p w14:paraId="6BBA0E62">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中度危害（P3）</w:t>
                  </w:r>
                </w:p>
              </w:tc>
              <w:tc>
                <w:tcPr>
                  <w:tcW w:w="855" w:type="pct"/>
                  <w:tcBorders>
                    <w:tl2br w:val="nil"/>
                    <w:tr2bl w:val="nil"/>
                  </w:tcBorders>
                  <w:vAlign w:val="center"/>
                </w:tcPr>
                <w:p w14:paraId="5BC6C1C2">
                  <w:pPr>
                    <w:pStyle w:val="18"/>
                    <w:adjustRightInd w:val="0"/>
                    <w:snapToGrid w:val="0"/>
                    <w:spacing w:line="240"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轻度危害（P4）</w:t>
                  </w:r>
                </w:p>
              </w:tc>
            </w:tr>
            <w:tr w14:paraId="465B8F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2" w:type="pct"/>
                  <w:tcBorders>
                    <w:tl2br w:val="nil"/>
                    <w:tr2bl w:val="nil"/>
                  </w:tcBorders>
                  <w:vAlign w:val="center"/>
                </w:tcPr>
                <w:p w14:paraId="7CC97B63">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环境高度敏感区（E1）</w:t>
                  </w:r>
                </w:p>
              </w:tc>
              <w:tc>
                <w:tcPr>
                  <w:tcW w:w="893" w:type="pct"/>
                  <w:tcBorders>
                    <w:tl2br w:val="nil"/>
                    <w:tr2bl w:val="nil"/>
                  </w:tcBorders>
                  <w:vAlign w:val="center"/>
                </w:tcPr>
                <w:p w14:paraId="588F8790">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Ⅳ+</w:t>
                  </w:r>
                </w:p>
              </w:tc>
              <w:tc>
                <w:tcPr>
                  <w:tcW w:w="936" w:type="pct"/>
                  <w:tcBorders>
                    <w:tl2br w:val="nil"/>
                    <w:tr2bl w:val="nil"/>
                  </w:tcBorders>
                  <w:vAlign w:val="center"/>
                </w:tcPr>
                <w:p w14:paraId="1550903B">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Ⅳ</w:t>
                  </w:r>
                </w:p>
              </w:tc>
              <w:tc>
                <w:tcPr>
                  <w:tcW w:w="961" w:type="pct"/>
                  <w:tcBorders>
                    <w:tl2br w:val="nil"/>
                    <w:tr2bl w:val="nil"/>
                  </w:tcBorders>
                  <w:vAlign w:val="center"/>
                </w:tcPr>
                <w:p w14:paraId="4EB9F702">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Ⅲ</w:t>
                  </w:r>
                </w:p>
              </w:tc>
              <w:tc>
                <w:tcPr>
                  <w:tcW w:w="855" w:type="pct"/>
                  <w:tcBorders>
                    <w:tl2br w:val="nil"/>
                    <w:tr2bl w:val="nil"/>
                  </w:tcBorders>
                  <w:vAlign w:val="center"/>
                </w:tcPr>
                <w:p w14:paraId="4F45DDD2">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Ⅲ</w:t>
                  </w:r>
                </w:p>
              </w:tc>
            </w:tr>
            <w:tr w14:paraId="43B7A7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2" w:type="pct"/>
                  <w:tcBorders>
                    <w:tl2br w:val="nil"/>
                    <w:tr2bl w:val="nil"/>
                  </w:tcBorders>
                  <w:vAlign w:val="center"/>
                </w:tcPr>
                <w:p w14:paraId="41A90630">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环境中度敏感区（E2）</w:t>
                  </w:r>
                </w:p>
              </w:tc>
              <w:tc>
                <w:tcPr>
                  <w:tcW w:w="893" w:type="pct"/>
                  <w:tcBorders>
                    <w:tl2br w:val="nil"/>
                    <w:tr2bl w:val="nil"/>
                  </w:tcBorders>
                  <w:vAlign w:val="center"/>
                </w:tcPr>
                <w:p w14:paraId="0C5F414C">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Ⅳ</w:t>
                  </w:r>
                </w:p>
              </w:tc>
              <w:tc>
                <w:tcPr>
                  <w:tcW w:w="936" w:type="pct"/>
                  <w:tcBorders>
                    <w:tl2br w:val="nil"/>
                    <w:tr2bl w:val="nil"/>
                  </w:tcBorders>
                  <w:vAlign w:val="center"/>
                </w:tcPr>
                <w:p w14:paraId="3D58BCA1">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Ⅲ</w:t>
                  </w:r>
                </w:p>
              </w:tc>
              <w:tc>
                <w:tcPr>
                  <w:tcW w:w="961" w:type="pct"/>
                  <w:tcBorders>
                    <w:tl2br w:val="nil"/>
                    <w:tr2bl w:val="nil"/>
                  </w:tcBorders>
                  <w:vAlign w:val="center"/>
                </w:tcPr>
                <w:p w14:paraId="104932ED">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Ⅲ</w:t>
                  </w:r>
                </w:p>
              </w:tc>
              <w:tc>
                <w:tcPr>
                  <w:tcW w:w="855" w:type="pct"/>
                  <w:tcBorders>
                    <w:tl2br w:val="nil"/>
                    <w:tr2bl w:val="nil"/>
                  </w:tcBorders>
                  <w:vAlign w:val="center"/>
                </w:tcPr>
                <w:p w14:paraId="633357AE">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Ⅱ</w:t>
                  </w:r>
                </w:p>
              </w:tc>
            </w:tr>
            <w:tr w14:paraId="78AE61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2" w:type="pct"/>
                  <w:tcBorders>
                    <w:tl2br w:val="nil"/>
                    <w:tr2bl w:val="nil"/>
                  </w:tcBorders>
                  <w:vAlign w:val="center"/>
                </w:tcPr>
                <w:p w14:paraId="779416B9">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环境低度敏感区（E3）</w:t>
                  </w:r>
                </w:p>
              </w:tc>
              <w:tc>
                <w:tcPr>
                  <w:tcW w:w="893" w:type="pct"/>
                  <w:tcBorders>
                    <w:tl2br w:val="nil"/>
                    <w:tr2bl w:val="nil"/>
                  </w:tcBorders>
                  <w:vAlign w:val="center"/>
                </w:tcPr>
                <w:p w14:paraId="0738A0B6">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Ⅲ</w:t>
                  </w:r>
                </w:p>
              </w:tc>
              <w:tc>
                <w:tcPr>
                  <w:tcW w:w="936" w:type="pct"/>
                  <w:tcBorders>
                    <w:tl2br w:val="nil"/>
                    <w:tr2bl w:val="nil"/>
                  </w:tcBorders>
                  <w:vAlign w:val="center"/>
                </w:tcPr>
                <w:p w14:paraId="227A1001">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Ⅲ</w:t>
                  </w:r>
                </w:p>
              </w:tc>
              <w:tc>
                <w:tcPr>
                  <w:tcW w:w="961" w:type="pct"/>
                  <w:tcBorders>
                    <w:tl2br w:val="nil"/>
                    <w:tr2bl w:val="nil"/>
                  </w:tcBorders>
                  <w:vAlign w:val="center"/>
                </w:tcPr>
                <w:p w14:paraId="3FC4BE72">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Ⅱ</w:t>
                  </w:r>
                </w:p>
              </w:tc>
              <w:tc>
                <w:tcPr>
                  <w:tcW w:w="855" w:type="pct"/>
                  <w:tcBorders>
                    <w:tl2br w:val="nil"/>
                    <w:tr2bl w:val="nil"/>
                  </w:tcBorders>
                  <w:vAlign w:val="center"/>
                </w:tcPr>
                <w:p w14:paraId="79CAEB36">
                  <w:pPr>
                    <w:pStyle w:val="18"/>
                    <w:adjustRightInd w:val="0"/>
                    <w:snapToGrid w:val="0"/>
                    <w:spacing w:line="240" w:lineRule="auto"/>
                    <w:ind w:left="6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Ⅰ</w:t>
                  </w:r>
                </w:p>
              </w:tc>
            </w:tr>
            <w:tr w14:paraId="3D5FD2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tcBorders>
                    <w:tl2br w:val="nil"/>
                    <w:tr2bl w:val="nil"/>
                  </w:tcBorders>
                  <w:vAlign w:val="center"/>
                </w:tcPr>
                <w:p w14:paraId="54E3AC8F">
                  <w:pPr>
                    <w:pStyle w:val="18"/>
                    <w:adjustRightInd w:val="0"/>
                    <w:snapToGrid w:val="0"/>
                    <w:spacing w:line="240" w:lineRule="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注：Ⅳ</w:t>
                  </w:r>
                  <w:r>
                    <w:rPr>
                      <w:rFonts w:hint="default" w:ascii="Times New Roman" w:hAnsi="Times New Roman" w:cs="Times New Roman"/>
                      <w:color w:val="auto"/>
                      <w:sz w:val="18"/>
                      <w:szCs w:val="18"/>
                      <w:vertAlign w:val="superscript"/>
                    </w:rPr>
                    <w:t>+</w:t>
                  </w:r>
                  <w:r>
                    <w:rPr>
                      <w:rFonts w:hint="default" w:ascii="Times New Roman" w:hAnsi="Times New Roman" w:cs="Times New Roman"/>
                      <w:color w:val="auto"/>
                      <w:sz w:val="18"/>
                      <w:szCs w:val="18"/>
                    </w:rPr>
                    <w:t>极高环境风险</w:t>
                  </w:r>
                </w:p>
              </w:tc>
            </w:tr>
          </w:tbl>
          <w:p w14:paraId="2025D431">
            <w:pPr>
              <w:pStyle w:val="18"/>
              <w:adjustRightInd w:val="0"/>
              <w:snapToGrid w:val="0"/>
              <w:spacing w:line="360" w:lineRule="auto"/>
              <w:ind w:left="67"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（2）危险物质及工艺系统危险性（P）分级</w:t>
            </w:r>
          </w:p>
          <w:p w14:paraId="664A229B">
            <w:pPr>
              <w:pStyle w:val="18"/>
              <w:adjustRightInd w:val="0"/>
              <w:snapToGrid w:val="0"/>
              <w:spacing w:line="360" w:lineRule="auto"/>
              <w:ind w:left="67"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1 \* GB3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①</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危险物质数量与临界量的比值（Q）判定</w:t>
            </w:r>
          </w:p>
          <w:p w14:paraId="451E8719">
            <w:pPr>
              <w:pStyle w:val="18"/>
              <w:adjustRightInd w:val="0"/>
              <w:snapToGrid w:val="0"/>
              <w:spacing w:line="360" w:lineRule="auto"/>
              <w:ind w:left="67"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对照《建设项目环境风险评价技术导则》（HJ169-2018）附录C，危险物质数量与临界量的比值（Q）如下：</w:t>
            </w:r>
          </w:p>
          <w:p w14:paraId="3F31AE69">
            <w:pPr>
              <w:pStyle w:val="18"/>
              <w:adjustRightInd w:val="0"/>
              <w:snapToGrid w:val="0"/>
              <w:spacing w:line="360" w:lineRule="auto"/>
              <w:ind w:left="67"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当只涉及一种危险物质时，计算该物质总量与临界量的比值，即为Q；</w:t>
            </w:r>
          </w:p>
          <w:p w14:paraId="6FFCD44C">
            <w:pPr>
              <w:pStyle w:val="18"/>
              <w:adjustRightInd w:val="0"/>
              <w:snapToGrid w:val="0"/>
              <w:spacing w:line="360" w:lineRule="auto"/>
              <w:ind w:left="67"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当存在多种危险物质时，按照下列公式计算物质总量与临界量的比值（Q）；</w:t>
            </w:r>
          </w:p>
          <w:p w14:paraId="516965DD">
            <w:pPr>
              <w:pStyle w:val="18"/>
              <w:adjustRightInd w:val="0"/>
              <w:snapToGrid w:val="0"/>
              <w:spacing w:line="360" w:lineRule="auto"/>
              <w:ind w:left="67" w:firstLine="48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1958340" cy="560705"/>
                  <wp:effectExtent l="0" t="0" r="3810" b="10795"/>
                  <wp:docPr id="1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9"/>
                          <pic:cNvPicPr>
                            <a:picLocks noChangeAspect="1"/>
                          </pic:cNvPicPr>
                        </pic:nvPicPr>
                        <pic:blipFill>
                          <a:blip r:embed="rId32"/>
                          <a:stretch>
                            <a:fillRect/>
                          </a:stretch>
                        </pic:blipFill>
                        <pic:spPr>
                          <a:xfrm>
                            <a:off x="0" y="0"/>
                            <a:ext cx="1958340" cy="560705"/>
                          </a:xfrm>
                          <a:prstGeom prst="rect">
                            <a:avLst/>
                          </a:prstGeom>
                          <a:noFill/>
                          <a:ln>
                            <a:noFill/>
                          </a:ln>
                        </pic:spPr>
                      </pic:pic>
                    </a:graphicData>
                  </a:graphic>
                </wp:inline>
              </w:drawing>
            </w:r>
          </w:p>
          <w:p w14:paraId="5375ABAC">
            <w:pPr>
              <w:pStyle w:val="18"/>
              <w:adjustRightInd w:val="0"/>
              <w:snapToGrid w:val="0"/>
              <w:spacing w:line="360" w:lineRule="auto"/>
              <w:ind w:left="67"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w:t>
            </w:r>
          </w:p>
          <w:p w14:paraId="6447BDE6">
            <w:pPr>
              <w:pStyle w:val="18"/>
              <w:adjustRightInd w:val="0"/>
              <w:snapToGrid w:val="0"/>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q1、q2····qn—每种危险物质最大存在总量（t）；</w:t>
            </w:r>
          </w:p>
          <w:p w14:paraId="2F4D0748">
            <w:pPr>
              <w:pStyle w:val="18"/>
              <w:adjustRightInd w:val="0"/>
              <w:snapToGrid w:val="0"/>
              <w:spacing w:line="360" w:lineRule="auto"/>
              <w:ind w:left="67"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Q1、Q2····Qn—每种物质的临界量（t）；</w:t>
            </w:r>
          </w:p>
          <w:p w14:paraId="391D301F">
            <w:pPr>
              <w:pStyle w:val="18"/>
              <w:adjustRightInd w:val="0"/>
              <w:snapToGrid w:val="0"/>
              <w:spacing w:line="360" w:lineRule="auto"/>
              <w:ind w:firstLine="960" w:firstLineChars="4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当＜1时，该项目环境风险潜势划为Ⅰ；</w:t>
            </w:r>
          </w:p>
          <w:p w14:paraId="2FCBDC5F">
            <w:pPr>
              <w:pStyle w:val="18"/>
              <w:adjustRightInd w:val="0"/>
              <w:snapToGrid w:val="0"/>
              <w:spacing w:line="360" w:lineRule="auto"/>
              <w:ind w:left="67" w:firstLine="720" w:firstLineChars="3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当Q≥1时，将Q值划分为：（1）1≤Q＜10；（2）10≤Q＜100；（2）Q≥100。</w:t>
            </w:r>
          </w:p>
          <w:p w14:paraId="3AD1EA73">
            <w:pPr>
              <w:pStyle w:val="18"/>
              <w:adjustRightInd w:val="0"/>
              <w:snapToGrid w:val="0"/>
              <w:spacing w:line="360" w:lineRule="auto"/>
              <w:ind w:left="67" w:firstLine="480"/>
              <w:rPr>
                <w:rFonts w:hint="default" w:ascii="Times New Roman" w:hAnsi="Times New Roman" w:cs="Times New Roman"/>
                <w:color w:val="auto"/>
              </w:rPr>
            </w:pPr>
            <w:r>
              <w:rPr>
                <w:rFonts w:hint="default" w:ascii="Times New Roman" w:hAnsi="Times New Roman" w:cs="Times New Roman"/>
                <w:color w:val="auto"/>
                <w:sz w:val="24"/>
                <w:szCs w:val="24"/>
              </w:rPr>
              <w:t>根据《危险化学品重大危险源辨识》（GB18218-2018）及《建设项目环境风险评价技术导则》（HJ169-2018）附录A.1中的有关规定，本项目所涉及的危险物质为废机油。根据导则附录B，项目涉及危险物质主要是废机油储存量、临界量及Q值详见下表。</w:t>
            </w:r>
          </w:p>
          <w:p w14:paraId="221C11A0">
            <w:pPr>
              <w:widowControl/>
              <w:spacing w:line="360" w:lineRule="auto"/>
              <w:jc w:val="center"/>
              <w:rPr>
                <w:rFonts w:hint="default" w:ascii="Times New Roman" w:hAnsi="Times New Roman" w:cs="Times New Roman"/>
                <w:b/>
                <w:bCs/>
                <w:color w:val="auto"/>
              </w:rPr>
            </w:pPr>
            <w:r>
              <w:rPr>
                <w:rFonts w:hint="default" w:ascii="Times New Roman" w:hAnsi="Times New Roman" w:cs="Times New Roman"/>
                <w:b/>
                <w:bCs/>
                <w:color w:val="auto"/>
              </w:rPr>
              <w:t>表4-17   建设项目Q值计算结果一览表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2"/>
              <w:gridCol w:w="1790"/>
              <w:gridCol w:w="1754"/>
              <w:gridCol w:w="1378"/>
              <w:gridCol w:w="1536"/>
            </w:tblGrid>
            <w:tr w14:paraId="0A5BA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pct"/>
                  <w:tcBorders>
                    <w:top w:val="single" w:color="auto" w:sz="4" w:space="0"/>
                    <w:left w:val="single" w:color="auto" w:sz="4" w:space="0"/>
                    <w:bottom w:val="single" w:color="auto" w:sz="4" w:space="0"/>
                    <w:right w:val="single" w:color="auto" w:sz="4" w:space="0"/>
                  </w:tcBorders>
                  <w:vAlign w:val="center"/>
                </w:tcPr>
                <w:p w14:paraId="29DCE46B">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设备</w:t>
                  </w:r>
                </w:p>
              </w:tc>
              <w:tc>
                <w:tcPr>
                  <w:tcW w:w="1087" w:type="pct"/>
                  <w:tcBorders>
                    <w:top w:val="single" w:color="auto" w:sz="4" w:space="0"/>
                    <w:left w:val="single" w:color="auto" w:sz="4" w:space="0"/>
                    <w:bottom w:val="single" w:color="auto" w:sz="4" w:space="0"/>
                    <w:right w:val="single" w:color="auto" w:sz="4" w:space="0"/>
                  </w:tcBorders>
                  <w:vAlign w:val="center"/>
                </w:tcPr>
                <w:p w14:paraId="1A33A6AE">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危险物质名称</w:t>
                  </w:r>
                </w:p>
              </w:tc>
              <w:tc>
                <w:tcPr>
                  <w:tcW w:w="1065" w:type="pct"/>
                  <w:tcBorders>
                    <w:top w:val="single" w:color="auto" w:sz="4" w:space="0"/>
                    <w:left w:val="single" w:color="auto" w:sz="4" w:space="0"/>
                    <w:bottom w:val="single" w:color="auto" w:sz="4" w:space="0"/>
                    <w:right w:val="single" w:color="auto" w:sz="4" w:space="0"/>
                  </w:tcBorders>
                  <w:vAlign w:val="center"/>
                </w:tcPr>
                <w:p w14:paraId="4A8E1177">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贮存量（t）</w:t>
                  </w:r>
                </w:p>
              </w:tc>
              <w:tc>
                <w:tcPr>
                  <w:tcW w:w="837" w:type="pct"/>
                  <w:tcBorders>
                    <w:top w:val="single" w:color="auto" w:sz="4" w:space="0"/>
                    <w:left w:val="single" w:color="auto" w:sz="4" w:space="0"/>
                    <w:bottom w:val="single" w:color="auto" w:sz="4" w:space="0"/>
                    <w:right w:val="single" w:color="auto" w:sz="4" w:space="0"/>
                  </w:tcBorders>
                  <w:vAlign w:val="center"/>
                </w:tcPr>
                <w:p w14:paraId="4740DB2C">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临界量（t）</w:t>
                  </w:r>
                </w:p>
              </w:tc>
              <w:tc>
                <w:tcPr>
                  <w:tcW w:w="933" w:type="pct"/>
                  <w:tcBorders>
                    <w:top w:val="single" w:color="auto" w:sz="4" w:space="0"/>
                    <w:left w:val="single" w:color="auto" w:sz="4" w:space="0"/>
                    <w:bottom w:val="single" w:color="auto" w:sz="4" w:space="0"/>
                    <w:right w:val="single" w:color="auto" w:sz="4" w:space="0"/>
                  </w:tcBorders>
                  <w:vAlign w:val="center"/>
                </w:tcPr>
                <w:p w14:paraId="1E24F1C4">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Σ(q/Q）值</w:t>
                  </w:r>
                </w:p>
              </w:tc>
            </w:tr>
            <w:tr w14:paraId="06B7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6" w:type="pct"/>
                  <w:tcBorders>
                    <w:top w:val="single" w:color="auto" w:sz="4" w:space="0"/>
                    <w:left w:val="single" w:color="auto" w:sz="4" w:space="0"/>
                    <w:bottom w:val="single" w:color="auto" w:sz="4" w:space="0"/>
                    <w:right w:val="single" w:color="auto" w:sz="4" w:space="0"/>
                  </w:tcBorders>
                  <w:vAlign w:val="center"/>
                </w:tcPr>
                <w:p w14:paraId="79A1D584">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危险废物贮存库</w:t>
                  </w:r>
                </w:p>
              </w:tc>
              <w:tc>
                <w:tcPr>
                  <w:tcW w:w="1087" w:type="pct"/>
                  <w:tcBorders>
                    <w:top w:val="single" w:color="auto" w:sz="4" w:space="0"/>
                    <w:left w:val="single" w:color="auto" w:sz="4" w:space="0"/>
                    <w:bottom w:val="single" w:color="auto" w:sz="4" w:space="0"/>
                    <w:right w:val="single" w:color="auto" w:sz="4" w:space="0"/>
                  </w:tcBorders>
                  <w:vAlign w:val="center"/>
                </w:tcPr>
                <w:p w14:paraId="50891EF7">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废机油</w:t>
                  </w:r>
                </w:p>
              </w:tc>
              <w:tc>
                <w:tcPr>
                  <w:tcW w:w="1065" w:type="pct"/>
                  <w:tcBorders>
                    <w:top w:val="single" w:color="auto" w:sz="4" w:space="0"/>
                    <w:left w:val="single" w:color="auto" w:sz="4" w:space="0"/>
                    <w:bottom w:val="single" w:color="auto" w:sz="4" w:space="0"/>
                    <w:right w:val="single" w:color="auto" w:sz="4" w:space="0"/>
                  </w:tcBorders>
                  <w:vAlign w:val="center"/>
                </w:tcPr>
                <w:p w14:paraId="3775C6DE">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w:t>
                  </w:r>
                </w:p>
              </w:tc>
              <w:tc>
                <w:tcPr>
                  <w:tcW w:w="837" w:type="pct"/>
                  <w:tcBorders>
                    <w:top w:val="single" w:color="auto" w:sz="4" w:space="0"/>
                    <w:left w:val="single" w:color="auto" w:sz="4" w:space="0"/>
                    <w:bottom w:val="single" w:color="auto" w:sz="4" w:space="0"/>
                    <w:right w:val="single" w:color="auto" w:sz="4" w:space="0"/>
                  </w:tcBorders>
                  <w:vAlign w:val="center"/>
                </w:tcPr>
                <w:p w14:paraId="3C5B0405">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2500</w:t>
                  </w:r>
                </w:p>
              </w:tc>
              <w:tc>
                <w:tcPr>
                  <w:tcW w:w="933" w:type="pct"/>
                  <w:tcBorders>
                    <w:top w:val="single" w:color="auto" w:sz="4" w:space="0"/>
                    <w:left w:val="single" w:color="auto" w:sz="4" w:space="0"/>
                    <w:bottom w:val="single" w:color="auto" w:sz="4" w:space="0"/>
                    <w:right w:val="single" w:color="auto" w:sz="4" w:space="0"/>
                  </w:tcBorders>
                  <w:vAlign w:val="center"/>
                </w:tcPr>
                <w:p w14:paraId="0AB617B3">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0.00004</w:t>
                  </w:r>
                </w:p>
              </w:tc>
            </w:tr>
            <w:tr w14:paraId="07D77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3" w:type="pct"/>
                  <w:gridSpan w:val="2"/>
                  <w:tcBorders>
                    <w:top w:val="single" w:color="auto" w:sz="4" w:space="0"/>
                    <w:left w:val="single" w:color="auto" w:sz="4" w:space="0"/>
                    <w:bottom w:val="single" w:color="auto" w:sz="4" w:space="0"/>
                    <w:right w:val="single" w:color="auto" w:sz="4" w:space="0"/>
                  </w:tcBorders>
                  <w:vAlign w:val="center"/>
                </w:tcPr>
                <w:p w14:paraId="580DBB21">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Σ</w:t>
                  </w:r>
                </w:p>
              </w:tc>
              <w:tc>
                <w:tcPr>
                  <w:tcW w:w="1065" w:type="pct"/>
                  <w:tcBorders>
                    <w:top w:val="single" w:color="auto" w:sz="4" w:space="0"/>
                    <w:left w:val="single" w:color="auto" w:sz="4" w:space="0"/>
                    <w:bottom w:val="single" w:color="auto" w:sz="4" w:space="0"/>
                    <w:right w:val="single" w:color="auto" w:sz="4" w:space="0"/>
                  </w:tcBorders>
                  <w:vAlign w:val="center"/>
                </w:tcPr>
                <w:p w14:paraId="21D0BB0E">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837" w:type="pct"/>
                  <w:tcBorders>
                    <w:top w:val="single" w:color="auto" w:sz="4" w:space="0"/>
                    <w:left w:val="single" w:color="auto" w:sz="4" w:space="0"/>
                    <w:bottom w:val="single" w:color="auto" w:sz="4" w:space="0"/>
                    <w:right w:val="single" w:color="auto" w:sz="4" w:space="0"/>
                  </w:tcBorders>
                  <w:vAlign w:val="center"/>
                </w:tcPr>
                <w:p w14:paraId="5FA4C84C">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933" w:type="pct"/>
                  <w:tcBorders>
                    <w:top w:val="single" w:color="auto" w:sz="4" w:space="0"/>
                    <w:left w:val="single" w:color="auto" w:sz="4" w:space="0"/>
                    <w:bottom w:val="single" w:color="auto" w:sz="4" w:space="0"/>
                    <w:right w:val="single" w:color="auto" w:sz="4" w:space="0"/>
                  </w:tcBorders>
                  <w:vAlign w:val="center"/>
                </w:tcPr>
                <w:p w14:paraId="4FA4FF00">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0.00004</w:t>
                  </w:r>
                </w:p>
              </w:tc>
            </w:tr>
          </w:tbl>
          <w:p w14:paraId="6F4AA7E1">
            <w:pPr>
              <w:adjustRightInd w:val="0"/>
              <w:snapToGrid w:val="0"/>
              <w:spacing w:line="360" w:lineRule="auto"/>
              <w:ind w:firstLine="480"/>
              <w:rPr>
                <w:rFonts w:hint="default" w:ascii="Times New Roman" w:hAnsi="Times New Roman" w:cs="Times New Roman"/>
                <w:color w:val="auto"/>
                <w:sz w:val="24"/>
                <w:lang w:val="zh-CN"/>
              </w:rPr>
            </w:pPr>
            <w:r>
              <w:rPr>
                <w:rFonts w:hint="default" w:ascii="Times New Roman" w:hAnsi="Times New Roman" w:cs="Times New Roman"/>
                <w:color w:val="auto"/>
                <w:sz w:val="24"/>
              </w:rPr>
              <w:t>由上表可知，本项目贮存量均未超过《危险化学品重大危险源辨识》（GB18218-2018）中的临</w:t>
            </w:r>
            <w:r>
              <w:rPr>
                <w:rFonts w:hint="default" w:ascii="Times New Roman" w:hAnsi="Times New Roman" w:cs="Times New Roman"/>
                <w:color w:val="auto"/>
                <w:sz w:val="24"/>
                <w:lang w:val="zh-CN"/>
              </w:rPr>
              <w:t>界量值，危险物质数量与临界值量比值Q=0.00</w:t>
            </w:r>
            <w:r>
              <w:rPr>
                <w:rFonts w:hint="default" w:ascii="Times New Roman" w:hAnsi="Times New Roman" w:cs="Times New Roman"/>
                <w:color w:val="auto"/>
                <w:sz w:val="24"/>
              </w:rPr>
              <w:t>004</w:t>
            </w:r>
            <w:r>
              <w:rPr>
                <w:rFonts w:hint="default" w:ascii="Times New Roman" w:hAnsi="Times New Roman" w:cs="Times New Roman"/>
                <w:color w:val="auto"/>
                <w:sz w:val="24"/>
                <w:lang w:val="zh-CN"/>
              </w:rPr>
              <w:t>＜1，该项目环境风险潜势为I，未构成重大危险源。</w:t>
            </w:r>
          </w:p>
          <w:p w14:paraId="1E1763FE">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根据《建设项目环境风险评价技术导则》（HJ169-2018）附录B中规定，当Q＜1时，本项目环境风险潜势划为Ⅰ，因此，本项目可直接判定风险评价为简单分析。</w:t>
            </w:r>
          </w:p>
          <w:p w14:paraId="0263C77E">
            <w:pPr>
              <w:autoSpaceDE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7.3风险物质特性</w:t>
            </w:r>
          </w:p>
          <w:p w14:paraId="48E8D370">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根据《建设项目环境风险评价技术导则》（HJ169-2018）的要求及导则附录A.1，涉及本项目的危险物质主要为废机油。</w:t>
            </w:r>
          </w:p>
          <w:p w14:paraId="27043F0A">
            <w:pPr>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其理化性质及危险特性见下表：</w:t>
            </w:r>
          </w:p>
          <w:p w14:paraId="68F33AD2">
            <w:pPr>
              <w:spacing w:line="360" w:lineRule="auto"/>
              <w:ind w:firstLine="493"/>
              <w:jc w:val="center"/>
              <w:rPr>
                <w:rFonts w:hint="default" w:ascii="Times New Roman" w:hAnsi="Times New Roman" w:cs="Times New Roman"/>
                <w:b/>
                <w:bCs/>
                <w:color w:val="auto"/>
              </w:rPr>
            </w:pPr>
            <w:r>
              <w:rPr>
                <w:rFonts w:hint="default" w:ascii="Times New Roman" w:hAnsi="Times New Roman" w:cs="Times New Roman"/>
                <w:b/>
                <w:bCs/>
                <w:color w:val="auto"/>
              </w:rPr>
              <w:t>表4-18     废机油的物理化学性质和危险性特性表</w:t>
            </w:r>
          </w:p>
          <w:tbl>
            <w:tblPr>
              <w:tblStyle w:val="35"/>
              <w:tblW w:w="831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26"/>
              <w:gridCol w:w="2115"/>
              <w:gridCol w:w="5175"/>
            </w:tblGrid>
            <w:tr w14:paraId="3E0ADA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6" w:type="dxa"/>
                  <w:tcBorders>
                    <w:tl2br w:val="nil"/>
                    <w:tr2bl w:val="nil"/>
                  </w:tcBorders>
                  <w:vAlign w:val="center"/>
                </w:tcPr>
                <w:p w14:paraId="56248279">
                  <w:pPr>
                    <w:pStyle w:val="104"/>
                    <w:spacing w:line="244"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类别</w:t>
                  </w:r>
                </w:p>
              </w:tc>
              <w:tc>
                <w:tcPr>
                  <w:tcW w:w="2115" w:type="dxa"/>
                  <w:tcBorders>
                    <w:tl2br w:val="nil"/>
                    <w:tr2bl w:val="nil"/>
                  </w:tcBorders>
                  <w:vAlign w:val="center"/>
                </w:tcPr>
                <w:p w14:paraId="51AE4348">
                  <w:pPr>
                    <w:pStyle w:val="104"/>
                    <w:spacing w:line="244"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w:t>
                  </w:r>
                </w:p>
              </w:tc>
              <w:tc>
                <w:tcPr>
                  <w:tcW w:w="5175" w:type="dxa"/>
                  <w:tcBorders>
                    <w:tl2br w:val="nil"/>
                    <w:tr2bl w:val="nil"/>
                  </w:tcBorders>
                  <w:vAlign w:val="center"/>
                </w:tcPr>
                <w:p w14:paraId="25580D81">
                  <w:pPr>
                    <w:pStyle w:val="104"/>
                    <w:spacing w:line="244"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废机油</w:t>
                  </w:r>
                </w:p>
              </w:tc>
            </w:tr>
            <w:tr w14:paraId="3F1F24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6" w:type="dxa"/>
                  <w:vMerge w:val="restart"/>
                  <w:tcBorders>
                    <w:tl2br w:val="nil"/>
                    <w:tr2bl w:val="nil"/>
                  </w:tcBorders>
                  <w:vAlign w:val="center"/>
                </w:tcPr>
                <w:p w14:paraId="41680D15">
                  <w:pPr>
                    <w:pStyle w:val="104"/>
                    <w:spacing w:line="244"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理化性质</w:t>
                  </w:r>
                </w:p>
              </w:tc>
              <w:tc>
                <w:tcPr>
                  <w:tcW w:w="2115" w:type="dxa"/>
                  <w:tcBorders>
                    <w:tl2br w:val="nil"/>
                    <w:tr2bl w:val="nil"/>
                  </w:tcBorders>
                  <w:vAlign w:val="center"/>
                </w:tcPr>
                <w:p w14:paraId="4FCABCAA">
                  <w:pPr>
                    <w:pStyle w:val="104"/>
                    <w:spacing w:before="33"/>
                    <w:ind w:left="420" w:right="322"/>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外观及性状</w:t>
                  </w:r>
                </w:p>
              </w:tc>
              <w:tc>
                <w:tcPr>
                  <w:tcW w:w="5175" w:type="dxa"/>
                  <w:tcBorders>
                    <w:tl2br w:val="nil"/>
                    <w:tr2bl w:val="nil"/>
                  </w:tcBorders>
                  <w:vAlign w:val="center"/>
                </w:tcPr>
                <w:p w14:paraId="2FB49E06">
                  <w:pPr>
                    <w:pStyle w:val="104"/>
                    <w:spacing w:before="33"/>
                    <w:ind w:left="420" w:right="748"/>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油状液体，淡黄色至褐色，无气味或略带异味。</w:t>
                  </w:r>
                </w:p>
              </w:tc>
            </w:tr>
            <w:tr w14:paraId="0F6294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6" w:type="dxa"/>
                  <w:vMerge w:val="continue"/>
                  <w:tcBorders>
                    <w:tl2br w:val="nil"/>
                    <w:tr2bl w:val="nil"/>
                  </w:tcBorders>
                  <w:vAlign w:val="center"/>
                </w:tcPr>
                <w:p w14:paraId="28DA214D">
                  <w:pPr>
                    <w:widowControl/>
                    <w:jc w:val="center"/>
                    <w:rPr>
                      <w:rFonts w:hint="default" w:ascii="Times New Roman" w:hAnsi="Times New Roman" w:cs="Times New Roman"/>
                      <w:color w:val="auto"/>
                      <w:sz w:val="18"/>
                      <w:szCs w:val="18"/>
                    </w:rPr>
                  </w:pPr>
                </w:p>
              </w:tc>
              <w:tc>
                <w:tcPr>
                  <w:tcW w:w="2115" w:type="dxa"/>
                  <w:tcBorders>
                    <w:tl2br w:val="nil"/>
                    <w:tr2bl w:val="nil"/>
                  </w:tcBorders>
                  <w:vAlign w:val="center"/>
                </w:tcPr>
                <w:p w14:paraId="533C4D54">
                  <w:pPr>
                    <w:pStyle w:val="104"/>
                    <w:spacing w:before="33"/>
                    <w:ind w:left="420" w:right="32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密度</w:t>
                  </w:r>
                </w:p>
              </w:tc>
              <w:tc>
                <w:tcPr>
                  <w:tcW w:w="5175" w:type="dxa"/>
                  <w:tcBorders>
                    <w:tl2br w:val="nil"/>
                    <w:tr2bl w:val="nil"/>
                  </w:tcBorders>
                  <w:vAlign w:val="center"/>
                </w:tcPr>
                <w:p w14:paraId="4B6F7EDC">
                  <w:pPr>
                    <w:pStyle w:val="104"/>
                    <w:spacing w:before="41"/>
                    <w:ind w:firstLine="720" w:firstLineChars="40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0.85g/cm</w:t>
                  </w:r>
                  <w:r>
                    <w:rPr>
                      <w:rFonts w:hint="default" w:ascii="Times New Roman" w:hAnsi="Times New Roman" w:eastAsia="宋体" w:cs="Times New Roman"/>
                      <w:color w:val="auto"/>
                      <w:sz w:val="18"/>
                      <w:szCs w:val="18"/>
                      <w:vertAlign w:val="superscript"/>
                    </w:rPr>
                    <w:t>3</w:t>
                  </w:r>
                </w:p>
              </w:tc>
            </w:tr>
            <w:tr w14:paraId="665E54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6" w:type="dxa"/>
                  <w:vMerge w:val="continue"/>
                  <w:tcBorders>
                    <w:tl2br w:val="nil"/>
                    <w:tr2bl w:val="nil"/>
                  </w:tcBorders>
                  <w:vAlign w:val="center"/>
                </w:tcPr>
                <w:p w14:paraId="53EC2AF1">
                  <w:pPr>
                    <w:widowControl/>
                    <w:jc w:val="center"/>
                    <w:rPr>
                      <w:rFonts w:hint="default" w:ascii="Times New Roman" w:hAnsi="Times New Roman" w:cs="Times New Roman"/>
                      <w:color w:val="auto"/>
                      <w:sz w:val="18"/>
                      <w:szCs w:val="18"/>
                    </w:rPr>
                  </w:pPr>
                </w:p>
              </w:tc>
              <w:tc>
                <w:tcPr>
                  <w:tcW w:w="2115" w:type="dxa"/>
                  <w:tcBorders>
                    <w:tl2br w:val="nil"/>
                    <w:tr2bl w:val="nil"/>
                  </w:tcBorders>
                  <w:vAlign w:val="center"/>
                </w:tcPr>
                <w:p w14:paraId="26384C93">
                  <w:pPr>
                    <w:pStyle w:val="104"/>
                    <w:spacing w:before="33"/>
                    <w:ind w:left="420" w:right="322"/>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溶解性</w:t>
                  </w:r>
                </w:p>
              </w:tc>
              <w:tc>
                <w:tcPr>
                  <w:tcW w:w="5175" w:type="dxa"/>
                  <w:tcBorders>
                    <w:tl2br w:val="nil"/>
                    <w:tr2bl w:val="nil"/>
                  </w:tcBorders>
                  <w:vAlign w:val="center"/>
                </w:tcPr>
                <w:p w14:paraId="58DE61E4">
                  <w:pPr>
                    <w:pStyle w:val="104"/>
                    <w:spacing w:before="33"/>
                    <w:ind w:left="420" w:right="747"/>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不溶于水，溶于多数有机溶剂</w:t>
                  </w:r>
                </w:p>
              </w:tc>
            </w:tr>
            <w:tr w14:paraId="2BA60A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6" w:type="dxa"/>
                  <w:vMerge w:val="restart"/>
                  <w:tcBorders>
                    <w:tl2br w:val="nil"/>
                    <w:tr2bl w:val="nil"/>
                  </w:tcBorders>
                  <w:vAlign w:val="center"/>
                </w:tcPr>
                <w:p w14:paraId="4BD8AE76">
                  <w:pPr>
                    <w:pStyle w:val="10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燃烧爆炸危险性</w:t>
                  </w:r>
                </w:p>
              </w:tc>
              <w:tc>
                <w:tcPr>
                  <w:tcW w:w="2115" w:type="dxa"/>
                  <w:tcBorders>
                    <w:tl2br w:val="nil"/>
                    <w:tr2bl w:val="nil"/>
                  </w:tcBorders>
                  <w:vAlign w:val="center"/>
                </w:tcPr>
                <w:p w14:paraId="52A9C3CD">
                  <w:pPr>
                    <w:pStyle w:val="104"/>
                    <w:spacing w:before="33"/>
                    <w:ind w:left="420" w:right="322"/>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燃烧性</w:t>
                  </w:r>
                </w:p>
              </w:tc>
              <w:tc>
                <w:tcPr>
                  <w:tcW w:w="5175" w:type="dxa"/>
                  <w:tcBorders>
                    <w:tl2br w:val="nil"/>
                    <w:tr2bl w:val="nil"/>
                  </w:tcBorders>
                  <w:vAlign w:val="center"/>
                </w:tcPr>
                <w:p w14:paraId="55C96EA1">
                  <w:pPr>
                    <w:pStyle w:val="104"/>
                    <w:spacing w:before="33"/>
                    <w:ind w:left="420" w:right="747"/>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可燃</w:t>
                  </w:r>
                </w:p>
              </w:tc>
            </w:tr>
            <w:tr w14:paraId="2AE5C2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6" w:type="dxa"/>
                  <w:vMerge w:val="continue"/>
                  <w:tcBorders>
                    <w:tl2br w:val="nil"/>
                    <w:tr2bl w:val="nil"/>
                  </w:tcBorders>
                  <w:vAlign w:val="center"/>
                </w:tcPr>
                <w:p w14:paraId="1BEFAAED">
                  <w:pPr>
                    <w:widowControl/>
                    <w:jc w:val="center"/>
                    <w:rPr>
                      <w:rFonts w:hint="default" w:ascii="Times New Roman" w:hAnsi="Times New Roman" w:cs="Times New Roman"/>
                      <w:color w:val="auto"/>
                      <w:sz w:val="18"/>
                      <w:szCs w:val="18"/>
                    </w:rPr>
                  </w:pPr>
                </w:p>
              </w:tc>
              <w:tc>
                <w:tcPr>
                  <w:tcW w:w="2115" w:type="dxa"/>
                  <w:tcBorders>
                    <w:tl2br w:val="nil"/>
                    <w:tr2bl w:val="nil"/>
                  </w:tcBorders>
                  <w:vAlign w:val="center"/>
                </w:tcPr>
                <w:p w14:paraId="547D088F">
                  <w:pPr>
                    <w:pStyle w:val="104"/>
                    <w:spacing w:before="33"/>
                    <w:ind w:left="420" w:right="322"/>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闪点/引燃温度</w:t>
                  </w:r>
                </w:p>
              </w:tc>
              <w:tc>
                <w:tcPr>
                  <w:tcW w:w="5175" w:type="dxa"/>
                  <w:tcBorders>
                    <w:tl2br w:val="nil"/>
                    <w:tr2bl w:val="nil"/>
                  </w:tcBorders>
                  <w:vAlign w:val="center"/>
                </w:tcPr>
                <w:p w14:paraId="5BBE3435">
                  <w:pPr>
                    <w:pStyle w:val="104"/>
                    <w:spacing w:before="33"/>
                    <w:ind w:left="420" w:right="747"/>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75/257℃</w:t>
                  </w:r>
                </w:p>
              </w:tc>
            </w:tr>
            <w:tr w14:paraId="6C63F6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6" w:type="dxa"/>
                  <w:vMerge w:val="continue"/>
                  <w:tcBorders>
                    <w:tl2br w:val="nil"/>
                    <w:tr2bl w:val="nil"/>
                  </w:tcBorders>
                  <w:vAlign w:val="center"/>
                </w:tcPr>
                <w:p w14:paraId="4B609C06">
                  <w:pPr>
                    <w:widowControl/>
                    <w:jc w:val="center"/>
                    <w:rPr>
                      <w:rFonts w:hint="default" w:ascii="Times New Roman" w:hAnsi="Times New Roman" w:cs="Times New Roman"/>
                      <w:color w:val="auto"/>
                      <w:sz w:val="18"/>
                      <w:szCs w:val="18"/>
                    </w:rPr>
                  </w:pPr>
                </w:p>
              </w:tc>
              <w:tc>
                <w:tcPr>
                  <w:tcW w:w="2115" w:type="dxa"/>
                  <w:tcBorders>
                    <w:tl2br w:val="nil"/>
                    <w:tr2bl w:val="nil"/>
                  </w:tcBorders>
                  <w:vAlign w:val="center"/>
                </w:tcPr>
                <w:p w14:paraId="544E7682">
                  <w:pPr>
                    <w:pStyle w:val="104"/>
                    <w:spacing w:before="33" w:line="229" w:lineRule="exact"/>
                    <w:ind w:left="420" w:right="325"/>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爆炸极限</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vol%）</w:t>
                  </w:r>
                </w:p>
              </w:tc>
              <w:tc>
                <w:tcPr>
                  <w:tcW w:w="5175" w:type="dxa"/>
                  <w:tcBorders>
                    <w:tl2br w:val="nil"/>
                    <w:tr2bl w:val="nil"/>
                  </w:tcBorders>
                  <w:vAlign w:val="center"/>
                </w:tcPr>
                <w:p w14:paraId="61253B62">
                  <w:pPr>
                    <w:pStyle w:val="104"/>
                    <w:spacing w:before="45"/>
                    <w:ind w:left="420" w:right="748"/>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无资料</w:t>
                  </w:r>
                </w:p>
              </w:tc>
            </w:tr>
            <w:tr w14:paraId="0931BA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6" w:type="dxa"/>
                  <w:vMerge w:val="continue"/>
                  <w:tcBorders>
                    <w:tl2br w:val="nil"/>
                    <w:tr2bl w:val="nil"/>
                  </w:tcBorders>
                  <w:vAlign w:val="center"/>
                </w:tcPr>
                <w:p w14:paraId="51F41C16">
                  <w:pPr>
                    <w:widowControl/>
                    <w:jc w:val="center"/>
                    <w:rPr>
                      <w:rFonts w:hint="default" w:ascii="Times New Roman" w:hAnsi="Times New Roman" w:cs="Times New Roman"/>
                      <w:color w:val="auto"/>
                      <w:sz w:val="18"/>
                      <w:szCs w:val="18"/>
                    </w:rPr>
                  </w:pPr>
                </w:p>
              </w:tc>
              <w:tc>
                <w:tcPr>
                  <w:tcW w:w="2115" w:type="dxa"/>
                  <w:tcBorders>
                    <w:tl2br w:val="nil"/>
                    <w:tr2bl w:val="nil"/>
                  </w:tcBorders>
                  <w:vAlign w:val="center"/>
                </w:tcPr>
                <w:p w14:paraId="1CE64971">
                  <w:pPr>
                    <w:pStyle w:val="104"/>
                    <w:spacing w:before="131"/>
                    <w:ind w:left="420" w:right="32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危险特性</w:t>
                  </w:r>
                </w:p>
              </w:tc>
              <w:tc>
                <w:tcPr>
                  <w:tcW w:w="5175" w:type="dxa"/>
                  <w:tcBorders>
                    <w:tl2br w:val="nil"/>
                    <w:tr2bl w:val="nil"/>
                  </w:tcBorders>
                  <w:vAlign w:val="center"/>
                </w:tcPr>
                <w:p w14:paraId="499C3889">
                  <w:pPr>
                    <w:pStyle w:val="104"/>
                    <w:spacing w:before="2" w:line="240" w:lineRule="atLeast"/>
                    <w:ind w:right="41" w:firstLine="360" w:firstLineChars="200"/>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遇明火、高热或与氧化剂接触，有引起燃烧爆炸的危险；若遇高热，容器内压增大，有开裂和爆炸的危险。</w:t>
                  </w:r>
                </w:p>
              </w:tc>
            </w:tr>
            <w:tr w14:paraId="7CB9F7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6" w:type="dxa"/>
                  <w:vMerge w:val="continue"/>
                  <w:tcBorders>
                    <w:tl2br w:val="nil"/>
                    <w:tr2bl w:val="nil"/>
                  </w:tcBorders>
                  <w:vAlign w:val="center"/>
                </w:tcPr>
                <w:p w14:paraId="53C7260D">
                  <w:pPr>
                    <w:widowControl/>
                    <w:jc w:val="center"/>
                    <w:rPr>
                      <w:rFonts w:hint="default" w:ascii="Times New Roman" w:hAnsi="Times New Roman" w:cs="Times New Roman"/>
                      <w:color w:val="auto"/>
                      <w:sz w:val="18"/>
                      <w:szCs w:val="18"/>
                    </w:rPr>
                  </w:pPr>
                </w:p>
              </w:tc>
              <w:tc>
                <w:tcPr>
                  <w:tcW w:w="2115" w:type="dxa"/>
                  <w:tcBorders>
                    <w:tl2br w:val="nil"/>
                    <w:tr2bl w:val="nil"/>
                  </w:tcBorders>
                  <w:vAlign w:val="center"/>
                </w:tcPr>
                <w:p w14:paraId="1A0B9744">
                  <w:pPr>
                    <w:pStyle w:val="104"/>
                    <w:spacing w:before="2" w:line="240" w:lineRule="atLeast"/>
                    <w:ind w:left="960" w:right="41" w:hanging="54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灭火方法</w:t>
                  </w:r>
                </w:p>
              </w:tc>
              <w:tc>
                <w:tcPr>
                  <w:tcW w:w="5175" w:type="dxa"/>
                  <w:tcBorders>
                    <w:tl2br w:val="nil"/>
                    <w:tr2bl w:val="nil"/>
                  </w:tcBorders>
                  <w:vAlign w:val="center"/>
                </w:tcPr>
                <w:p w14:paraId="49B6DDAD">
                  <w:pPr>
                    <w:pStyle w:val="104"/>
                    <w:spacing w:line="240" w:lineRule="atLeast"/>
                    <w:ind w:right="41" w:firstLine="360" w:firstLineChars="200"/>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消防人员须佩戴防毒面具、穿全身消防服，在上风向灭火。尽可能将容器从火场移至空旷处。喷水保持火场容器冷却，直至灭火结束。处在火场中的容器若已变色或从安全泄压装置中产生声音，必须马上撤离。</w:t>
                  </w:r>
                </w:p>
                <w:p w14:paraId="076304C0">
                  <w:pPr>
                    <w:pStyle w:val="104"/>
                    <w:spacing w:line="240" w:lineRule="atLeast"/>
                    <w:ind w:right="41" w:firstLine="360" w:firstLineChars="200"/>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灭火剂：雾状水、泡沫、干粉、二氧化碳、砂土。</w:t>
                  </w:r>
                </w:p>
              </w:tc>
            </w:tr>
            <w:tr w14:paraId="712AFC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6" w:type="dxa"/>
                  <w:vMerge w:val="continue"/>
                  <w:tcBorders>
                    <w:tl2br w:val="nil"/>
                    <w:tr2bl w:val="nil"/>
                  </w:tcBorders>
                  <w:vAlign w:val="center"/>
                </w:tcPr>
                <w:p w14:paraId="05586A07">
                  <w:pPr>
                    <w:widowControl/>
                    <w:jc w:val="center"/>
                    <w:rPr>
                      <w:rFonts w:hint="default" w:ascii="Times New Roman" w:hAnsi="Times New Roman" w:cs="Times New Roman"/>
                      <w:color w:val="auto"/>
                      <w:sz w:val="18"/>
                      <w:szCs w:val="18"/>
                    </w:rPr>
                  </w:pPr>
                </w:p>
              </w:tc>
              <w:tc>
                <w:tcPr>
                  <w:tcW w:w="2115" w:type="dxa"/>
                  <w:tcBorders>
                    <w:tl2br w:val="nil"/>
                    <w:tr2bl w:val="nil"/>
                  </w:tcBorders>
                  <w:vAlign w:val="center"/>
                </w:tcPr>
                <w:p w14:paraId="2BE84C83">
                  <w:pPr>
                    <w:pStyle w:val="104"/>
                    <w:spacing w:before="33" w:line="229" w:lineRule="exact"/>
                    <w:ind w:left="420" w:right="325"/>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燃烧产物</w:t>
                  </w:r>
                </w:p>
              </w:tc>
              <w:tc>
                <w:tcPr>
                  <w:tcW w:w="5175" w:type="dxa"/>
                  <w:tcBorders>
                    <w:tl2br w:val="nil"/>
                    <w:tr2bl w:val="nil"/>
                  </w:tcBorders>
                  <w:vAlign w:val="center"/>
                </w:tcPr>
                <w:p w14:paraId="09CBF963">
                  <w:pPr>
                    <w:pStyle w:val="104"/>
                    <w:ind w:left="420" w:right="748" w:firstLine="360" w:firstLineChars="20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一氧化碳、二氧化碳</w:t>
                  </w:r>
                </w:p>
              </w:tc>
            </w:tr>
            <w:tr w14:paraId="4317A0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6" w:type="dxa"/>
                  <w:vMerge w:val="restart"/>
                  <w:tcBorders>
                    <w:tl2br w:val="nil"/>
                    <w:tr2bl w:val="nil"/>
                  </w:tcBorders>
                  <w:vAlign w:val="center"/>
                </w:tcPr>
                <w:p w14:paraId="19254A16">
                  <w:pPr>
                    <w:pStyle w:val="10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毒理性质</w:t>
                  </w:r>
                </w:p>
              </w:tc>
              <w:tc>
                <w:tcPr>
                  <w:tcW w:w="2115" w:type="dxa"/>
                  <w:tcBorders>
                    <w:tl2br w:val="nil"/>
                    <w:tr2bl w:val="nil"/>
                  </w:tcBorders>
                  <w:vAlign w:val="center"/>
                </w:tcPr>
                <w:p w14:paraId="4697FF70">
                  <w:pPr>
                    <w:pStyle w:val="104"/>
                    <w:spacing w:before="33" w:line="229" w:lineRule="exact"/>
                    <w:ind w:left="420" w:right="32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急性毒性</w:t>
                  </w:r>
                </w:p>
              </w:tc>
              <w:tc>
                <w:tcPr>
                  <w:tcW w:w="5175" w:type="dxa"/>
                  <w:tcBorders>
                    <w:tl2br w:val="nil"/>
                    <w:tr2bl w:val="nil"/>
                  </w:tcBorders>
                  <w:vAlign w:val="center"/>
                </w:tcPr>
                <w:p w14:paraId="502F5689">
                  <w:pPr>
                    <w:pStyle w:val="104"/>
                    <w:spacing w:line="229" w:lineRule="exact"/>
                    <w:ind w:left="420" w:right="748" w:firstLine="360" w:firstLineChars="20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LD50（mg/kg，大鼠经口）</w:t>
                  </w:r>
                </w:p>
              </w:tc>
            </w:tr>
            <w:tr w14:paraId="2DBE4F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6" w:type="dxa"/>
                  <w:vMerge w:val="continue"/>
                  <w:tcBorders>
                    <w:tl2br w:val="nil"/>
                    <w:tr2bl w:val="nil"/>
                  </w:tcBorders>
                  <w:vAlign w:val="center"/>
                </w:tcPr>
                <w:p w14:paraId="7C6FB40C">
                  <w:pPr>
                    <w:pStyle w:val="104"/>
                    <w:jc w:val="center"/>
                    <w:rPr>
                      <w:rFonts w:hint="default" w:ascii="Times New Roman" w:hAnsi="Times New Roman" w:eastAsia="宋体" w:cs="Times New Roman"/>
                      <w:color w:val="auto"/>
                      <w:sz w:val="18"/>
                      <w:szCs w:val="18"/>
                    </w:rPr>
                  </w:pPr>
                </w:p>
              </w:tc>
              <w:tc>
                <w:tcPr>
                  <w:tcW w:w="2115" w:type="dxa"/>
                  <w:tcBorders>
                    <w:tl2br w:val="nil"/>
                    <w:tr2bl w:val="nil"/>
                  </w:tcBorders>
                  <w:vAlign w:val="center"/>
                </w:tcPr>
                <w:p w14:paraId="645B2D43">
                  <w:pPr>
                    <w:pStyle w:val="104"/>
                    <w:spacing w:before="2" w:line="240" w:lineRule="atLeast"/>
                    <w:ind w:right="41"/>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健康危害</w:t>
                  </w:r>
                </w:p>
              </w:tc>
              <w:tc>
                <w:tcPr>
                  <w:tcW w:w="5175" w:type="dxa"/>
                  <w:tcBorders>
                    <w:tl2br w:val="nil"/>
                    <w:tr2bl w:val="nil"/>
                  </w:tcBorders>
                  <w:vAlign w:val="center"/>
                </w:tcPr>
                <w:p w14:paraId="18E45BC1">
                  <w:pPr>
                    <w:pStyle w:val="104"/>
                    <w:spacing w:line="240" w:lineRule="atLeast"/>
                    <w:ind w:right="41" w:firstLine="360" w:firstLineChars="200"/>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侵入途径：吸入、食入；</w:t>
                  </w:r>
                </w:p>
                <w:p w14:paraId="0BA0AA9F">
                  <w:pPr>
                    <w:pStyle w:val="104"/>
                    <w:spacing w:line="240" w:lineRule="atLeast"/>
                    <w:ind w:right="41" w:firstLine="360" w:firstLineChars="200"/>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急性吸入，可出现乏力、头晕、头痛、恶心，严重者可引起油脂性肺炎。慢接触者，暴露部位可发生油性痤疮和接触性皮炎。可引起神经衰弱综合征，呼吸道和眼刺激征状及慢性油脂性肺炎。有资料报道，接触石油润滑油类的工人，有致癌的病例报告。</w:t>
                  </w:r>
                </w:p>
              </w:tc>
            </w:tr>
            <w:tr w14:paraId="57CC66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6" w:type="dxa"/>
                  <w:tcBorders>
                    <w:tl2br w:val="nil"/>
                    <w:tr2bl w:val="nil"/>
                  </w:tcBorders>
                  <w:vAlign w:val="center"/>
                </w:tcPr>
                <w:p w14:paraId="78F83039">
                  <w:pPr>
                    <w:pStyle w:val="104"/>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泄漏处理</w:t>
                  </w:r>
                </w:p>
              </w:tc>
              <w:tc>
                <w:tcPr>
                  <w:tcW w:w="7290" w:type="dxa"/>
                  <w:gridSpan w:val="2"/>
                  <w:tcBorders>
                    <w:tl2br w:val="nil"/>
                    <w:tr2bl w:val="nil"/>
                  </w:tcBorders>
                  <w:vAlign w:val="center"/>
                </w:tcPr>
                <w:p w14:paraId="645F01CD">
                  <w:pPr>
                    <w:pStyle w:val="104"/>
                    <w:spacing w:line="240" w:lineRule="atLeast"/>
                    <w:ind w:right="41" w:firstLine="360" w:firstLineChars="200"/>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迅速撤离泄漏污染区人员至安全区，并进行隔离，严格限制出入。切断火源。建议应急处理人员戴自给正压式呼吸器，穿防毒服。尽可能切断泄漏源。防止流入下水道、排洪沟等限制性空间。</w:t>
                  </w:r>
                </w:p>
                <w:p w14:paraId="2BD5027F">
                  <w:pPr>
                    <w:pStyle w:val="104"/>
                    <w:spacing w:line="240" w:lineRule="atLeast"/>
                    <w:ind w:right="41" w:firstLine="360" w:firstLineChars="20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小量泄漏：用砂土或其它不燃材料吸附或吸收。</w:t>
                  </w:r>
                </w:p>
                <w:p w14:paraId="25CD80A1">
                  <w:pPr>
                    <w:pStyle w:val="104"/>
                    <w:spacing w:line="240" w:lineRule="atLeast"/>
                    <w:ind w:right="41" w:firstLine="360" w:firstLineChars="200"/>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大量泄漏：构筑围堤或挖坑收容。用泵转移至槽车或专用收集器内，回收或运至废物处理场所处置。</w:t>
                  </w:r>
                </w:p>
              </w:tc>
            </w:tr>
            <w:tr w14:paraId="2FDF2A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6" w:type="dxa"/>
                  <w:tcBorders>
                    <w:tl2br w:val="nil"/>
                    <w:tr2bl w:val="nil"/>
                  </w:tcBorders>
                  <w:vAlign w:val="center"/>
                </w:tcPr>
                <w:p w14:paraId="578C9C12">
                  <w:pPr>
                    <w:pStyle w:val="104"/>
                    <w:spacing w:line="240" w:lineRule="atLeast"/>
                    <w:ind w:right="41" w:firstLine="360" w:firstLineChars="20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储存</w:t>
                  </w:r>
                </w:p>
              </w:tc>
              <w:tc>
                <w:tcPr>
                  <w:tcW w:w="7290" w:type="dxa"/>
                  <w:gridSpan w:val="2"/>
                  <w:tcBorders>
                    <w:tl2br w:val="nil"/>
                    <w:tr2bl w:val="nil"/>
                  </w:tcBorders>
                  <w:vAlign w:val="center"/>
                </w:tcPr>
                <w:p w14:paraId="484C3D79">
                  <w:pPr>
                    <w:pStyle w:val="104"/>
                    <w:spacing w:line="240" w:lineRule="atLeast"/>
                    <w:ind w:right="41" w:firstLine="360" w:firstLineChars="200"/>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储存于阴凉、通风仓间内，远离火源、热源。保持容器密封。应与氧化剂、酸碱类、使用化工产品分开存放。搬运时要轻装轻卸，防止包装物及容器损坏。分装和搬运作业要注意个人防护。</w:t>
                  </w:r>
                </w:p>
              </w:tc>
            </w:tr>
          </w:tbl>
          <w:p w14:paraId="1F5F8E9A">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7.4环境风险分析</w:t>
            </w:r>
          </w:p>
          <w:p w14:paraId="2FEE6B49">
            <w:pPr>
              <w:spacing w:line="360" w:lineRule="auto"/>
              <w:ind w:firstLine="474" w:firstLineChars="200"/>
              <w:jc w:val="left"/>
              <w:rPr>
                <w:rFonts w:hint="default" w:ascii="Times New Roman" w:hAnsi="Times New Roman" w:cs="Times New Roman"/>
                <w:b/>
                <w:bCs/>
                <w:color w:val="auto"/>
                <w:spacing w:val="-2"/>
                <w:kern w:val="0"/>
                <w:sz w:val="24"/>
                <w:szCs w:val="22"/>
              </w:rPr>
            </w:pPr>
            <w:bookmarkStart w:id="122" w:name="_Toc5017508"/>
            <w:r>
              <w:rPr>
                <w:rFonts w:hint="default" w:ascii="Times New Roman" w:hAnsi="Times New Roman" w:cs="Times New Roman"/>
                <w:b/>
                <w:bCs/>
                <w:color w:val="auto"/>
                <w:spacing w:val="-2"/>
                <w:kern w:val="0"/>
                <w:sz w:val="24"/>
                <w:szCs w:val="22"/>
              </w:rPr>
              <w:t>1、大气环境风险分析</w:t>
            </w:r>
          </w:p>
          <w:p w14:paraId="689691FB">
            <w:pPr>
              <w:spacing w:line="360" w:lineRule="auto"/>
              <w:ind w:firstLine="472" w:firstLineChars="200"/>
              <w:jc w:val="left"/>
              <w:rPr>
                <w:rFonts w:hint="default" w:ascii="Times New Roman" w:hAnsi="Times New Roman" w:cs="Times New Roman"/>
                <w:color w:val="auto"/>
                <w:spacing w:val="-2"/>
                <w:kern w:val="0"/>
                <w:sz w:val="24"/>
                <w:szCs w:val="22"/>
              </w:rPr>
            </w:pPr>
            <w:r>
              <w:rPr>
                <w:rFonts w:hint="default" w:ascii="Times New Roman" w:hAnsi="Times New Roman" w:cs="Times New Roman"/>
                <w:color w:val="auto"/>
                <w:spacing w:val="-2"/>
                <w:kern w:val="0"/>
                <w:sz w:val="24"/>
                <w:szCs w:val="22"/>
              </w:rPr>
              <w:t>油类物质在遇高温明火可发生燃烧，如运营期安全措施不到位，极易引发火灾事故和污染事故。一般火灾事故会造成较大的人身财产安全，在物料燃烧过程中会造成大气环境污染。燃烧过程中会产生如CO、烟尘等有毒有害气体。CO在大气中比较稳定，不易与其他物质产生化学反应，但当CO浓度过高时，人在这种环境下待的时间较长，就会出现眩晕、头痛、倦怠的现象，CO对人的主要危害就是引起组织缺氧，导致急性或者慢性中毒甚至有死亡的威胁。此外，CO还可能造成听力与视力的损害，比如视野的减小或者听力的丧失。</w:t>
            </w:r>
          </w:p>
          <w:p w14:paraId="736B2871">
            <w:pPr>
              <w:spacing w:line="360" w:lineRule="auto"/>
              <w:ind w:firstLine="474" w:firstLineChars="200"/>
              <w:jc w:val="left"/>
              <w:rPr>
                <w:rFonts w:hint="default" w:ascii="Times New Roman" w:hAnsi="Times New Roman" w:cs="Times New Roman"/>
                <w:b/>
                <w:bCs/>
                <w:color w:val="auto"/>
                <w:spacing w:val="-2"/>
                <w:kern w:val="0"/>
                <w:sz w:val="24"/>
                <w:szCs w:val="22"/>
              </w:rPr>
            </w:pPr>
            <w:r>
              <w:rPr>
                <w:rFonts w:hint="default" w:ascii="Times New Roman" w:hAnsi="Times New Roman" w:cs="Times New Roman"/>
                <w:b/>
                <w:bCs/>
                <w:color w:val="auto"/>
                <w:spacing w:val="-2"/>
                <w:kern w:val="0"/>
                <w:sz w:val="24"/>
                <w:szCs w:val="22"/>
              </w:rPr>
              <w:t>2、地表水环境风险分析</w:t>
            </w:r>
          </w:p>
          <w:p w14:paraId="70FB6438">
            <w:pPr>
              <w:spacing w:line="360" w:lineRule="auto"/>
              <w:ind w:firstLine="472" w:firstLineChars="200"/>
              <w:jc w:val="left"/>
              <w:rPr>
                <w:rFonts w:hint="default" w:ascii="Times New Roman" w:hAnsi="Times New Roman" w:cs="Times New Roman"/>
                <w:color w:val="auto"/>
                <w:spacing w:val="-2"/>
                <w:kern w:val="0"/>
                <w:sz w:val="24"/>
                <w:szCs w:val="22"/>
              </w:rPr>
            </w:pPr>
            <w:r>
              <w:rPr>
                <w:rFonts w:hint="default" w:ascii="Times New Roman" w:hAnsi="Times New Roman" w:cs="Times New Roman"/>
                <w:color w:val="auto"/>
                <w:spacing w:val="-2"/>
                <w:kern w:val="0"/>
                <w:sz w:val="24"/>
                <w:szCs w:val="22"/>
              </w:rPr>
              <w:t>项目运营过程中，为了防止废机油发生泄漏，本次环评提出，在废机油放置区周围可设置围堰，用于收集、暂存事故情况下泄漏的废机油。</w:t>
            </w:r>
          </w:p>
          <w:p w14:paraId="7740AB35">
            <w:pPr>
              <w:spacing w:line="360" w:lineRule="auto"/>
              <w:ind w:firstLine="472" w:firstLineChars="200"/>
              <w:jc w:val="left"/>
              <w:rPr>
                <w:rFonts w:hint="default" w:ascii="Times New Roman" w:hAnsi="Times New Roman" w:cs="Times New Roman"/>
                <w:color w:val="auto"/>
                <w:spacing w:val="-2"/>
                <w:kern w:val="0"/>
                <w:sz w:val="24"/>
                <w:szCs w:val="22"/>
              </w:rPr>
            </w:pPr>
            <w:r>
              <w:rPr>
                <w:rFonts w:hint="default" w:ascii="Times New Roman" w:hAnsi="Times New Roman" w:cs="Times New Roman"/>
                <w:color w:val="auto"/>
                <w:spacing w:val="-2"/>
                <w:kern w:val="0"/>
                <w:sz w:val="24"/>
                <w:szCs w:val="22"/>
              </w:rPr>
              <w:t>综上，经采取上述措施后，项目区内涉及的废机油等油类物质向厂区外泄漏的可能性小，对周围地表水环境影响小。</w:t>
            </w:r>
          </w:p>
          <w:p w14:paraId="06F4FBA1">
            <w:pPr>
              <w:spacing w:line="360" w:lineRule="auto"/>
              <w:ind w:firstLine="474" w:firstLineChars="200"/>
              <w:jc w:val="left"/>
              <w:rPr>
                <w:rFonts w:hint="default" w:ascii="Times New Roman" w:hAnsi="Times New Roman" w:cs="Times New Roman"/>
                <w:b/>
                <w:bCs/>
                <w:color w:val="auto"/>
                <w:spacing w:val="-2"/>
                <w:kern w:val="0"/>
                <w:sz w:val="24"/>
                <w:szCs w:val="22"/>
              </w:rPr>
            </w:pPr>
            <w:r>
              <w:rPr>
                <w:rFonts w:hint="default" w:ascii="Times New Roman" w:hAnsi="Times New Roman" w:cs="Times New Roman"/>
                <w:b/>
                <w:bCs/>
                <w:color w:val="auto"/>
                <w:spacing w:val="-2"/>
                <w:kern w:val="0"/>
                <w:sz w:val="24"/>
                <w:szCs w:val="22"/>
              </w:rPr>
              <w:t>3、地下水环境风险分析</w:t>
            </w:r>
          </w:p>
          <w:p w14:paraId="1F9D4163">
            <w:pPr>
              <w:pStyle w:val="18"/>
              <w:adjustRightInd w:val="0"/>
              <w:snapToGrid w:val="0"/>
              <w:spacing w:line="360" w:lineRule="auto"/>
              <w:ind w:firstLine="720" w:firstLineChars="300"/>
              <w:rPr>
                <w:rFonts w:hint="default" w:ascii="Times New Roman" w:hAnsi="Times New Roman" w:cs="Times New Roman"/>
                <w:color w:val="auto"/>
                <w:sz w:val="24"/>
                <w:szCs w:val="24"/>
              </w:rPr>
            </w:pPr>
            <w:r>
              <w:rPr>
                <w:rFonts w:hint="default" w:ascii="Times New Roman" w:hAnsi="Times New Roman" w:cs="Times New Roman"/>
                <w:color w:val="auto"/>
                <w:sz w:val="24"/>
              </w:rPr>
              <w:t>本项目采取分区防渗措施，其中</w:t>
            </w:r>
            <w:r>
              <w:rPr>
                <w:rFonts w:hint="default" w:ascii="Times New Roman" w:hAnsi="Times New Roman" w:cs="Times New Roman"/>
                <w:color w:val="auto"/>
                <w:sz w:val="24"/>
                <w:szCs w:val="24"/>
              </w:rPr>
              <w:t>危险废物贮存库依托现有，为重点防渗区，根据调查，其现状防渗措施为地面采用1.5m厚黏土层+人工防渗膜（渗透系数≤10</w:t>
            </w:r>
            <w:r>
              <w:rPr>
                <w:rFonts w:hint="default" w:ascii="Times New Roman" w:hAnsi="Times New Roman" w:cs="Times New Roman"/>
                <w:color w:val="auto"/>
                <w:sz w:val="24"/>
                <w:szCs w:val="24"/>
                <w:vertAlign w:val="superscript"/>
              </w:rPr>
              <w:t>-10</w:t>
            </w:r>
            <w:r>
              <w:rPr>
                <w:rFonts w:hint="default" w:ascii="Times New Roman" w:hAnsi="Times New Roman" w:cs="Times New Roman"/>
                <w:color w:val="auto"/>
                <w:sz w:val="24"/>
                <w:szCs w:val="24"/>
              </w:rPr>
              <w:t>cm/s）+抗渗砼+环氧乙烯基酯树脂，内墙面四周2m以下采用1.5mm厚的水泥基渗透结晶型防水涂料涂抹，满足《危险废物贮存污染控制标准》（GB18597-2023）中渗透系数≤1×10</w:t>
            </w:r>
            <w:r>
              <w:rPr>
                <w:rFonts w:hint="default" w:ascii="Times New Roman" w:hAnsi="Times New Roman" w:cs="Times New Roman"/>
                <w:color w:val="auto"/>
                <w:sz w:val="24"/>
                <w:szCs w:val="24"/>
                <w:vertAlign w:val="superscript"/>
              </w:rPr>
              <w:t>-10</w:t>
            </w:r>
            <w:r>
              <w:rPr>
                <w:rFonts w:hint="default" w:ascii="Times New Roman" w:hAnsi="Times New Roman" w:cs="Times New Roman"/>
                <w:color w:val="auto"/>
                <w:sz w:val="24"/>
                <w:szCs w:val="24"/>
              </w:rPr>
              <w:t>cm/s要求。化粪池（10m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）、初期雨水收集池、无缝钢管车间、成品库依托现有，为一般防渗区。根据调查，其已采用厚度15cm的C20混凝土浇注作为防渗漏措施，防渗满足《环境影响评价技术导则  地下水环境》（HJ610-2016）中一般防渗区等效黏土防渗层Mb≥1.5m，K≤1×10</w:t>
            </w:r>
            <w:r>
              <w:rPr>
                <w:rFonts w:hint="default" w:ascii="Times New Roman" w:hAnsi="Times New Roman" w:cs="Times New Roman"/>
                <w:color w:val="auto"/>
                <w:sz w:val="24"/>
                <w:szCs w:val="24"/>
                <w:vertAlign w:val="superscript"/>
              </w:rPr>
              <w:t>-7</w:t>
            </w:r>
            <w:r>
              <w:rPr>
                <w:rFonts w:hint="default" w:ascii="Times New Roman" w:hAnsi="Times New Roman" w:cs="Times New Roman"/>
                <w:color w:val="auto"/>
                <w:sz w:val="24"/>
                <w:szCs w:val="24"/>
              </w:rPr>
              <w:t>cm/s的防渗能力要求。一般防渗区中化粪池（6m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）、循环水池为本次新建，要求严格按照《环境影响评价技术导则  地下水环境》（HJ610-2016）中的一般防渗区要求进行防渗，确保防渗效果等效于厚度≥1.5m，渗透系数≤1×10</w:t>
            </w:r>
            <w:r>
              <w:rPr>
                <w:rFonts w:hint="default" w:ascii="Times New Roman" w:hAnsi="Times New Roman" w:cs="Times New Roman"/>
                <w:color w:val="auto"/>
                <w:sz w:val="24"/>
                <w:szCs w:val="24"/>
                <w:vertAlign w:val="superscript"/>
              </w:rPr>
              <w:t>-7</w:t>
            </w:r>
            <w:r>
              <w:rPr>
                <w:rFonts w:hint="default" w:ascii="Times New Roman" w:hAnsi="Times New Roman" w:cs="Times New Roman"/>
                <w:color w:val="auto"/>
                <w:sz w:val="24"/>
                <w:szCs w:val="24"/>
              </w:rPr>
              <w:t>cm/s）的黏土防渗效能。办公区、磅房、道路、大门值班室依托现有，为简单防渗区，已采用一般水泥硬化处理。</w:t>
            </w:r>
          </w:p>
          <w:p w14:paraId="093BBC02">
            <w:pPr>
              <w:spacing w:line="360" w:lineRule="auto"/>
              <w:ind w:firstLine="472" w:firstLineChars="200"/>
              <w:jc w:val="left"/>
              <w:rPr>
                <w:rFonts w:hint="default" w:ascii="Times New Roman" w:hAnsi="Times New Roman" w:cs="Times New Roman"/>
                <w:color w:val="auto"/>
                <w:spacing w:val="-2"/>
                <w:kern w:val="0"/>
                <w:sz w:val="24"/>
              </w:rPr>
            </w:pPr>
            <w:r>
              <w:rPr>
                <w:rFonts w:hint="default" w:ascii="Times New Roman" w:hAnsi="Times New Roman" w:cs="Times New Roman"/>
                <w:color w:val="auto"/>
                <w:spacing w:val="-2"/>
                <w:kern w:val="0"/>
                <w:sz w:val="24"/>
              </w:rPr>
              <w:t>综上，经落实以上防渗措施后，项目区内储存的油类物质发生下渗的可能性小，对周围地下水环境影响小。</w:t>
            </w:r>
          </w:p>
          <w:p w14:paraId="53A84768">
            <w:pPr>
              <w:pStyle w:val="30"/>
              <w:shd w:val="clear" w:color="auto" w:fill="FFFFFF"/>
              <w:spacing w:line="360" w:lineRule="auto"/>
              <w:rPr>
                <w:rFonts w:hint="default" w:ascii="Times New Roman" w:hAnsi="Times New Roman" w:cs="Times New Roman"/>
                <w:b/>
                <w:bCs/>
                <w:color w:val="auto"/>
              </w:rPr>
            </w:pPr>
            <w:r>
              <w:rPr>
                <w:rFonts w:hint="default" w:ascii="Times New Roman" w:hAnsi="Times New Roman" w:cs="Times New Roman"/>
                <w:b/>
                <w:bCs/>
                <w:color w:val="auto"/>
              </w:rPr>
              <w:t>7.</w:t>
            </w:r>
            <w:bookmarkEnd w:id="122"/>
            <w:r>
              <w:rPr>
                <w:rFonts w:hint="default" w:ascii="Times New Roman" w:hAnsi="Times New Roman" w:cs="Times New Roman"/>
                <w:b/>
                <w:bCs/>
                <w:color w:val="auto"/>
              </w:rPr>
              <w:t>6环境风险防范措施及应急要求</w:t>
            </w:r>
          </w:p>
          <w:p w14:paraId="79C840D6">
            <w:pPr>
              <w:pStyle w:val="30"/>
              <w:shd w:val="clear" w:color="auto" w:fill="FFFFFF"/>
              <w:spacing w:line="360" w:lineRule="auto"/>
              <w:rPr>
                <w:rFonts w:hint="default" w:ascii="Times New Roman" w:hAnsi="Times New Roman" w:cs="Times New Roman"/>
                <w:b/>
                <w:bCs/>
                <w:color w:val="auto"/>
              </w:rPr>
            </w:pPr>
            <w:r>
              <w:rPr>
                <w:rFonts w:hint="default" w:ascii="Times New Roman" w:hAnsi="Times New Roman" w:cs="Times New Roman"/>
                <w:b/>
                <w:bCs/>
                <w:color w:val="auto"/>
              </w:rPr>
              <w:t>7.6.1环境风险防范措施</w:t>
            </w:r>
          </w:p>
          <w:p w14:paraId="126C4CB4">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①废机油必须按规定设置警示标志，分类管理，分类存放；配备必要的危险品事故防范和应急技术装备。</w:t>
            </w:r>
          </w:p>
          <w:p w14:paraId="5FC74BB6">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②根据消防部门的要求配置消防设施。</w:t>
            </w:r>
          </w:p>
          <w:p w14:paraId="7BB07967">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③加强工作人员危险品贮存、使用危险品事故防范和应急技术装备的常识，明确各岗位的职责，实行事故防范岗位责任制。</w:t>
            </w:r>
          </w:p>
          <w:p w14:paraId="3C2E6106">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④严格按贮存要求设计，严格按照《建筑设计防火规范》（GB50016-2014）等标准规范执行。</w:t>
            </w:r>
          </w:p>
          <w:p w14:paraId="5A4CFFB7">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⑤贮存危险化学品仓库管理人员，必须经过专业知识培训，持证上岗，同时配备有关的个人防护用品。</w:t>
            </w:r>
          </w:p>
          <w:p w14:paraId="56FAF5D5">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⑥盛装废机油容器上必须贴相应的危险废物标志。危险废物贮存设施都必须按环境保护图形《固体废物贮存（处置）场》（GB15562.2-1995）的规定设置警示标志。</w:t>
            </w:r>
          </w:p>
          <w:p w14:paraId="74B5CADC">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⑦生产车间、场所的消防设施、用电设施、防雷防静电设施等必须符合国家</w:t>
            </w:r>
          </w:p>
          <w:p w14:paraId="7D345BFE">
            <w:pPr>
              <w:spacing w:line="360" w:lineRule="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规定的安全要求。危险废物场所必须有专人24小时看管或者安装24小时监控系统。</w:t>
            </w:r>
          </w:p>
          <w:p w14:paraId="5CBA2C10">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⑧设置危险固废管理台账，如实记载废机油的来源、数量、特性、包装容器类别、入库日期、存放库位。贮存期间，定期对存储容器进行检查，及时更换破损容器。</w:t>
            </w:r>
          </w:p>
          <w:p w14:paraId="6D394757">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⑨仓库内配备足够数量的消防设备、干粉灭火器等。库房内使用冷光灯、防</w:t>
            </w:r>
          </w:p>
          <w:p w14:paraId="4972B32A">
            <w:pPr>
              <w:spacing w:line="360" w:lineRule="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爆灯具。</w:t>
            </w:r>
          </w:p>
          <w:p w14:paraId="50503516">
            <w:pPr>
              <w:pStyle w:val="18"/>
              <w:adjustRightInd w:val="0"/>
              <w:snapToGrid w:val="0"/>
              <w:spacing w:line="36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7.6.2环境风险应急要求</w:t>
            </w:r>
          </w:p>
          <w:p w14:paraId="30117D3C">
            <w:pPr>
              <w:pStyle w:val="18"/>
              <w:adjustRightInd w:val="0"/>
              <w:snapToGrid w:val="0"/>
              <w:spacing w:line="360" w:lineRule="auto"/>
              <w:ind w:left="67"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应按照《企业事业单位突发环境事件应急预案备案管理办法（试行）》（环发〔2015〕4号文）中第二、三章的要求，对全厂应急预案进行修编，并报玉溪市生态环境局通海分局进行备案。同时在项目运营过程中，严格按照风险应急预案的要求做好相关预防工作，并做好相应应急准备工作。</w:t>
            </w:r>
          </w:p>
          <w:p w14:paraId="29FE4462">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本项目拟采取的环境风险防范措施有效可行，项目总体环境风险小，环境风险可控。</w:t>
            </w:r>
          </w:p>
          <w:p w14:paraId="1A92386C">
            <w:pPr>
              <w:spacing w:line="360" w:lineRule="auto"/>
              <w:ind w:firstLine="493"/>
              <w:jc w:val="center"/>
              <w:rPr>
                <w:rFonts w:hint="default" w:ascii="Times New Roman" w:hAnsi="Times New Roman" w:cs="Times New Roman"/>
                <w:b/>
                <w:bCs/>
                <w:color w:val="auto"/>
              </w:rPr>
            </w:pPr>
            <w:r>
              <w:rPr>
                <w:rFonts w:hint="default" w:ascii="Times New Roman" w:hAnsi="Times New Roman" w:cs="Times New Roman"/>
                <w:b/>
                <w:bCs/>
                <w:color w:val="auto"/>
              </w:rPr>
              <w:t>表4-19   建设项目环境风险简单分析内容表</w:t>
            </w:r>
          </w:p>
          <w:tbl>
            <w:tblPr>
              <w:tblStyle w:val="35"/>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465"/>
              <w:gridCol w:w="6772"/>
            </w:tblGrid>
            <w:tr w14:paraId="2E32B96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89" w:type="pct"/>
                  <w:tcBorders>
                    <w:tl2br w:val="nil"/>
                    <w:tr2bl w:val="nil"/>
                  </w:tcBorders>
                  <w:vAlign w:val="center"/>
                </w:tcPr>
                <w:p w14:paraId="768B5262">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建设项目名称</w:t>
                  </w:r>
                </w:p>
              </w:tc>
              <w:tc>
                <w:tcPr>
                  <w:tcW w:w="4110" w:type="pct"/>
                  <w:tcBorders>
                    <w:tl2br w:val="nil"/>
                    <w:tr2bl w:val="nil"/>
                  </w:tcBorders>
                  <w:vAlign w:val="center"/>
                </w:tcPr>
                <w:p w14:paraId="59E480EC">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新建年产3万吨无缝钢管生产线项目</w:t>
                  </w:r>
                </w:p>
              </w:tc>
            </w:tr>
            <w:tr w14:paraId="5DE62E6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89" w:type="pct"/>
                  <w:tcBorders>
                    <w:tl2br w:val="nil"/>
                    <w:tr2bl w:val="nil"/>
                  </w:tcBorders>
                  <w:vAlign w:val="center"/>
                </w:tcPr>
                <w:p w14:paraId="6AFE50F8">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建设地点</w:t>
                  </w:r>
                </w:p>
              </w:tc>
              <w:tc>
                <w:tcPr>
                  <w:tcW w:w="4110" w:type="pct"/>
                  <w:tcBorders>
                    <w:tl2br w:val="nil"/>
                    <w:tr2bl w:val="nil"/>
                  </w:tcBorders>
                  <w:vAlign w:val="center"/>
                </w:tcPr>
                <w:p w14:paraId="397523AB">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通海五金产业园区里山片区</w:t>
                  </w:r>
                </w:p>
              </w:tc>
            </w:tr>
            <w:tr w14:paraId="748BB98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89" w:type="pct"/>
                  <w:tcBorders>
                    <w:tl2br w:val="nil"/>
                    <w:tr2bl w:val="nil"/>
                  </w:tcBorders>
                  <w:vAlign w:val="center"/>
                </w:tcPr>
                <w:p w14:paraId="628F636F">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地理坐标</w:t>
                  </w:r>
                </w:p>
              </w:tc>
              <w:tc>
                <w:tcPr>
                  <w:tcW w:w="4110" w:type="pct"/>
                  <w:tcBorders>
                    <w:tl2br w:val="nil"/>
                    <w:tr2bl w:val="nil"/>
                  </w:tcBorders>
                  <w:vAlign w:val="center"/>
                </w:tcPr>
                <w:p w14:paraId="31E68BBE">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东经：102°46′44.540″，北纬：24°5′25.491″</w:t>
                  </w:r>
                </w:p>
              </w:tc>
            </w:tr>
            <w:tr w14:paraId="7E250AE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89" w:type="pct"/>
                  <w:tcBorders>
                    <w:tl2br w:val="nil"/>
                    <w:tr2bl w:val="nil"/>
                  </w:tcBorders>
                  <w:vAlign w:val="center"/>
                </w:tcPr>
                <w:p w14:paraId="2F58A6FD">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主要危险物质及分布</w:t>
                  </w:r>
                </w:p>
              </w:tc>
              <w:tc>
                <w:tcPr>
                  <w:tcW w:w="4110" w:type="pct"/>
                  <w:tcBorders>
                    <w:tl2br w:val="nil"/>
                    <w:tr2bl w:val="nil"/>
                  </w:tcBorders>
                  <w:vAlign w:val="center"/>
                </w:tcPr>
                <w:p w14:paraId="770B0E00">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废机油，危险废物贮存库</w:t>
                  </w:r>
                </w:p>
              </w:tc>
            </w:tr>
            <w:tr w14:paraId="111ADBF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89" w:type="pct"/>
                  <w:tcBorders>
                    <w:tl2br w:val="nil"/>
                    <w:tr2bl w:val="nil"/>
                  </w:tcBorders>
                  <w:vAlign w:val="center"/>
                </w:tcPr>
                <w:p w14:paraId="6E1F8E17">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环境影响途径及危害后果（大气、地表水、地下水等）</w:t>
                  </w:r>
                </w:p>
              </w:tc>
              <w:tc>
                <w:tcPr>
                  <w:tcW w:w="4110" w:type="pct"/>
                  <w:tcBorders>
                    <w:tl2br w:val="nil"/>
                    <w:tr2bl w:val="nil"/>
                  </w:tcBorders>
                  <w:vAlign w:val="center"/>
                </w:tcPr>
                <w:p w14:paraId="4B9AEA49">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泄漏，造成土壤、地下水环境污染；火灾爆炸。</w:t>
                  </w:r>
                </w:p>
              </w:tc>
            </w:tr>
            <w:tr w14:paraId="035E5A0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89" w:type="pct"/>
                  <w:tcBorders>
                    <w:tl2br w:val="nil"/>
                    <w:tr2bl w:val="nil"/>
                  </w:tcBorders>
                  <w:vAlign w:val="center"/>
                </w:tcPr>
                <w:p w14:paraId="4E749C32">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风险防范措施要求</w:t>
                  </w:r>
                </w:p>
              </w:tc>
              <w:tc>
                <w:tcPr>
                  <w:tcW w:w="4110" w:type="pct"/>
                  <w:tcBorders>
                    <w:tl2br w:val="nil"/>
                    <w:tr2bl w:val="nil"/>
                  </w:tcBorders>
                  <w:vAlign w:val="center"/>
                </w:tcPr>
                <w:p w14:paraId="6A98F65D">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①废机油必须按规定设置警示标志，分类管理，分类存放；配备必要的危险品事故防范和应急技术装备。</w:t>
                  </w:r>
                </w:p>
                <w:p w14:paraId="09304393">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②根据消防部门的要求配置消防设施。</w:t>
                  </w:r>
                </w:p>
                <w:p w14:paraId="1B9D2690">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③加强工作人员危险品贮存、使用危险品事故防范和应急技术装备的常识，明确各岗位的职责，实行事故防范岗位责任制。</w:t>
                  </w:r>
                </w:p>
                <w:p w14:paraId="76DD12B7">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④严格按贮存要求设计，严格按照《建筑设计防火规范》（GB50016-2014）等标准规范执行。</w:t>
                  </w:r>
                </w:p>
                <w:p w14:paraId="1A23DD5C">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⑤贮存危险化学品仓库管理人员，必须经过专业知识培训，持证上岗，同时配备有关的个人防护用品。</w:t>
                  </w:r>
                </w:p>
                <w:p w14:paraId="6CEFD508">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⑥盛装废机油容器上必须贴相应的危险废物标志。危险废物贮存设施都必须按环境保护图形《固体废物贮存（处置）场》（GB15562.2-1995）的规定设置警示标志。</w:t>
                  </w:r>
                </w:p>
                <w:p w14:paraId="47CC801A">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⑦生产车间、场所的消防设施、用电设施、防雷防静电设施等必须符合国家规定的安全要求。危险废物场所必须有专人24小时看管或者安装24小时监控系统。</w:t>
                  </w:r>
                </w:p>
                <w:p w14:paraId="0B5B4A61">
                  <w:pPr>
                    <w:spacing w:before="24" w:beforeLines="10" w:after="24" w:afterLines="10"/>
                    <w:ind w:firstLine="360" w:firstLineChars="20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⑧设置危险固废管理台账，如实记载废机油的来源、数量、特性、包装容器类别、入库日期、存放库位。贮存期间，定期对存储容器进行检查，及时更换破损容器。</w:t>
                  </w:r>
                </w:p>
                <w:p w14:paraId="4841120D">
                  <w:pPr>
                    <w:spacing w:before="24" w:beforeLines="10" w:after="24" w:afterLines="10"/>
                    <w:ind w:firstLine="360" w:firstLineChars="200"/>
                    <w:jc w:val="left"/>
                    <w:rPr>
                      <w:rFonts w:hint="default" w:ascii="Times New Roman" w:hAnsi="Times New Roman" w:cs="Times New Roman"/>
                      <w:color w:val="auto"/>
                    </w:rPr>
                  </w:pPr>
                  <w:r>
                    <w:rPr>
                      <w:rFonts w:hint="default" w:ascii="Times New Roman" w:hAnsi="Times New Roman" w:cs="Times New Roman"/>
                      <w:color w:val="auto"/>
                      <w:sz w:val="18"/>
                      <w:szCs w:val="18"/>
                    </w:rPr>
                    <w:t>⑨仓库内配备足够数量的消防设备、干粉灭火器等。库房内使用冷光灯、防爆灯具。</w:t>
                  </w:r>
                </w:p>
              </w:tc>
            </w:tr>
            <w:tr w14:paraId="56E5DAE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2"/>
                  <w:tcBorders>
                    <w:tl2br w:val="nil"/>
                    <w:tr2bl w:val="nil"/>
                  </w:tcBorders>
                  <w:vAlign w:val="center"/>
                </w:tcPr>
                <w:p w14:paraId="55AFDE09">
                  <w:pPr>
                    <w:spacing w:before="24" w:beforeLines="10" w:after="24" w:afterLines="10"/>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根据《建设项目环境风险评价技术导则》(HJ169-2018)，本项目风险潜势为</w:t>
                  </w:r>
                  <w:r>
                    <w:rPr>
                      <w:rFonts w:hint="default" w:ascii="Times New Roman" w:hAnsi="Times New Roman" w:cs="Times New Roman"/>
                      <w:color w:val="auto"/>
                      <w:sz w:val="18"/>
                      <w:szCs w:val="18"/>
                    </w:rPr>
                    <w:fldChar w:fldCharType="begin"/>
                  </w:r>
                  <w:r>
                    <w:rPr>
                      <w:rFonts w:hint="default" w:ascii="Times New Roman" w:hAnsi="Times New Roman" w:cs="Times New Roman"/>
                      <w:color w:val="auto"/>
                      <w:sz w:val="18"/>
                      <w:szCs w:val="18"/>
                    </w:rPr>
                    <w:instrText xml:space="preserve"> = 1 \* ROMAN </w:instrText>
                  </w:r>
                  <w:r>
                    <w:rPr>
                      <w:rFonts w:hint="default" w:ascii="Times New Roman" w:hAnsi="Times New Roman" w:cs="Times New Roman"/>
                      <w:color w:val="auto"/>
                      <w:sz w:val="18"/>
                      <w:szCs w:val="18"/>
                    </w:rPr>
                    <w:fldChar w:fldCharType="separate"/>
                  </w:r>
                  <w:r>
                    <w:rPr>
                      <w:rFonts w:hint="default" w:ascii="Times New Roman" w:hAnsi="Times New Roman" w:cs="Times New Roman"/>
                      <w:color w:val="auto"/>
                      <w:sz w:val="18"/>
                      <w:szCs w:val="18"/>
                    </w:rPr>
                    <w:t>I</w:t>
                  </w:r>
                  <w:r>
                    <w:rPr>
                      <w:rFonts w:hint="default" w:ascii="Times New Roman" w:hAnsi="Times New Roman" w:cs="Times New Roman"/>
                      <w:color w:val="auto"/>
                      <w:sz w:val="18"/>
                      <w:szCs w:val="18"/>
                    </w:rPr>
                    <w:fldChar w:fldCharType="end"/>
                  </w:r>
                  <w:r>
                    <w:rPr>
                      <w:rFonts w:hint="default" w:ascii="Times New Roman" w:hAnsi="Times New Roman" w:cs="Times New Roman"/>
                      <w:color w:val="auto"/>
                      <w:sz w:val="18"/>
                      <w:szCs w:val="18"/>
                    </w:rPr>
                    <w:t>，仅开展简单分析。</w:t>
                  </w:r>
                </w:p>
              </w:tc>
            </w:tr>
          </w:tbl>
          <w:p w14:paraId="385231D4">
            <w:pPr>
              <w:adjustRightInd w:val="0"/>
              <w:snapToGrid w:val="0"/>
              <w:spacing w:before="120" w:beforeLines="50"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8</w:t>
            </w:r>
            <w:r>
              <w:rPr>
                <w:rFonts w:hint="default" w:ascii="Times New Roman" w:hAnsi="Times New Roman" w:cs="Times New Roman"/>
                <w:b/>
                <w:bCs/>
                <w:color w:val="auto"/>
                <w:sz w:val="24"/>
              </w:rPr>
              <w:t>、项目“三同时”竣工验收</w:t>
            </w:r>
          </w:p>
          <w:p w14:paraId="6DE49BA1">
            <w:pPr>
              <w:snapToGrid w:val="0"/>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根据《国务院关于修改〈建设项目环境保护管理条例〉的决定》的有关规定要求，项目取得环评批复后，由企业完成自主验收，本报告提出了本项目营运期环保设施竣工验收一览表，具体情况见下表。</w:t>
            </w:r>
          </w:p>
          <w:p w14:paraId="1649BD61">
            <w:pPr>
              <w:spacing w:line="360" w:lineRule="auto"/>
              <w:ind w:firstLine="493"/>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表4-</w:t>
            </w:r>
            <w:r>
              <w:rPr>
                <w:rFonts w:hint="default" w:ascii="Times New Roman" w:hAnsi="Times New Roman" w:eastAsia="宋体" w:cs="Times New Roman"/>
                <w:b/>
                <w:bCs/>
                <w:color w:val="auto"/>
                <w:lang w:val="en-US" w:eastAsia="zh-CN"/>
              </w:rPr>
              <w:t>20</w:t>
            </w:r>
            <w:r>
              <w:rPr>
                <w:rFonts w:hint="default" w:ascii="Times New Roman" w:hAnsi="Times New Roman" w:eastAsia="宋体" w:cs="Times New Roman"/>
                <w:b/>
                <w:bCs/>
                <w:color w:val="auto"/>
              </w:rPr>
              <w:t xml:space="preserve">  建设项目运营期环保设施竣工验收一览表</w:t>
            </w:r>
          </w:p>
          <w:tbl>
            <w:tblPr>
              <w:tblStyle w:val="35"/>
              <w:tblW w:w="5000" w:type="pct"/>
              <w:jc w:val="center"/>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553"/>
              <w:gridCol w:w="3791"/>
              <w:gridCol w:w="1298"/>
              <w:gridCol w:w="2598"/>
            </w:tblGrid>
            <w:tr w14:paraId="147969CD">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PrEx>
              <w:trPr>
                <w:trHeight w:val="340" w:hRule="atLeast"/>
                <w:jc w:val="center"/>
              </w:trPr>
              <w:tc>
                <w:tcPr>
                  <w:tcW w:w="4461" w:type="dxa"/>
                  <w:gridSpan w:val="2"/>
                  <w:tcBorders>
                    <w:tl2br w:val="nil"/>
                    <w:tr2bl w:val="nil"/>
                  </w:tcBorders>
                  <w:noWrap w:val="0"/>
                  <w:vAlign w:val="center"/>
                </w:tcPr>
                <w:p w14:paraId="68EC76A8">
                  <w:pPr>
                    <w:snapToGrid w:val="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项目</w:t>
                  </w:r>
                </w:p>
              </w:tc>
              <w:tc>
                <w:tcPr>
                  <w:tcW w:w="1330" w:type="dxa"/>
                  <w:tcBorders>
                    <w:tl2br w:val="nil"/>
                    <w:tr2bl w:val="nil"/>
                  </w:tcBorders>
                  <w:noWrap w:val="0"/>
                  <w:vAlign w:val="center"/>
                </w:tcPr>
                <w:p w14:paraId="31C000F3">
                  <w:pPr>
                    <w:snapToGrid w:val="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处理对象</w:t>
                  </w:r>
                </w:p>
              </w:tc>
              <w:tc>
                <w:tcPr>
                  <w:tcW w:w="2669" w:type="dxa"/>
                  <w:tcBorders>
                    <w:tl2br w:val="nil"/>
                    <w:tr2bl w:val="nil"/>
                  </w:tcBorders>
                  <w:noWrap w:val="0"/>
                  <w:vAlign w:val="center"/>
                </w:tcPr>
                <w:p w14:paraId="4A8476D5">
                  <w:pPr>
                    <w:snapToGrid w:val="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验收要求/处理效果</w:t>
                  </w:r>
                </w:p>
              </w:tc>
            </w:tr>
            <w:tr w14:paraId="46642454">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563" w:type="dxa"/>
                  <w:tcBorders>
                    <w:tl2br w:val="nil"/>
                    <w:tr2bl w:val="nil"/>
                  </w:tcBorders>
                  <w:noWrap w:val="0"/>
                  <w:vAlign w:val="center"/>
                </w:tcPr>
                <w:p w14:paraId="2017ADBF">
                  <w:pPr>
                    <w:jc w:val="center"/>
                    <w:rPr>
                      <w:rFonts w:hint="default" w:ascii="Times New Roman" w:hAnsi="Times New Roman" w:cs="Times New Roman"/>
                      <w:b w:val="0"/>
                      <w:bCs w:val="0"/>
                      <w:color w:val="auto"/>
                      <w:spacing w:val="9"/>
                      <w:sz w:val="18"/>
                      <w:szCs w:val="18"/>
                      <w:lang w:val="en-US" w:eastAsia="zh-CN"/>
                    </w:rPr>
                  </w:pPr>
                  <w:r>
                    <w:rPr>
                      <w:rFonts w:hint="default" w:ascii="Times New Roman" w:hAnsi="Times New Roman" w:cs="Times New Roman"/>
                      <w:color w:val="auto"/>
                      <w:sz w:val="18"/>
                      <w:szCs w:val="18"/>
                      <w:lang w:val="en-US" w:eastAsia="zh-CN"/>
                    </w:rPr>
                    <w:t>废气</w:t>
                  </w:r>
                </w:p>
              </w:tc>
              <w:tc>
                <w:tcPr>
                  <w:tcW w:w="3898" w:type="dxa"/>
                  <w:tcBorders>
                    <w:tl2br w:val="nil"/>
                    <w:tr2bl w:val="nil"/>
                  </w:tcBorders>
                  <w:noWrap w:val="0"/>
                  <w:vAlign w:val="center"/>
                </w:tcPr>
                <w:p w14:paraId="16D5BEF5">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各生产设备均设置于封闭式厂房内。</w:t>
                  </w:r>
                </w:p>
              </w:tc>
              <w:tc>
                <w:tcPr>
                  <w:tcW w:w="1330" w:type="dxa"/>
                  <w:tcBorders>
                    <w:tl2br w:val="nil"/>
                    <w:tr2bl w:val="nil"/>
                  </w:tcBorders>
                  <w:noWrap w:val="0"/>
                  <w:vAlign w:val="center"/>
                </w:tcPr>
                <w:p w14:paraId="78C86459">
                  <w:pPr>
                    <w:snapToGrid w:val="0"/>
                    <w:jc w:val="center"/>
                    <w:rPr>
                      <w:rFonts w:hint="default" w:ascii="Times New Roman" w:hAnsi="Times New Roman"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穿孔、切头、去尾及分段过程中产生的少量粉尘</w:t>
                  </w:r>
                </w:p>
              </w:tc>
              <w:tc>
                <w:tcPr>
                  <w:tcW w:w="2669" w:type="dxa"/>
                  <w:tcBorders>
                    <w:tl2br w:val="nil"/>
                    <w:tr2bl w:val="nil"/>
                  </w:tcBorders>
                  <w:noWrap w:val="0"/>
                  <w:vAlign w:val="center"/>
                </w:tcPr>
                <w:p w14:paraId="71219F32">
                  <w:pPr>
                    <w:snapToGrid w:val="0"/>
                    <w:jc w:val="center"/>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达《大气污染物综合排放标准》（GB16297-1996）（表2）中的无组织排放监控浓度限值。</w:t>
                  </w:r>
                </w:p>
              </w:tc>
            </w:tr>
            <w:tr w14:paraId="4AF871AF">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563" w:type="dxa"/>
                  <w:vMerge w:val="restart"/>
                  <w:tcBorders>
                    <w:tl2br w:val="nil"/>
                    <w:tr2bl w:val="nil"/>
                  </w:tcBorders>
                  <w:noWrap w:val="0"/>
                  <w:vAlign w:val="center"/>
                </w:tcPr>
                <w:p w14:paraId="058CA398">
                  <w:pPr>
                    <w:jc w:val="center"/>
                    <w:outlineLvl w:val="0"/>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highlight w:val="none"/>
                    </w:rPr>
                    <w:t>废水</w:t>
                  </w:r>
                </w:p>
              </w:tc>
              <w:tc>
                <w:tcPr>
                  <w:tcW w:w="3898" w:type="dxa"/>
                  <w:tcBorders>
                    <w:tl2br w:val="nil"/>
                    <w:tr2bl w:val="nil"/>
                  </w:tcBorders>
                  <w:noWrap w:val="0"/>
                  <w:vAlign w:val="center"/>
                </w:tcPr>
                <w:p w14:paraId="1B8869EC">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b w:val="0"/>
                      <w:bCs w:val="0"/>
                      <w:color w:val="auto"/>
                      <w:spacing w:val="9"/>
                      <w:sz w:val="18"/>
                      <w:szCs w:val="18"/>
                      <w:highlight w:val="none"/>
                      <w:lang w:val="en-US" w:eastAsia="zh-CN"/>
                    </w:rPr>
                    <w:t>设置1个</w:t>
                  </w:r>
                  <w:r>
                    <w:rPr>
                      <w:rFonts w:hint="default" w:ascii="Times New Roman" w:hAnsi="Times New Roman" w:cs="Times New Roman"/>
                      <w:color w:val="auto"/>
                      <w:sz w:val="18"/>
                      <w:szCs w:val="18"/>
                      <w:highlight w:val="none"/>
                    </w:rPr>
                    <w:t>容积为600m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的浊循环水池</w:t>
                  </w:r>
                  <w:r>
                    <w:rPr>
                      <w:rFonts w:hint="default" w:ascii="Times New Roman" w:hAnsi="Times New Roman" w:cs="Times New Roman"/>
                      <w:color w:val="auto"/>
                      <w:sz w:val="18"/>
                      <w:szCs w:val="18"/>
                      <w:highlight w:val="none"/>
                      <w:lang w:val="en-US" w:eastAsia="zh-CN"/>
                    </w:rPr>
                    <w:t>将浊循环废水处理后回用。</w:t>
                  </w:r>
                </w:p>
              </w:tc>
              <w:tc>
                <w:tcPr>
                  <w:tcW w:w="1330" w:type="dxa"/>
                  <w:tcBorders>
                    <w:tl2br w:val="nil"/>
                    <w:tr2bl w:val="nil"/>
                  </w:tcBorders>
                  <w:noWrap w:val="0"/>
                  <w:vAlign w:val="center"/>
                </w:tcPr>
                <w:p w14:paraId="1CE9769E">
                  <w:pPr>
                    <w:snapToGrid w:val="0"/>
                    <w:jc w:val="center"/>
                    <w:rPr>
                      <w:rFonts w:hint="default" w:ascii="Times New Roman" w:hAnsi="Times New Roman" w:cs="Times New Roman"/>
                      <w:color w:val="auto"/>
                      <w:sz w:val="18"/>
                      <w:szCs w:val="18"/>
                      <w:highlight w:val="none"/>
                      <w:lang w:val="en-US"/>
                    </w:rPr>
                  </w:pPr>
                  <w:r>
                    <w:rPr>
                      <w:rFonts w:hint="default" w:ascii="Times New Roman" w:hAnsi="Times New Roman" w:cs="Times New Roman"/>
                      <w:b w:val="0"/>
                      <w:bCs w:val="0"/>
                      <w:color w:val="auto"/>
                      <w:sz w:val="18"/>
                      <w:szCs w:val="18"/>
                      <w:highlight w:val="none"/>
                      <w:lang w:val="en-US" w:eastAsia="zh-CN"/>
                    </w:rPr>
                    <w:t>浊循环废水</w:t>
                  </w:r>
                </w:p>
              </w:tc>
              <w:tc>
                <w:tcPr>
                  <w:tcW w:w="2669" w:type="dxa"/>
                  <w:tcBorders>
                    <w:tl2br w:val="nil"/>
                    <w:tr2bl w:val="nil"/>
                  </w:tcBorders>
                  <w:noWrap w:val="0"/>
                  <w:vAlign w:val="center"/>
                </w:tcPr>
                <w:p w14:paraId="481E0BB2">
                  <w:pPr>
                    <w:snapToGrid w:val="0"/>
                    <w:jc w:val="center"/>
                    <w:rPr>
                      <w:rFonts w:hint="default" w:ascii="Times New Roman" w:hAnsi="Times New Roman" w:eastAsia="宋体" w:cs="Times New Roman"/>
                      <w:b w:val="0"/>
                      <w:bCs w:val="0"/>
                      <w:color w:val="auto"/>
                      <w:sz w:val="18"/>
                      <w:szCs w:val="18"/>
                      <w:highlight w:val="yellow"/>
                      <w:lang w:val="en-US" w:eastAsia="zh-CN"/>
                    </w:rPr>
                  </w:pPr>
                  <w:r>
                    <w:rPr>
                      <w:rFonts w:hint="default" w:ascii="Times New Roman" w:hAnsi="Times New Roman" w:eastAsia="宋体" w:cs="Times New Roman"/>
                      <w:b w:val="0"/>
                      <w:bCs w:val="0"/>
                      <w:color w:val="auto"/>
                      <w:sz w:val="18"/>
                      <w:szCs w:val="18"/>
                      <w:highlight w:val="none"/>
                      <w:lang w:val="en-US" w:eastAsia="zh-CN"/>
                    </w:rPr>
                    <w:t>循环回用，不外排。</w:t>
                  </w:r>
                </w:p>
              </w:tc>
            </w:tr>
            <w:tr w14:paraId="57E5600D">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61" w:hRule="atLeast"/>
                <w:jc w:val="center"/>
              </w:trPr>
              <w:tc>
                <w:tcPr>
                  <w:tcW w:w="563" w:type="dxa"/>
                  <w:vMerge w:val="continue"/>
                  <w:tcBorders>
                    <w:tl2br w:val="nil"/>
                    <w:tr2bl w:val="nil"/>
                  </w:tcBorders>
                  <w:noWrap w:val="0"/>
                  <w:vAlign w:val="center"/>
                </w:tcPr>
                <w:p w14:paraId="3F4A359B">
                  <w:pPr>
                    <w:jc w:val="center"/>
                    <w:outlineLvl w:val="0"/>
                    <w:rPr>
                      <w:rFonts w:hint="default" w:ascii="Times New Roman" w:hAnsi="Times New Roman" w:cs="Times New Roman"/>
                      <w:color w:val="auto"/>
                      <w:sz w:val="18"/>
                      <w:szCs w:val="18"/>
                      <w:highlight w:val="yellow"/>
                    </w:rPr>
                  </w:pPr>
                </w:p>
              </w:tc>
              <w:tc>
                <w:tcPr>
                  <w:tcW w:w="3898" w:type="dxa"/>
                  <w:tcBorders>
                    <w:tl2br w:val="nil"/>
                    <w:tr2bl w:val="nil"/>
                  </w:tcBorders>
                  <w:noWrap w:val="0"/>
                  <w:vAlign w:val="center"/>
                </w:tcPr>
                <w:p w14:paraId="51291E2A">
                  <w:pPr>
                    <w:jc w:val="center"/>
                    <w:rPr>
                      <w:rFonts w:hint="default" w:ascii="Times New Roman" w:hAnsi="Times New Roman" w:cs="Times New Roman"/>
                      <w:b w:val="0"/>
                      <w:bCs w:val="0"/>
                      <w:color w:val="auto"/>
                      <w:spacing w:val="9"/>
                      <w:sz w:val="18"/>
                      <w:szCs w:val="18"/>
                      <w:highlight w:val="none"/>
                      <w:lang w:val="zh-CN"/>
                    </w:rPr>
                  </w:pPr>
                  <w:r>
                    <w:rPr>
                      <w:rFonts w:hint="default" w:ascii="Times New Roman" w:hAnsi="Times New Roman" w:cs="Times New Roman"/>
                      <w:color w:val="auto"/>
                      <w:sz w:val="18"/>
                      <w:szCs w:val="18"/>
                      <w:highlight w:val="none"/>
                    </w:rPr>
                    <w:t>利用现有的1个10m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的化粪池，并新增1个6m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的化粪池。</w:t>
                  </w:r>
                  <w:r>
                    <w:rPr>
                      <w:rFonts w:hint="default" w:ascii="Times New Roman" w:hAnsi="Times New Roman" w:cs="Times New Roman"/>
                      <w:color w:val="auto"/>
                      <w:sz w:val="18"/>
                      <w:szCs w:val="18"/>
                      <w:highlight w:val="none"/>
                      <w:lang w:val="en-US" w:eastAsia="zh-CN"/>
                    </w:rPr>
                    <w:t>生活污水经化粪池处理后排入园区污水管网，最终进入园区污水处理厂处理。</w:t>
                  </w:r>
                </w:p>
              </w:tc>
              <w:tc>
                <w:tcPr>
                  <w:tcW w:w="1330" w:type="dxa"/>
                  <w:tcBorders>
                    <w:tl2br w:val="nil"/>
                    <w:tr2bl w:val="nil"/>
                  </w:tcBorders>
                  <w:noWrap w:val="0"/>
                  <w:vAlign w:val="center"/>
                </w:tcPr>
                <w:p w14:paraId="132768C1">
                  <w:pPr>
                    <w:snapToGrid w:val="0"/>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生活污水</w:t>
                  </w:r>
                </w:p>
              </w:tc>
              <w:tc>
                <w:tcPr>
                  <w:tcW w:w="2669" w:type="dxa"/>
                  <w:tcBorders>
                    <w:tl2br w:val="nil"/>
                    <w:tr2bl w:val="nil"/>
                  </w:tcBorders>
                  <w:noWrap w:val="0"/>
                  <w:vAlign w:val="center"/>
                </w:tcPr>
                <w:p w14:paraId="7D45F47C">
                  <w:pPr>
                    <w:snapToGrid w:val="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处理达</w:t>
                  </w:r>
                  <w:r>
                    <w:rPr>
                      <w:rFonts w:hint="default" w:ascii="Times New Roman" w:hAnsi="Times New Roman" w:cs="Times New Roman"/>
                      <w:color w:val="auto"/>
                      <w:sz w:val="18"/>
                      <w:szCs w:val="18"/>
                      <w:highlight w:val="none"/>
                      <w:lang w:val="en-US" w:eastAsia="zh-CN"/>
                    </w:rPr>
                    <w:t>《污水综合排放标准》（GB8978-1996）（表4）三级标准及《污水排入城镇下水道水质标准》（GB/T31962-2015）表1B等级标准。</w:t>
                  </w:r>
                </w:p>
              </w:tc>
            </w:tr>
            <w:tr w14:paraId="4423BD29">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563" w:type="dxa"/>
                  <w:tcBorders>
                    <w:tl2br w:val="nil"/>
                    <w:tr2bl w:val="nil"/>
                  </w:tcBorders>
                  <w:noWrap w:val="0"/>
                  <w:vAlign w:val="center"/>
                </w:tcPr>
                <w:p w14:paraId="3DEAB61C">
                  <w:pPr>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噪声</w:t>
                  </w:r>
                </w:p>
              </w:tc>
              <w:tc>
                <w:tcPr>
                  <w:tcW w:w="3898" w:type="dxa"/>
                  <w:tcBorders>
                    <w:tl2br w:val="nil"/>
                    <w:tr2bl w:val="nil"/>
                  </w:tcBorders>
                  <w:noWrap w:val="0"/>
                  <w:vAlign w:val="center"/>
                </w:tcPr>
                <w:p w14:paraId="0F95236B">
                  <w:pPr>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生产设备置于生产车间内，并稳固安装。</w:t>
                  </w:r>
                </w:p>
              </w:tc>
              <w:tc>
                <w:tcPr>
                  <w:tcW w:w="1330" w:type="dxa"/>
                  <w:tcBorders>
                    <w:tl2br w:val="nil"/>
                    <w:tr2bl w:val="nil"/>
                  </w:tcBorders>
                  <w:noWrap w:val="0"/>
                  <w:vAlign w:val="center"/>
                </w:tcPr>
                <w:p w14:paraId="00B5820A">
                  <w:pPr>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噪声</w:t>
                  </w:r>
                </w:p>
              </w:tc>
              <w:tc>
                <w:tcPr>
                  <w:tcW w:w="2669" w:type="dxa"/>
                  <w:tcBorders>
                    <w:tl2br w:val="nil"/>
                    <w:tr2bl w:val="nil"/>
                  </w:tcBorders>
                  <w:noWrap w:val="0"/>
                  <w:vAlign w:val="center"/>
                </w:tcPr>
                <w:p w14:paraId="3F8027BB">
                  <w:pPr>
                    <w:snapToGrid w:val="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厂界噪声</w:t>
                  </w:r>
                  <w:r>
                    <w:rPr>
                      <w:rFonts w:hint="default" w:ascii="Times New Roman" w:hAnsi="Times New Roman" w:cs="Times New Roman"/>
                      <w:color w:val="auto"/>
                      <w:sz w:val="18"/>
                      <w:szCs w:val="18"/>
                      <w:highlight w:val="none"/>
                    </w:rPr>
                    <w:t>达到《工业企业厂界环境噪声排放标准》（GB12348-2008）3类标准</w:t>
                  </w:r>
                  <w:r>
                    <w:rPr>
                      <w:rFonts w:hint="default" w:ascii="Times New Roman" w:hAnsi="Times New Roman" w:cs="Times New Roman"/>
                      <w:color w:val="auto"/>
                      <w:sz w:val="18"/>
                      <w:szCs w:val="18"/>
                      <w:highlight w:val="none"/>
                      <w:lang w:eastAsia="zh-CN"/>
                    </w:rPr>
                    <w:t>。</w:t>
                  </w:r>
                </w:p>
              </w:tc>
            </w:tr>
            <w:tr w14:paraId="7D1CEF34">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563" w:type="dxa"/>
                  <w:vMerge w:val="restart"/>
                  <w:tcBorders>
                    <w:tl2br w:val="nil"/>
                    <w:tr2bl w:val="nil"/>
                  </w:tcBorders>
                  <w:noWrap w:val="0"/>
                  <w:vAlign w:val="center"/>
                </w:tcPr>
                <w:p w14:paraId="195A6165">
                  <w:pPr>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固废</w:t>
                  </w:r>
                </w:p>
              </w:tc>
              <w:tc>
                <w:tcPr>
                  <w:tcW w:w="3898" w:type="dxa"/>
                  <w:tcBorders>
                    <w:tl2br w:val="nil"/>
                    <w:tr2bl w:val="nil"/>
                  </w:tcBorders>
                  <w:noWrap w:val="0"/>
                  <w:vAlign w:val="center"/>
                </w:tcPr>
                <w:p w14:paraId="66D1DC3A">
                  <w:pPr>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b w:val="0"/>
                      <w:bCs w:val="0"/>
                      <w:color w:val="auto"/>
                      <w:sz w:val="18"/>
                      <w:szCs w:val="18"/>
                      <w:highlight w:val="none"/>
                    </w:rPr>
                    <w:t>边角料及不合格产品经收集后外售作为生产原料。</w:t>
                  </w:r>
                </w:p>
              </w:tc>
              <w:tc>
                <w:tcPr>
                  <w:tcW w:w="1330" w:type="dxa"/>
                  <w:tcBorders>
                    <w:tl2br w:val="nil"/>
                    <w:tr2bl w:val="nil"/>
                  </w:tcBorders>
                  <w:noWrap w:val="0"/>
                  <w:vAlign w:val="center"/>
                </w:tcPr>
                <w:p w14:paraId="4A492ECF">
                  <w:pPr>
                    <w:snapToGrid w:val="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val="0"/>
                      <w:bCs w:val="0"/>
                      <w:color w:val="auto"/>
                      <w:sz w:val="18"/>
                      <w:szCs w:val="18"/>
                      <w:highlight w:val="none"/>
                    </w:rPr>
                    <w:t>边角料及不合格产品</w:t>
                  </w:r>
                </w:p>
              </w:tc>
              <w:tc>
                <w:tcPr>
                  <w:tcW w:w="2669" w:type="dxa"/>
                  <w:tcBorders>
                    <w:tl2br w:val="nil"/>
                    <w:tr2bl w:val="nil"/>
                  </w:tcBorders>
                  <w:noWrap w:val="0"/>
                  <w:vAlign w:val="center"/>
                </w:tcPr>
                <w:p w14:paraId="7418875B">
                  <w:pPr>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处置率100%</w:t>
                  </w:r>
                </w:p>
              </w:tc>
            </w:tr>
            <w:tr w14:paraId="5D1F7C64">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563" w:type="dxa"/>
                  <w:vMerge w:val="continue"/>
                  <w:tcBorders>
                    <w:tl2br w:val="nil"/>
                    <w:tr2bl w:val="nil"/>
                  </w:tcBorders>
                  <w:noWrap w:val="0"/>
                  <w:vAlign w:val="center"/>
                </w:tcPr>
                <w:p w14:paraId="43F3922C">
                  <w:pPr>
                    <w:snapToGrid w:val="0"/>
                    <w:jc w:val="center"/>
                    <w:rPr>
                      <w:rFonts w:hint="default" w:ascii="Times New Roman" w:hAnsi="Times New Roman" w:cs="Times New Roman"/>
                      <w:color w:val="auto"/>
                      <w:sz w:val="18"/>
                      <w:szCs w:val="18"/>
                      <w:highlight w:val="none"/>
                    </w:rPr>
                  </w:pPr>
                </w:p>
              </w:tc>
              <w:tc>
                <w:tcPr>
                  <w:tcW w:w="3898" w:type="dxa"/>
                  <w:tcBorders>
                    <w:tl2br w:val="nil"/>
                    <w:tr2bl w:val="nil"/>
                  </w:tcBorders>
                  <w:noWrap w:val="0"/>
                  <w:vAlign w:val="center"/>
                </w:tcPr>
                <w:p w14:paraId="0286272E">
                  <w:pPr>
                    <w:pStyle w:val="4"/>
                    <w:adjustRightInd/>
                    <w:spacing w:line="276" w:lineRule="auto"/>
                    <w:ind w:firstLine="0" w:firstLineChars="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氧化铁皮</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经收集后外售作为生产原料。</w:t>
                  </w:r>
                </w:p>
              </w:tc>
              <w:tc>
                <w:tcPr>
                  <w:tcW w:w="1330" w:type="dxa"/>
                  <w:tcBorders>
                    <w:tl2br w:val="nil"/>
                    <w:tr2bl w:val="nil"/>
                  </w:tcBorders>
                  <w:noWrap w:val="0"/>
                  <w:vAlign w:val="center"/>
                </w:tcPr>
                <w:p w14:paraId="6A1D9ADC">
                  <w:pPr>
                    <w:pStyle w:val="4"/>
                    <w:adjustRightInd/>
                    <w:spacing w:line="276" w:lineRule="auto"/>
                    <w:ind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氧化铁皮</w:t>
                  </w:r>
                </w:p>
              </w:tc>
              <w:tc>
                <w:tcPr>
                  <w:tcW w:w="2669" w:type="dxa"/>
                  <w:tcBorders>
                    <w:tl2br w:val="nil"/>
                    <w:tr2bl w:val="nil"/>
                  </w:tcBorders>
                  <w:noWrap w:val="0"/>
                  <w:vAlign w:val="center"/>
                </w:tcPr>
                <w:p w14:paraId="52BF615B">
                  <w:pPr>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处置率100%</w:t>
                  </w:r>
                </w:p>
              </w:tc>
            </w:tr>
            <w:tr w14:paraId="51F497CF">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563" w:type="dxa"/>
                  <w:vMerge w:val="continue"/>
                  <w:tcBorders>
                    <w:tl2br w:val="nil"/>
                    <w:tr2bl w:val="nil"/>
                  </w:tcBorders>
                  <w:noWrap w:val="0"/>
                  <w:vAlign w:val="center"/>
                </w:tcPr>
                <w:p w14:paraId="5F5966FA">
                  <w:pPr>
                    <w:snapToGrid w:val="0"/>
                    <w:jc w:val="center"/>
                    <w:rPr>
                      <w:rFonts w:hint="default" w:ascii="Times New Roman" w:hAnsi="Times New Roman" w:cs="Times New Roman"/>
                      <w:color w:val="auto"/>
                      <w:sz w:val="18"/>
                      <w:szCs w:val="18"/>
                      <w:highlight w:val="none"/>
                    </w:rPr>
                  </w:pPr>
                </w:p>
              </w:tc>
              <w:tc>
                <w:tcPr>
                  <w:tcW w:w="3898" w:type="dxa"/>
                  <w:tcBorders>
                    <w:tl2br w:val="nil"/>
                    <w:tr2bl w:val="nil"/>
                  </w:tcBorders>
                  <w:noWrap w:val="0"/>
                  <w:vAlign w:val="center"/>
                </w:tcPr>
                <w:p w14:paraId="1CDC233E">
                  <w:pPr>
                    <w:pStyle w:val="18"/>
                    <w:adjustRightInd w:val="0"/>
                    <w:snapToGrid w:val="0"/>
                    <w:spacing w:line="320" w:lineRule="exact"/>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化粪池污泥</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委托环卫部门采用吸粪车运走。</w:t>
                  </w:r>
                </w:p>
              </w:tc>
              <w:tc>
                <w:tcPr>
                  <w:tcW w:w="1330" w:type="dxa"/>
                  <w:tcBorders>
                    <w:tl2br w:val="nil"/>
                    <w:tr2bl w:val="nil"/>
                  </w:tcBorders>
                  <w:noWrap w:val="0"/>
                  <w:vAlign w:val="center"/>
                </w:tcPr>
                <w:p w14:paraId="13DC0ED6">
                  <w:pPr>
                    <w:pStyle w:val="18"/>
                    <w:adjustRightInd w:val="0"/>
                    <w:snapToGrid w:val="0"/>
                    <w:spacing w:line="32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化粪池污泥</w:t>
                  </w:r>
                </w:p>
              </w:tc>
              <w:tc>
                <w:tcPr>
                  <w:tcW w:w="2669" w:type="dxa"/>
                  <w:tcBorders>
                    <w:tl2br w:val="nil"/>
                    <w:tr2bl w:val="nil"/>
                  </w:tcBorders>
                  <w:noWrap w:val="0"/>
                  <w:vAlign w:val="center"/>
                </w:tcPr>
                <w:p w14:paraId="0B306C0A">
                  <w:pPr>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处置率100%</w:t>
                  </w:r>
                </w:p>
              </w:tc>
            </w:tr>
            <w:tr w14:paraId="460FCF2A">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563" w:type="dxa"/>
                  <w:vMerge w:val="continue"/>
                  <w:tcBorders>
                    <w:tl2br w:val="nil"/>
                    <w:tr2bl w:val="nil"/>
                  </w:tcBorders>
                  <w:noWrap w:val="0"/>
                  <w:vAlign w:val="center"/>
                </w:tcPr>
                <w:p w14:paraId="2CDFBE44">
                  <w:pPr>
                    <w:snapToGrid w:val="0"/>
                    <w:jc w:val="center"/>
                    <w:rPr>
                      <w:rFonts w:hint="default" w:ascii="Times New Roman" w:hAnsi="Times New Roman" w:cs="Times New Roman"/>
                      <w:color w:val="auto"/>
                      <w:sz w:val="18"/>
                      <w:szCs w:val="18"/>
                      <w:highlight w:val="none"/>
                    </w:rPr>
                  </w:pPr>
                </w:p>
              </w:tc>
              <w:tc>
                <w:tcPr>
                  <w:tcW w:w="3898" w:type="dxa"/>
                  <w:tcBorders>
                    <w:tl2br w:val="nil"/>
                    <w:tr2bl w:val="nil"/>
                  </w:tcBorders>
                  <w:noWrap w:val="0"/>
                  <w:vAlign w:val="center"/>
                </w:tcPr>
                <w:p w14:paraId="06B7DDD2">
                  <w:pPr>
                    <w:pStyle w:val="18"/>
                    <w:adjustRightInd w:val="0"/>
                    <w:snapToGrid w:val="0"/>
                    <w:spacing w:line="320" w:lineRule="exact"/>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废弃含油抹布和劳保用品</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分类收集，暂存于危险废物贮存库内，定期委托有资质的单位处置。</w:t>
                  </w:r>
                </w:p>
              </w:tc>
              <w:tc>
                <w:tcPr>
                  <w:tcW w:w="1330" w:type="dxa"/>
                  <w:tcBorders>
                    <w:tl2br w:val="nil"/>
                    <w:tr2bl w:val="nil"/>
                  </w:tcBorders>
                  <w:noWrap w:val="0"/>
                  <w:vAlign w:val="center"/>
                </w:tcPr>
                <w:p w14:paraId="4081C194">
                  <w:pPr>
                    <w:pStyle w:val="18"/>
                    <w:adjustRightInd w:val="0"/>
                    <w:snapToGrid w:val="0"/>
                    <w:spacing w:line="32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废弃含油抹布和劳保用品</w:t>
                  </w:r>
                </w:p>
              </w:tc>
              <w:tc>
                <w:tcPr>
                  <w:tcW w:w="2669" w:type="dxa"/>
                  <w:tcBorders>
                    <w:tl2br w:val="nil"/>
                    <w:tr2bl w:val="nil"/>
                  </w:tcBorders>
                  <w:noWrap w:val="0"/>
                  <w:vAlign w:val="center"/>
                </w:tcPr>
                <w:p w14:paraId="545EB0D7">
                  <w:pPr>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处置率100%</w:t>
                  </w:r>
                </w:p>
              </w:tc>
            </w:tr>
            <w:tr w14:paraId="4190D822">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563" w:type="dxa"/>
                  <w:vMerge w:val="continue"/>
                  <w:tcBorders>
                    <w:tl2br w:val="nil"/>
                    <w:tr2bl w:val="nil"/>
                  </w:tcBorders>
                  <w:noWrap w:val="0"/>
                  <w:vAlign w:val="center"/>
                </w:tcPr>
                <w:p w14:paraId="0CDC985D">
                  <w:pPr>
                    <w:snapToGrid w:val="0"/>
                    <w:jc w:val="center"/>
                    <w:rPr>
                      <w:rFonts w:hint="default" w:ascii="Times New Roman" w:hAnsi="Times New Roman" w:cs="Times New Roman"/>
                      <w:color w:val="auto"/>
                      <w:sz w:val="18"/>
                      <w:szCs w:val="18"/>
                      <w:highlight w:val="none"/>
                    </w:rPr>
                  </w:pPr>
                </w:p>
              </w:tc>
              <w:tc>
                <w:tcPr>
                  <w:tcW w:w="3898" w:type="dxa"/>
                  <w:tcBorders>
                    <w:tl2br w:val="nil"/>
                    <w:tr2bl w:val="nil"/>
                  </w:tcBorders>
                  <w:noWrap w:val="0"/>
                  <w:vAlign w:val="center"/>
                </w:tcPr>
                <w:p w14:paraId="4D42840D">
                  <w:pPr>
                    <w:pStyle w:val="4"/>
                    <w:autoSpaceDE w:val="0"/>
                    <w:ind w:firstLine="0" w:firstLineChars="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废机油</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经过收集后暂存于现有危险废物贮存库（5m</w:t>
                  </w:r>
                  <w:r>
                    <w:rPr>
                      <w:rFonts w:hint="default" w:ascii="Times New Roman" w:hAnsi="Times New Roman" w:cs="Times New Roman"/>
                      <w:color w:val="auto"/>
                      <w:sz w:val="18"/>
                      <w:szCs w:val="18"/>
                      <w:highlight w:val="none"/>
                      <w:vertAlign w:val="superscript"/>
                    </w:rPr>
                    <w:t>2</w:t>
                  </w:r>
                  <w:r>
                    <w:rPr>
                      <w:rFonts w:hint="default" w:ascii="Times New Roman" w:hAnsi="Times New Roman" w:cs="Times New Roman"/>
                      <w:color w:val="auto"/>
                      <w:sz w:val="18"/>
                      <w:szCs w:val="18"/>
                      <w:highlight w:val="none"/>
                    </w:rPr>
                    <w:t>）进行分区暂存，然后返回对设备进行润滑使用，在厂区内自行利用。</w:t>
                  </w:r>
                </w:p>
              </w:tc>
              <w:tc>
                <w:tcPr>
                  <w:tcW w:w="1330" w:type="dxa"/>
                  <w:tcBorders>
                    <w:tl2br w:val="nil"/>
                    <w:tr2bl w:val="nil"/>
                  </w:tcBorders>
                  <w:noWrap w:val="0"/>
                  <w:vAlign w:val="center"/>
                </w:tcPr>
                <w:p w14:paraId="69B7C1D5">
                  <w:pPr>
                    <w:pStyle w:val="4"/>
                    <w:autoSpaceDE w:val="0"/>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废机油</w:t>
                  </w:r>
                </w:p>
              </w:tc>
              <w:tc>
                <w:tcPr>
                  <w:tcW w:w="2669" w:type="dxa"/>
                  <w:tcBorders>
                    <w:tl2br w:val="nil"/>
                    <w:tr2bl w:val="nil"/>
                  </w:tcBorders>
                  <w:noWrap w:val="0"/>
                  <w:vAlign w:val="center"/>
                </w:tcPr>
                <w:p w14:paraId="3CE03B22">
                  <w:pPr>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处置率100%</w:t>
                  </w:r>
                </w:p>
              </w:tc>
            </w:tr>
            <w:tr w14:paraId="555C956A">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563" w:type="dxa"/>
                  <w:vMerge w:val="continue"/>
                  <w:tcBorders>
                    <w:tl2br w:val="nil"/>
                    <w:tr2bl w:val="nil"/>
                  </w:tcBorders>
                  <w:noWrap w:val="0"/>
                  <w:vAlign w:val="center"/>
                </w:tcPr>
                <w:p w14:paraId="7FAA9D8E">
                  <w:pPr>
                    <w:snapToGrid w:val="0"/>
                    <w:jc w:val="center"/>
                    <w:rPr>
                      <w:rFonts w:hint="default" w:ascii="Times New Roman" w:hAnsi="Times New Roman" w:cs="Times New Roman"/>
                      <w:color w:val="auto"/>
                      <w:sz w:val="18"/>
                      <w:szCs w:val="18"/>
                      <w:highlight w:val="none"/>
                    </w:rPr>
                  </w:pPr>
                </w:p>
              </w:tc>
              <w:tc>
                <w:tcPr>
                  <w:tcW w:w="3898" w:type="dxa"/>
                  <w:tcBorders>
                    <w:tl2br w:val="nil"/>
                    <w:tr2bl w:val="nil"/>
                  </w:tcBorders>
                  <w:noWrap w:val="0"/>
                  <w:vAlign w:val="center"/>
                </w:tcPr>
                <w:p w14:paraId="04E8CC10">
                  <w:pPr>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生活垃圾</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收集后</w:t>
                  </w:r>
                  <w:r>
                    <w:rPr>
                      <w:rFonts w:hint="default" w:ascii="Times New Roman" w:hAnsi="Times New Roman" w:cs="Times New Roman"/>
                      <w:color w:val="auto"/>
                      <w:sz w:val="18"/>
                      <w:szCs w:val="18"/>
                      <w:highlight w:val="none"/>
                      <w:lang w:val="en-US" w:eastAsia="zh-CN"/>
                    </w:rPr>
                    <w:t>与现有</w:t>
                  </w:r>
                  <w:r>
                    <w:rPr>
                      <w:rFonts w:hint="default" w:ascii="Times New Roman" w:hAnsi="Times New Roman" w:cs="Times New Roman"/>
                      <w:color w:val="auto"/>
                      <w:sz w:val="18"/>
                      <w:szCs w:val="18"/>
                      <w:highlight w:val="none"/>
                    </w:rPr>
                    <w:t>生活垃圾一起委托环卫部门清运处置。</w:t>
                  </w:r>
                </w:p>
              </w:tc>
              <w:tc>
                <w:tcPr>
                  <w:tcW w:w="1330" w:type="dxa"/>
                  <w:tcBorders>
                    <w:tl2br w:val="nil"/>
                    <w:tr2bl w:val="nil"/>
                  </w:tcBorders>
                  <w:noWrap w:val="0"/>
                  <w:vAlign w:val="center"/>
                </w:tcPr>
                <w:p w14:paraId="314228CE">
                  <w:pPr>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生活垃圾</w:t>
                  </w:r>
                </w:p>
              </w:tc>
              <w:tc>
                <w:tcPr>
                  <w:tcW w:w="2669" w:type="dxa"/>
                  <w:tcBorders>
                    <w:tl2br w:val="nil"/>
                    <w:tr2bl w:val="nil"/>
                  </w:tcBorders>
                  <w:noWrap w:val="0"/>
                  <w:vAlign w:val="center"/>
                </w:tcPr>
                <w:p w14:paraId="4AE70ECF">
                  <w:pPr>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处置率100%</w:t>
                  </w:r>
                </w:p>
              </w:tc>
            </w:tr>
            <w:tr w14:paraId="251A6851">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563" w:type="dxa"/>
                  <w:tcBorders>
                    <w:tl2br w:val="nil"/>
                    <w:tr2bl w:val="nil"/>
                  </w:tcBorders>
                  <w:noWrap w:val="0"/>
                  <w:vAlign w:val="center"/>
                </w:tcPr>
                <w:p w14:paraId="59C4178A">
                  <w:pPr>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防渗工程</w:t>
                  </w:r>
                </w:p>
              </w:tc>
              <w:tc>
                <w:tcPr>
                  <w:tcW w:w="3898" w:type="dxa"/>
                  <w:tcBorders>
                    <w:tl2br w:val="nil"/>
                    <w:tr2bl w:val="nil"/>
                  </w:tcBorders>
                  <w:noWrap w:val="0"/>
                  <w:vAlign w:val="center"/>
                </w:tcPr>
                <w:p w14:paraId="6DCA9277">
                  <w:pPr>
                    <w:pStyle w:val="33"/>
                    <w:adjustRightInd w:val="0"/>
                    <w:snapToGrid w:val="0"/>
                    <w:spacing w:after="0" w:line="280" w:lineRule="exact"/>
                    <w:ind w:firstLine="360" w:firstLineChars="200"/>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①</w:t>
                  </w:r>
                  <w:r>
                    <w:rPr>
                      <w:rFonts w:hint="default" w:ascii="Times New Roman" w:hAnsi="Times New Roman" w:cs="Times New Roman"/>
                      <w:color w:val="auto"/>
                      <w:sz w:val="18"/>
                      <w:szCs w:val="18"/>
                      <w:highlight w:val="none"/>
                      <w:lang w:val="en-US" w:eastAsia="zh-CN"/>
                    </w:rPr>
                    <w:t>重点防渗区：</w:t>
                  </w:r>
                  <w:r>
                    <w:rPr>
                      <w:rFonts w:hint="default" w:ascii="Times New Roman" w:hAnsi="Times New Roman" w:cs="Times New Roman"/>
                      <w:color w:val="auto"/>
                      <w:sz w:val="18"/>
                      <w:szCs w:val="18"/>
                      <w:highlight w:val="none"/>
                    </w:rPr>
                    <w:t>危险废物贮存库依托现有，根据调查，其现状防渗措施为地面采用1.5m厚黏土层+人工防渗膜（渗透系数≤10</w:t>
                  </w:r>
                  <w:r>
                    <w:rPr>
                      <w:rFonts w:hint="default" w:ascii="Times New Roman" w:hAnsi="Times New Roman" w:cs="Times New Roman"/>
                      <w:color w:val="auto"/>
                      <w:sz w:val="18"/>
                      <w:szCs w:val="18"/>
                      <w:highlight w:val="none"/>
                      <w:vertAlign w:val="superscript"/>
                    </w:rPr>
                    <w:t>-10</w:t>
                  </w:r>
                  <w:r>
                    <w:rPr>
                      <w:rFonts w:hint="default" w:ascii="Times New Roman" w:hAnsi="Times New Roman" w:cs="Times New Roman"/>
                      <w:color w:val="auto"/>
                      <w:sz w:val="18"/>
                      <w:szCs w:val="18"/>
                      <w:highlight w:val="none"/>
                    </w:rPr>
                    <w:t>cm/s）+抗渗砼+环氧乙烯基酯树脂，内墙面四周2m以下采用1.5mm厚的水泥基渗透结晶型防水涂料涂抹，满足《危险废物贮存污染控制标准》（GB18597-2023）中渗透系数≤1×10</w:t>
                  </w:r>
                  <w:r>
                    <w:rPr>
                      <w:rFonts w:hint="default" w:ascii="Times New Roman" w:hAnsi="Times New Roman" w:cs="Times New Roman"/>
                      <w:color w:val="auto"/>
                      <w:sz w:val="18"/>
                      <w:szCs w:val="18"/>
                      <w:highlight w:val="none"/>
                      <w:vertAlign w:val="superscript"/>
                    </w:rPr>
                    <w:t>-10</w:t>
                  </w:r>
                  <w:r>
                    <w:rPr>
                      <w:rFonts w:hint="default" w:ascii="Times New Roman" w:hAnsi="Times New Roman" w:cs="Times New Roman"/>
                      <w:color w:val="auto"/>
                      <w:sz w:val="18"/>
                      <w:szCs w:val="18"/>
                      <w:highlight w:val="none"/>
                    </w:rPr>
                    <w:t>cm/s要求。</w:t>
                  </w:r>
                </w:p>
                <w:p w14:paraId="7A012A8F">
                  <w:pPr>
                    <w:ind w:firstLine="360" w:firstLineChars="20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②一般防渗区：化粪池（10m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）、初期雨水收集池、无缝钢管车间、成品库依托现有，根据调查，其已采用厚度15cm的C20混凝土浇注作为防渗漏措施，防渗满足《环境影响评价技术导则  地下水环境》（HJ610-2016）中一般防渗区等效黏土防渗层Mb≥1.5m，K≤1×10</w:t>
                  </w:r>
                  <w:r>
                    <w:rPr>
                      <w:rFonts w:hint="default" w:ascii="Times New Roman" w:hAnsi="Times New Roman" w:cs="Times New Roman"/>
                      <w:color w:val="auto"/>
                      <w:sz w:val="18"/>
                      <w:szCs w:val="18"/>
                      <w:highlight w:val="none"/>
                      <w:vertAlign w:val="superscript"/>
                    </w:rPr>
                    <w:t>-7</w:t>
                  </w:r>
                  <w:r>
                    <w:rPr>
                      <w:rFonts w:hint="default" w:ascii="Times New Roman" w:hAnsi="Times New Roman" w:cs="Times New Roman"/>
                      <w:color w:val="auto"/>
                      <w:sz w:val="18"/>
                      <w:szCs w:val="18"/>
                      <w:highlight w:val="none"/>
                    </w:rPr>
                    <w:t>cm/s的防渗能力要求。</w:t>
                  </w:r>
                </w:p>
                <w:p w14:paraId="61CB45A2">
                  <w:pPr>
                    <w:pStyle w:val="33"/>
                    <w:adjustRightInd w:val="0"/>
                    <w:snapToGrid w:val="0"/>
                    <w:spacing w:after="0" w:line="280" w:lineRule="exact"/>
                    <w:ind w:firstLine="360" w:firstLineChars="200"/>
                    <w:jc w:val="left"/>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化粪池（6m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）、循环水池为本次新建，要求严格按照《环境影响评价技术导则  地下水环境》（HJ610-2016）中的一般防渗区要求进行防渗，确保防渗效果等效于厚度≥1.5m，渗透系数≤1×10</w:t>
                  </w:r>
                  <w:r>
                    <w:rPr>
                      <w:rFonts w:hint="default" w:ascii="Times New Roman" w:hAnsi="Times New Roman" w:cs="Times New Roman"/>
                      <w:color w:val="auto"/>
                      <w:sz w:val="18"/>
                      <w:szCs w:val="18"/>
                      <w:highlight w:val="none"/>
                      <w:vertAlign w:val="superscript"/>
                    </w:rPr>
                    <w:t>-7</w:t>
                  </w:r>
                  <w:r>
                    <w:rPr>
                      <w:rFonts w:hint="default" w:ascii="Times New Roman" w:hAnsi="Times New Roman" w:cs="Times New Roman"/>
                      <w:color w:val="auto"/>
                      <w:sz w:val="18"/>
                      <w:szCs w:val="18"/>
                      <w:highlight w:val="none"/>
                    </w:rPr>
                    <w:t>cm/s）的黏土防渗效能。</w:t>
                  </w:r>
                </w:p>
                <w:p w14:paraId="2C81D71C">
                  <w:pPr>
                    <w:pStyle w:val="33"/>
                    <w:adjustRightInd w:val="0"/>
                    <w:snapToGrid w:val="0"/>
                    <w:spacing w:after="0" w:line="280" w:lineRule="exact"/>
                    <w:ind w:firstLine="360" w:firstLineChars="200"/>
                    <w:jc w:val="left"/>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③简单防渗区：办公区、磅房、道路、大门值班室依托现有，已采用一般水泥硬化处理。</w:t>
                  </w:r>
                </w:p>
              </w:tc>
              <w:tc>
                <w:tcPr>
                  <w:tcW w:w="1330" w:type="dxa"/>
                  <w:tcBorders>
                    <w:tl2br w:val="nil"/>
                    <w:tr2bl w:val="nil"/>
                  </w:tcBorders>
                  <w:noWrap w:val="0"/>
                  <w:vAlign w:val="center"/>
                </w:tcPr>
                <w:p w14:paraId="31DA0F33">
                  <w:pPr>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土壤及地下水</w:t>
                  </w:r>
                </w:p>
              </w:tc>
              <w:tc>
                <w:tcPr>
                  <w:tcW w:w="2669" w:type="dxa"/>
                  <w:tcBorders>
                    <w:tl2br w:val="nil"/>
                    <w:tr2bl w:val="nil"/>
                  </w:tcBorders>
                  <w:noWrap w:val="0"/>
                  <w:vAlign w:val="center"/>
                </w:tcPr>
                <w:p w14:paraId="3EDF5BFF">
                  <w:pPr>
                    <w:snapToGrid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对土壤及地下水影响较小。</w:t>
                  </w:r>
                </w:p>
              </w:tc>
            </w:tr>
          </w:tbl>
          <w:p w14:paraId="6D9875D6">
            <w:pPr>
              <w:autoSpaceDE w:val="0"/>
              <w:adjustRightInd w:val="0"/>
              <w:snapToGrid w:val="0"/>
              <w:spacing w:line="360" w:lineRule="auto"/>
              <w:rPr>
                <w:rFonts w:hint="default" w:ascii="Times New Roman" w:hAnsi="Times New Roman" w:cs="Times New Roman"/>
                <w:color w:val="auto"/>
                <w:sz w:val="24"/>
              </w:rPr>
            </w:pPr>
          </w:p>
          <w:p w14:paraId="7C489698">
            <w:pPr>
              <w:pStyle w:val="18"/>
              <w:rPr>
                <w:rFonts w:hint="default" w:ascii="Times New Roman" w:hAnsi="Times New Roman" w:cs="Times New Roman"/>
                <w:color w:val="auto"/>
              </w:rPr>
            </w:pPr>
          </w:p>
          <w:p w14:paraId="07C64DF7">
            <w:pPr>
              <w:rPr>
                <w:rFonts w:hint="default" w:ascii="Times New Roman" w:hAnsi="Times New Roman" w:cs="Times New Roman"/>
                <w:color w:val="auto"/>
              </w:rPr>
            </w:pPr>
          </w:p>
        </w:tc>
      </w:tr>
    </w:tbl>
    <w:p w14:paraId="1FD640A1">
      <w:pPr>
        <w:adjustRightInd w:val="0"/>
        <w:snapToGrid w:val="0"/>
        <w:spacing w:line="360" w:lineRule="auto"/>
        <w:rPr>
          <w:rFonts w:hint="default" w:ascii="Times New Roman" w:hAnsi="Times New Roman" w:cs="Times New Roman"/>
          <w:b/>
          <w:color w:val="auto"/>
          <w:kern w:val="0"/>
          <w:sz w:val="28"/>
          <w:szCs w:val="28"/>
        </w:rPr>
        <w:sectPr>
          <w:pgSz w:w="11907" w:h="16840"/>
          <w:pgMar w:top="1440" w:right="1803" w:bottom="1440" w:left="1803" w:header="850" w:footer="851" w:gutter="0"/>
          <w:pgBorders>
            <w:top w:val="none" w:sz="0" w:space="0"/>
            <w:left w:val="none" w:sz="0" w:space="0"/>
            <w:bottom w:val="none" w:sz="0" w:space="0"/>
            <w:right w:val="none" w:sz="0" w:space="0"/>
          </w:pgBorders>
          <w:cols w:space="720" w:num="1"/>
          <w:docGrid w:linePitch="312" w:charSpace="0"/>
        </w:sectPr>
      </w:pPr>
    </w:p>
    <w:p w14:paraId="118F17B8">
      <w:pPr>
        <w:pStyle w:val="31"/>
        <w:spacing w:before="0" w:beforeAutospacing="0" w:after="0" w:afterAutospacing="0" w:line="360" w:lineRule="auto"/>
        <w:outlineLvl w:val="0"/>
        <w:rPr>
          <w:rFonts w:hint="default" w:ascii="Times New Roman" w:hAnsi="Times New Roman" w:eastAsia="黑体" w:cs="Times New Roman"/>
          <w:color w:val="auto"/>
          <w:sz w:val="28"/>
          <w:szCs w:val="28"/>
        </w:rPr>
      </w:pPr>
      <w:bookmarkStart w:id="123" w:name="_Toc68870553"/>
      <w:bookmarkStart w:id="124" w:name="_Toc70692552"/>
      <w:bookmarkStart w:id="125" w:name="_Toc30765"/>
      <w:r>
        <w:rPr>
          <w:rFonts w:hint="default" w:ascii="Times New Roman" w:hAnsi="Times New Roman" w:eastAsia="黑体" w:cs="Times New Roman"/>
          <w:color w:val="auto"/>
          <w:sz w:val="28"/>
          <w:szCs w:val="28"/>
        </w:rPr>
        <w:t>五、</w:t>
      </w:r>
      <w:bookmarkStart w:id="126" w:name="_Hlk54167917"/>
      <w:r>
        <w:rPr>
          <w:rFonts w:hint="default" w:ascii="Times New Roman" w:hAnsi="Times New Roman" w:eastAsia="黑体" w:cs="Times New Roman"/>
          <w:color w:val="auto"/>
          <w:sz w:val="28"/>
          <w:szCs w:val="28"/>
        </w:rPr>
        <w:t>环境保护措施监督检查清单</w:t>
      </w:r>
      <w:bookmarkEnd w:id="123"/>
      <w:bookmarkEnd w:id="124"/>
      <w:bookmarkEnd w:id="125"/>
      <w:bookmarkEnd w:id="126"/>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1465"/>
        <w:gridCol w:w="1298"/>
        <w:gridCol w:w="2270"/>
        <w:gridCol w:w="2787"/>
      </w:tblGrid>
      <w:tr w14:paraId="45B4B7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54" w:type="dxa"/>
            <w:tcBorders>
              <w:tl2br w:val="single" w:color="auto" w:sz="4" w:space="0"/>
            </w:tcBorders>
          </w:tcPr>
          <w:p w14:paraId="398DA824">
            <w:pPr>
              <w:adjustRightInd w:val="0"/>
              <w:snapToGrid w:val="0"/>
              <w:spacing w:line="320" w:lineRule="exact"/>
              <w:ind w:firstLine="180" w:firstLineChars="1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内容</w:t>
            </w:r>
          </w:p>
          <w:p w14:paraId="0A782CB2">
            <w:pPr>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要素</w:t>
            </w:r>
          </w:p>
        </w:tc>
        <w:tc>
          <w:tcPr>
            <w:tcW w:w="1465" w:type="dxa"/>
            <w:vAlign w:val="center"/>
          </w:tcPr>
          <w:p w14:paraId="3F57644F">
            <w:pPr>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排放口（编号、名称）/污染源</w:t>
            </w:r>
          </w:p>
        </w:tc>
        <w:tc>
          <w:tcPr>
            <w:tcW w:w="1298" w:type="dxa"/>
            <w:vAlign w:val="center"/>
          </w:tcPr>
          <w:p w14:paraId="16AFF4A8">
            <w:pPr>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污染物项目</w:t>
            </w:r>
          </w:p>
        </w:tc>
        <w:tc>
          <w:tcPr>
            <w:tcW w:w="2270" w:type="dxa"/>
            <w:vAlign w:val="center"/>
          </w:tcPr>
          <w:p w14:paraId="77498F38">
            <w:pPr>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环境保护措施</w:t>
            </w:r>
          </w:p>
        </w:tc>
        <w:tc>
          <w:tcPr>
            <w:tcW w:w="2787" w:type="dxa"/>
            <w:vAlign w:val="center"/>
          </w:tcPr>
          <w:p w14:paraId="5C084E67">
            <w:pPr>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执行标准</w:t>
            </w:r>
          </w:p>
        </w:tc>
      </w:tr>
      <w:tr w14:paraId="613FE7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1054" w:type="dxa"/>
            <w:vAlign w:val="center"/>
          </w:tcPr>
          <w:p w14:paraId="40EC0F01">
            <w:pPr>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大气环境</w:t>
            </w:r>
          </w:p>
        </w:tc>
        <w:tc>
          <w:tcPr>
            <w:tcW w:w="1465" w:type="dxa"/>
            <w:vAlign w:val="center"/>
          </w:tcPr>
          <w:p w14:paraId="3B08827D">
            <w:pPr>
              <w:pStyle w:val="74"/>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生产过程</w:t>
            </w:r>
          </w:p>
        </w:tc>
        <w:tc>
          <w:tcPr>
            <w:tcW w:w="1298" w:type="dxa"/>
            <w:vAlign w:val="center"/>
          </w:tcPr>
          <w:p w14:paraId="5082C92E">
            <w:pPr>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无组织颗粒物</w:t>
            </w:r>
          </w:p>
        </w:tc>
        <w:tc>
          <w:tcPr>
            <w:tcW w:w="2270" w:type="dxa"/>
            <w:vAlign w:val="center"/>
          </w:tcPr>
          <w:p w14:paraId="446CC666">
            <w:pPr>
              <w:pStyle w:val="18"/>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封闭厂房阻隔，注意车间通风，定期清扫。</w:t>
            </w:r>
          </w:p>
        </w:tc>
        <w:tc>
          <w:tcPr>
            <w:tcW w:w="2787" w:type="dxa"/>
            <w:vAlign w:val="center"/>
          </w:tcPr>
          <w:p w14:paraId="1C0404FC">
            <w:pPr>
              <w:pStyle w:val="18"/>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厂界执行《大气污染物综合排放标准》（GB16297-1996）表2中无组织标准限值。</w:t>
            </w:r>
          </w:p>
        </w:tc>
      </w:tr>
      <w:tr w14:paraId="6B8C24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54" w:type="dxa"/>
            <w:vMerge w:val="restart"/>
            <w:vAlign w:val="center"/>
          </w:tcPr>
          <w:p w14:paraId="6B9E1D0F">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地表水环境</w:t>
            </w:r>
          </w:p>
        </w:tc>
        <w:tc>
          <w:tcPr>
            <w:tcW w:w="1465" w:type="dxa"/>
            <w:vAlign w:val="center"/>
          </w:tcPr>
          <w:p w14:paraId="2BCDA7D6">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生产浊循环水</w:t>
            </w:r>
          </w:p>
        </w:tc>
        <w:tc>
          <w:tcPr>
            <w:tcW w:w="1298" w:type="dxa"/>
            <w:vAlign w:val="center"/>
          </w:tcPr>
          <w:p w14:paraId="0BAC7910">
            <w:pPr>
              <w:pStyle w:val="18"/>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石油类、SS</w:t>
            </w:r>
          </w:p>
        </w:tc>
        <w:tc>
          <w:tcPr>
            <w:tcW w:w="2270" w:type="dxa"/>
            <w:vAlign w:val="center"/>
          </w:tcPr>
          <w:p w14:paraId="72AD16C1">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厂区内浊循环废水经1个容积为600m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的浊循环水池处理后循环使用，不外排。</w:t>
            </w:r>
          </w:p>
        </w:tc>
        <w:tc>
          <w:tcPr>
            <w:tcW w:w="2787" w:type="dxa"/>
            <w:vAlign w:val="center"/>
          </w:tcPr>
          <w:p w14:paraId="754ECFF0">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不外排</w:t>
            </w:r>
          </w:p>
        </w:tc>
      </w:tr>
      <w:tr w14:paraId="0D12CA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54" w:type="dxa"/>
            <w:vMerge w:val="continue"/>
            <w:vAlign w:val="center"/>
          </w:tcPr>
          <w:p w14:paraId="7A6899E7">
            <w:pPr>
              <w:pStyle w:val="18"/>
              <w:adjustRightInd w:val="0"/>
              <w:snapToGrid w:val="0"/>
              <w:spacing w:line="320" w:lineRule="exact"/>
              <w:rPr>
                <w:rFonts w:hint="default" w:ascii="Times New Roman" w:hAnsi="Times New Roman" w:cs="Times New Roman"/>
                <w:color w:val="auto"/>
                <w:sz w:val="18"/>
                <w:szCs w:val="18"/>
              </w:rPr>
            </w:pPr>
          </w:p>
        </w:tc>
        <w:tc>
          <w:tcPr>
            <w:tcW w:w="1465" w:type="dxa"/>
            <w:vAlign w:val="center"/>
          </w:tcPr>
          <w:p w14:paraId="19E519A6">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生活污水</w:t>
            </w:r>
          </w:p>
        </w:tc>
        <w:tc>
          <w:tcPr>
            <w:tcW w:w="1298" w:type="dxa"/>
            <w:vAlign w:val="center"/>
          </w:tcPr>
          <w:p w14:paraId="0515A9FC">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SS、COD、NH</w:t>
            </w:r>
            <w:r>
              <w:rPr>
                <w:rFonts w:hint="default" w:ascii="Times New Roman" w:hAnsi="Times New Roman" w:cs="Times New Roman"/>
                <w:color w:val="auto"/>
                <w:sz w:val="18"/>
                <w:szCs w:val="18"/>
                <w:vertAlign w:val="subscript"/>
              </w:rPr>
              <w:t>3</w:t>
            </w:r>
            <w:r>
              <w:rPr>
                <w:rFonts w:hint="default" w:ascii="Times New Roman" w:hAnsi="Times New Roman" w:cs="Times New Roman"/>
                <w:color w:val="auto"/>
                <w:sz w:val="18"/>
                <w:szCs w:val="18"/>
              </w:rPr>
              <w:t>-N、TP</w:t>
            </w:r>
          </w:p>
        </w:tc>
        <w:tc>
          <w:tcPr>
            <w:tcW w:w="2270" w:type="dxa"/>
            <w:vAlign w:val="center"/>
          </w:tcPr>
          <w:p w14:paraId="2B26D043">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经现有化粪池（10m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）、本次新建的化粪池（6m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）预处理后，排污园区的污水管网。</w:t>
            </w:r>
          </w:p>
        </w:tc>
        <w:tc>
          <w:tcPr>
            <w:tcW w:w="2787" w:type="dxa"/>
            <w:vAlign w:val="center"/>
          </w:tcPr>
          <w:p w14:paraId="0B105829">
            <w:pPr>
              <w:pStyle w:val="18"/>
              <w:adjustRightInd w:val="0"/>
              <w:snapToGrid w:val="0"/>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《污水综合排放标准》（GB8978-1996）（表4）三级标准及《污水排入城镇下水道水质标准》（GB/T31962-2015）表1B等级标准</w:t>
            </w:r>
            <w:r>
              <w:rPr>
                <w:rFonts w:hint="default" w:ascii="Times New Roman" w:hAnsi="Times New Roman" w:cs="Times New Roman"/>
                <w:color w:val="auto"/>
                <w:sz w:val="18"/>
                <w:szCs w:val="18"/>
                <w:lang w:eastAsia="zh-CN"/>
              </w:rPr>
              <w:t>。</w:t>
            </w:r>
          </w:p>
        </w:tc>
      </w:tr>
      <w:tr w14:paraId="3C0532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2" w:hRule="atLeast"/>
          <w:jc w:val="center"/>
        </w:trPr>
        <w:tc>
          <w:tcPr>
            <w:tcW w:w="1054" w:type="dxa"/>
            <w:vAlign w:val="center"/>
          </w:tcPr>
          <w:p w14:paraId="24F907E3">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声环境</w:t>
            </w:r>
          </w:p>
        </w:tc>
        <w:tc>
          <w:tcPr>
            <w:tcW w:w="1465" w:type="dxa"/>
            <w:vAlign w:val="center"/>
          </w:tcPr>
          <w:p w14:paraId="00B044AB">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液压剪、感应加热炉、穿孔机、3辊精密减定径机、链式冷床、9辊无缝管专用校直机、切头去尾带锯、水泵、永磁变频空压机</w:t>
            </w:r>
          </w:p>
        </w:tc>
        <w:tc>
          <w:tcPr>
            <w:tcW w:w="1298" w:type="dxa"/>
            <w:vAlign w:val="center"/>
          </w:tcPr>
          <w:p w14:paraId="05470641">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Leq</w:t>
            </w:r>
          </w:p>
          <w:p w14:paraId="10C78C96">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(dB（A））</w:t>
            </w:r>
          </w:p>
        </w:tc>
        <w:tc>
          <w:tcPr>
            <w:tcW w:w="2270" w:type="dxa"/>
            <w:vAlign w:val="center"/>
          </w:tcPr>
          <w:p w14:paraId="52691278">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选用优质低噪设备，运行时会产生振动的设备安装振幅度小的防振设施；对水泵及电机出、入口弯头安装在同一个混凝土惯性基座上，进行消声和减振，主体设备基础减振、厂房进行隔声。</w:t>
            </w:r>
          </w:p>
        </w:tc>
        <w:tc>
          <w:tcPr>
            <w:tcW w:w="2787" w:type="dxa"/>
            <w:vAlign w:val="center"/>
          </w:tcPr>
          <w:p w14:paraId="23F6541A">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厂界东、南、西满足《工业企业厂界环境噪声排放标准》（GB12348-2008）3类标准限值，北满足《工业企业厂界环境噪声排放标准》（GB12348-2008）4类标准限值</w:t>
            </w:r>
          </w:p>
        </w:tc>
      </w:tr>
      <w:tr w14:paraId="7F2E93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54" w:type="dxa"/>
            <w:vMerge w:val="restart"/>
            <w:vAlign w:val="center"/>
          </w:tcPr>
          <w:p w14:paraId="2E721608">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固体废物</w:t>
            </w:r>
          </w:p>
        </w:tc>
        <w:tc>
          <w:tcPr>
            <w:tcW w:w="1465" w:type="dxa"/>
            <w:vAlign w:val="center"/>
          </w:tcPr>
          <w:p w14:paraId="69C40892">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边角料及不合格产品</w:t>
            </w:r>
          </w:p>
        </w:tc>
        <w:tc>
          <w:tcPr>
            <w:tcW w:w="3568" w:type="dxa"/>
            <w:gridSpan w:val="2"/>
            <w:vAlign w:val="center"/>
          </w:tcPr>
          <w:p w14:paraId="2089B6D0">
            <w:pPr>
              <w:pStyle w:val="18"/>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经收集后外售作为生产原料。</w:t>
            </w:r>
          </w:p>
        </w:tc>
        <w:tc>
          <w:tcPr>
            <w:tcW w:w="2787" w:type="dxa"/>
            <w:vMerge w:val="restart"/>
            <w:vAlign w:val="center"/>
          </w:tcPr>
          <w:p w14:paraId="5E370102">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处置率100%</w:t>
            </w:r>
          </w:p>
        </w:tc>
      </w:tr>
      <w:tr w14:paraId="7CE046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54" w:type="dxa"/>
            <w:vMerge w:val="continue"/>
            <w:vAlign w:val="center"/>
          </w:tcPr>
          <w:p w14:paraId="38DB87EE">
            <w:pPr>
              <w:pStyle w:val="18"/>
              <w:adjustRightInd w:val="0"/>
              <w:snapToGrid w:val="0"/>
              <w:spacing w:line="320" w:lineRule="exact"/>
              <w:jc w:val="center"/>
              <w:rPr>
                <w:rFonts w:hint="default" w:ascii="Times New Roman" w:hAnsi="Times New Roman" w:cs="Times New Roman"/>
                <w:color w:val="auto"/>
                <w:sz w:val="18"/>
                <w:szCs w:val="18"/>
              </w:rPr>
            </w:pPr>
          </w:p>
        </w:tc>
        <w:tc>
          <w:tcPr>
            <w:tcW w:w="1465" w:type="dxa"/>
            <w:vAlign w:val="center"/>
          </w:tcPr>
          <w:p w14:paraId="58FA97B1">
            <w:pPr>
              <w:pStyle w:val="18"/>
              <w:adjustRightInd w:val="0"/>
              <w:snapToGrid w:val="0"/>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氧化铁皮</w:t>
            </w:r>
          </w:p>
        </w:tc>
        <w:tc>
          <w:tcPr>
            <w:tcW w:w="3568" w:type="dxa"/>
            <w:gridSpan w:val="2"/>
            <w:vAlign w:val="center"/>
          </w:tcPr>
          <w:p w14:paraId="209A402A">
            <w:pPr>
              <w:pStyle w:val="18"/>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经收集后外售作为生产原料。</w:t>
            </w:r>
          </w:p>
        </w:tc>
        <w:tc>
          <w:tcPr>
            <w:tcW w:w="2787" w:type="dxa"/>
            <w:vMerge w:val="continue"/>
            <w:vAlign w:val="center"/>
          </w:tcPr>
          <w:p w14:paraId="589C3D15">
            <w:pPr>
              <w:pStyle w:val="18"/>
              <w:adjustRightInd w:val="0"/>
              <w:snapToGrid w:val="0"/>
              <w:spacing w:line="320" w:lineRule="exact"/>
              <w:jc w:val="center"/>
              <w:rPr>
                <w:rFonts w:hint="default" w:ascii="Times New Roman" w:hAnsi="Times New Roman" w:cs="Times New Roman"/>
                <w:color w:val="auto"/>
                <w:sz w:val="18"/>
                <w:szCs w:val="18"/>
              </w:rPr>
            </w:pPr>
          </w:p>
        </w:tc>
      </w:tr>
      <w:tr w14:paraId="1D3DB5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54" w:type="dxa"/>
            <w:vMerge w:val="continue"/>
            <w:vAlign w:val="center"/>
          </w:tcPr>
          <w:p w14:paraId="430980E4">
            <w:pPr>
              <w:pStyle w:val="18"/>
              <w:adjustRightInd w:val="0"/>
              <w:snapToGrid w:val="0"/>
              <w:spacing w:line="320" w:lineRule="exact"/>
              <w:rPr>
                <w:rFonts w:hint="default" w:ascii="Times New Roman" w:hAnsi="Times New Roman" w:cs="Times New Roman"/>
                <w:color w:val="auto"/>
                <w:sz w:val="18"/>
                <w:szCs w:val="18"/>
              </w:rPr>
            </w:pPr>
          </w:p>
        </w:tc>
        <w:tc>
          <w:tcPr>
            <w:tcW w:w="1465" w:type="dxa"/>
            <w:vAlign w:val="center"/>
          </w:tcPr>
          <w:p w14:paraId="5EA270E2">
            <w:pPr>
              <w:pStyle w:val="18"/>
              <w:adjustRightInd w:val="0"/>
              <w:snapToGrid w:val="0"/>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生活垃圾</w:t>
            </w:r>
          </w:p>
        </w:tc>
        <w:tc>
          <w:tcPr>
            <w:tcW w:w="3568" w:type="dxa"/>
            <w:gridSpan w:val="2"/>
            <w:vAlign w:val="center"/>
          </w:tcPr>
          <w:p w14:paraId="18D187F0">
            <w:pPr>
              <w:pStyle w:val="18"/>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收集后</w:t>
            </w:r>
            <w:r>
              <w:rPr>
                <w:rFonts w:hint="default" w:ascii="Times New Roman" w:hAnsi="Times New Roman" w:cs="Times New Roman"/>
                <w:color w:val="auto"/>
                <w:sz w:val="18"/>
                <w:szCs w:val="18"/>
                <w:lang w:val="en-US" w:eastAsia="zh-CN"/>
              </w:rPr>
              <w:t>与现有</w:t>
            </w:r>
            <w:r>
              <w:rPr>
                <w:rFonts w:hint="default" w:ascii="Times New Roman" w:hAnsi="Times New Roman" w:cs="Times New Roman"/>
                <w:color w:val="auto"/>
                <w:sz w:val="18"/>
                <w:szCs w:val="18"/>
              </w:rPr>
              <w:t>生活垃圾一起委托环卫部门清运处置。</w:t>
            </w:r>
          </w:p>
        </w:tc>
        <w:tc>
          <w:tcPr>
            <w:tcW w:w="2787" w:type="dxa"/>
            <w:vMerge w:val="continue"/>
            <w:vAlign w:val="center"/>
          </w:tcPr>
          <w:p w14:paraId="3958C300">
            <w:pPr>
              <w:pStyle w:val="18"/>
              <w:adjustRightInd w:val="0"/>
              <w:snapToGrid w:val="0"/>
              <w:spacing w:line="320" w:lineRule="exact"/>
              <w:jc w:val="center"/>
              <w:rPr>
                <w:rFonts w:hint="default" w:ascii="Times New Roman" w:hAnsi="Times New Roman" w:cs="Times New Roman"/>
                <w:color w:val="auto"/>
                <w:sz w:val="18"/>
                <w:szCs w:val="18"/>
              </w:rPr>
            </w:pPr>
          </w:p>
        </w:tc>
      </w:tr>
      <w:tr w14:paraId="46D681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54" w:type="dxa"/>
            <w:vMerge w:val="continue"/>
            <w:vAlign w:val="center"/>
          </w:tcPr>
          <w:p w14:paraId="636551E3">
            <w:pPr>
              <w:pStyle w:val="18"/>
              <w:adjustRightInd w:val="0"/>
              <w:snapToGrid w:val="0"/>
              <w:spacing w:line="320" w:lineRule="exact"/>
              <w:rPr>
                <w:rFonts w:hint="default" w:ascii="Times New Roman" w:hAnsi="Times New Roman" w:cs="Times New Roman"/>
                <w:color w:val="auto"/>
                <w:sz w:val="18"/>
                <w:szCs w:val="18"/>
              </w:rPr>
            </w:pPr>
          </w:p>
        </w:tc>
        <w:tc>
          <w:tcPr>
            <w:tcW w:w="1465" w:type="dxa"/>
            <w:vAlign w:val="center"/>
          </w:tcPr>
          <w:p w14:paraId="41035C03">
            <w:pPr>
              <w:pStyle w:val="18"/>
              <w:adjustRightInd w:val="0"/>
              <w:snapToGrid w:val="0"/>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化粪池污泥</w:t>
            </w:r>
          </w:p>
        </w:tc>
        <w:tc>
          <w:tcPr>
            <w:tcW w:w="3568" w:type="dxa"/>
            <w:gridSpan w:val="2"/>
            <w:vAlign w:val="center"/>
          </w:tcPr>
          <w:p w14:paraId="38EDC42B">
            <w:pPr>
              <w:pStyle w:val="18"/>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委托环卫部门采用吸粪车运走。</w:t>
            </w:r>
          </w:p>
        </w:tc>
        <w:tc>
          <w:tcPr>
            <w:tcW w:w="2787" w:type="dxa"/>
            <w:vMerge w:val="continue"/>
            <w:vAlign w:val="center"/>
          </w:tcPr>
          <w:p w14:paraId="148B80BD">
            <w:pPr>
              <w:pStyle w:val="18"/>
              <w:adjustRightInd w:val="0"/>
              <w:snapToGrid w:val="0"/>
              <w:spacing w:line="320" w:lineRule="exact"/>
              <w:jc w:val="center"/>
              <w:rPr>
                <w:rFonts w:hint="default" w:ascii="Times New Roman" w:hAnsi="Times New Roman" w:cs="Times New Roman"/>
                <w:color w:val="auto"/>
                <w:sz w:val="18"/>
                <w:szCs w:val="18"/>
              </w:rPr>
            </w:pPr>
          </w:p>
        </w:tc>
      </w:tr>
      <w:tr w14:paraId="13BA20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54" w:type="dxa"/>
            <w:vMerge w:val="continue"/>
            <w:vAlign w:val="center"/>
          </w:tcPr>
          <w:p w14:paraId="26FCF00C">
            <w:pPr>
              <w:pStyle w:val="18"/>
              <w:adjustRightInd w:val="0"/>
              <w:snapToGrid w:val="0"/>
              <w:spacing w:line="320" w:lineRule="exact"/>
              <w:rPr>
                <w:rFonts w:hint="default" w:ascii="Times New Roman" w:hAnsi="Times New Roman" w:cs="Times New Roman"/>
                <w:color w:val="auto"/>
                <w:sz w:val="18"/>
                <w:szCs w:val="18"/>
              </w:rPr>
            </w:pPr>
          </w:p>
        </w:tc>
        <w:tc>
          <w:tcPr>
            <w:tcW w:w="1465" w:type="dxa"/>
            <w:vAlign w:val="center"/>
          </w:tcPr>
          <w:p w14:paraId="11CB3362">
            <w:pPr>
              <w:pStyle w:val="18"/>
              <w:adjustRightInd w:val="0"/>
              <w:snapToGrid w:val="0"/>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废弃含油抹布和劳保用品</w:t>
            </w:r>
          </w:p>
        </w:tc>
        <w:tc>
          <w:tcPr>
            <w:tcW w:w="3568" w:type="dxa"/>
            <w:gridSpan w:val="2"/>
            <w:vAlign w:val="center"/>
          </w:tcPr>
          <w:p w14:paraId="77F58AC7">
            <w:pPr>
              <w:pStyle w:val="18"/>
              <w:adjustRightInd w:val="0"/>
              <w:snapToGrid w:val="0"/>
              <w:spacing w:line="320" w:lineRule="exact"/>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分类收集，暂存于危险废物贮存库内，定期委托有资质的单位处置。</w:t>
            </w:r>
          </w:p>
        </w:tc>
        <w:tc>
          <w:tcPr>
            <w:tcW w:w="2787" w:type="dxa"/>
            <w:vAlign w:val="center"/>
          </w:tcPr>
          <w:p w14:paraId="6C928AC8">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处置率100%</w:t>
            </w:r>
          </w:p>
        </w:tc>
      </w:tr>
      <w:tr w14:paraId="71B11D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54" w:type="dxa"/>
            <w:vMerge w:val="continue"/>
            <w:vAlign w:val="center"/>
          </w:tcPr>
          <w:p w14:paraId="593CCDC6">
            <w:pPr>
              <w:pStyle w:val="18"/>
              <w:adjustRightInd w:val="0"/>
              <w:snapToGrid w:val="0"/>
              <w:spacing w:line="320" w:lineRule="exact"/>
              <w:rPr>
                <w:rFonts w:hint="default" w:ascii="Times New Roman" w:hAnsi="Times New Roman" w:cs="Times New Roman"/>
                <w:color w:val="auto"/>
                <w:sz w:val="18"/>
                <w:szCs w:val="18"/>
              </w:rPr>
            </w:pPr>
          </w:p>
        </w:tc>
        <w:tc>
          <w:tcPr>
            <w:tcW w:w="1465" w:type="dxa"/>
            <w:vAlign w:val="center"/>
          </w:tcPr>
          <w:p w14:paraId="06CE3C5B">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废机油</w:t>
            </w:r>
          </w:p>
        </w:tc>
        <w:tc>
          <w:tcPr>
            <w:tcW w:w="3568" w:type="dxa"/>
            <w:gridSpan w:val="2"/>
            <w:vAlign w:val="center"/>
          </w:tcPr>
          <w:p w14:paraId="30EE254F">
            <w:pPr>
              <w:pStyle w:val="18"/>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经过收集后暂存于现有危险废物贮存库（5m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）进行分区暂存，然后返回对设备进行润滑使用，在厂区内自行利用。</w:t>
            </w:r>
          </w:p>
        </w:tc>
        <w:tc>
          <w:tcPr>
            <w:tcW w:w="2787" w:type="dxa"/>
            <w:vAlign w:val="center"/>
          </w:tcPr>
          <w:p w14:paraId="3B1A0EA8">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处置率100%</w:t>
            </w:r>
          </w:p>
        </w:tc>
      </w:tr>
      <w:tr w14:paraId="6C3198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054" w:type="dxa"/>
            <w:vAlign w:val="center"/>
          </w:tcPr>
          <w:p w14:paraId="32C187C8">
            <w:pPr>
              <w:pStyle w:val="18"/>
              <w:adjustRightInd w:val="0"/>
              <w:snapToGrid w:val="0"/>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pacing w:val="-8"/>
                <w:sz w:val="18"/>
                <w:szCs w:val="18"/>
              </w:rPr>
              <w:t>土壤及地下水污染防治措施</w:t>
            </w:r>
          </w:p>
        </w:tc>
        <w:tc>
          <w:tcPr>
            <w:tcW w:w="7820" w:type="dxa"/>
            <w:gridSpan w:val="4"/>
            <w:vAlign w:val="center"/>
          </w:tcPr>
          <w:p w14:paraId="3D64A471">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重点防渗区：危险废物贮存库依托现有，根据调查，其现状防渗措施为地面采用1.5m厚黏土层+人工防渗膜（渗透系数≤10</w:t>
            </w:r>
            <w:r>
              <w:rPr>
                <w:rFonts w:hint="default" w:ascii="Times New Roman" w:hAnsi="Times New Roman" w:cs="Times New Roman"/>
                <w:color w:val="auto"/>
                <w:sz w:val="18"/>
                <w:szCs w:val="18"/>
                <w:vertAlign w:val="superscript"/>
              </w:rPr>
              <w:t>-10</w:t>
            </w:r>
            <w:r>
              <w:rPr>
                <w:rFonts w:hint="default" w:ascii="Times New Roman" w:hAnsi="Times New Roman" w:cs="Times New Roman"/>
                <w:color w:val="auto"/>
                <w:sz w:val="18"/>
                <w:szCs w:val="18"/>
              </w:rPr>
              <w:t>cm/s）+抗渗砼+环氧乙烯基酯树脂，内墙面四周2m以下采用1.5mm厚的水泥基渗透结晶型防水涂料涂抹，满足《危险废物贮存污染控制标准》（GB18597-2023）中渗透系数≤1×10</w:t>
            </w:r>
            <w:r>
              <w:rPr>
                <w:rFonts w:hint="default" w:ascii="Times New Roman" w:hAnsi="Times New Roman" w:cs="Times New Roman"/>
                <w:color w:val="auto"/>
                <w:sz w:val="18"/>
                <w:szCs w:val="18"/>
                <w:vertAlign w:val="superscript"/>
              </w:rPr>
              <w:t>-10</w:t>
            </w:r>
            <w:r>
              <w:rPr>
                <w:rFonts w:hint="default" w:ascii="Times New Roman" w:hAnsi="Times New Roman" w:cs="Times New Roman"/>
                <w:color w:val="auto"/>
                <w:sz w:val="18"/>
                <w:szCs w:val="18"/>
              </w:rPr>
              <w:t>cm/s要求。</w:t>
            </w:r>
          </w:p>
          <w:p w14:paraId="03B7F5BE">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一般防渗区：化粪池（10m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）、初期雨水收集池、无缝钢管车间、成品库依托现有，根据调查，其已采用厚度15cm的C20混凝土浇注作为防渗漏措施，防渗满足《环境影响评价技术导则  地下水环境》（HJ610-2016）中一般防渗区等效黏土防渗层Mb≥1.5m，K≤1×10</w:t>
            </w:r>
            <w:r>
              <w:rPr>
                <w:rFonts w:hint="default" w:ascii="Times New Roman" w:hAnsi="Times New Roman" w:cs="Times New Roman"/>
                <w:color w:val="auto"/>
                <w:sz w:val="18"/>
                <w:szCs w:val="18"/>
                <w:vertAlign w:val="superscript"/>
              </w:rPr>
              <w:t>-7</w:t>
            </w:r>
            <w:r>
              <w:rPr>
                <w:rFonts w:hint="default" w:ascii="Times New Roman" w:hAnsi="Times New Roman" w:cs="Times New Roman"/>
                <w:color w:val="auto"/>
                <w:sz w:val="18"/>
                <w:szCs w:val="18"/>
              </w:rPr>
              <w:t>cm/s的防渗能力要求。</w:t>
            </w:r>
          </w:p>
          <w:p w14:paraId="01B5FF75">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化粪池（6m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）、循环水池为本次新建，要求严格按照《环境影响评价技术导则  地下水环境》（HJ610-2016）中的一般防渗区要求进行防渗，确保防渗效果等效于厚度≥1.5m，渗透系数≤1×10</w:t>
            </w:r>
            <w:r>
              <w:rPr>
                <w:rFonts w:hint="default" w:ascii="Times New Roman" w:hAnsi="Times New Roman" w:cs="Times New Roman"/>
                <w:color w:val="auto"/>
                <w:sz w:val="18"/>
                <w:szCs w:val="18"/>
                <w:vertAlign w:val="superscript"/>
              </w:rPr>
              <w:t>-7</w:t>
            </w:r>
            <w:r>
              <w:rPr>
                <w:rFonts w:hint="default" w:ascii="Times New Roman" w:hAnsi="Times New Roman" w:cs="Times New Roman"/>
                <w:color w:val="auto"/>
                <w:sz w:val="18"/>
                <w:szCs w:val="18"/>
              </w:rPr>
              <w:t>cm/s）的黏土防渗效能。</w:t>
            </w:r>
          </w:p>
          <w:p w14:paraId="6AF7764B">
            <w:pPr>
              <w:pStyle w:val="18"/>
              <w:adjustRightInd w:val="0"/>
              <w:snapToGrid w:val="0"/>
              <w:spacing w:line="320" w:lineRule="exact"/>
              <w:ind w:firstLine="360" w:firstLineChars="200"/>
              <w:rPr>
                <w:rFonts w:hint="default" w:ascii="Times New Roman" w:hAnsi="Times New Roman" w:cs="Times New Roman"/>
                <w:color w:val="auto"/>
              </w:rPr>
            </w:pPr>
            <w:r>
              <w:rPr>
                <w:rFonts w:hint="default" w:ascii="Times New Roman" w:hAnsi="Times New Roman" w:cs="Times New Roman"/>
                <w:color w:val="auto"/>
                <w:sz w:val="18"/>
                <w:szCs w:val="18"/>
              </w:rPr>
              <w:t>简单防渗区：办公区、磅房、道路、大门值班室依托现有，已采用一般水泥硬化处理。</w:t>
            </w:r>
          </w:p>
        </w:tc>
      </w:tr>
      <w:tr w14:paraId="28F416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54" w:type="dxa"/>
            <w:vAlign w:val="center"/>
          </w:tcPr>
          <w:p w14:paraId="45A12279">
            <w:pPr>
              <w:adjustRightInd w:val="0"/>
              <w:snapToGrid w:val="0"/>
              <w:spacing w:line="320" w:lineRule="exact"/>
              <w:jc w:val="center"/>
              <w:rPr>
                <w:rFonts w:hint="default" w:ascii="Times New Roman" w:hAnsi="Times New Roman" w:cs="Times New Roman"/>
                <w:color w:val="auto"/>
                <w:spacing w:val="-8"/>
                <w:sz w:val="18"/>
                <w:szCs w:val="18"/>
              </w:rPr>
            </w:pPr>
            <w:r>
              <w:rPr>
                <w:rFonts w:hint="default" w:ascii="Times New Roman" w:hAnsi="Times New Roman" w:cs="Times New Roman"/>
                <w:color w:val="auto"/>
                <w:spacing w:val="-8"/>
                <w:sz w:val="18"/>
                <w:szCs w:val="18"/>
              </w:rPr>
              <w:t>环境风险防范措施</w:t>
            </w:r>
          </w:p>
        </w:tc>
        <w:tc>
          <w:tcPr>
            <w:tcW w:w="7820" w:type="dxa"/>
            <w:gridSpan w:val="4"/>
            <w:vAlign w:val="center"/>
          </w:tcPr>
          <w:p w14:paraId="638F1D93">
            <w:pPr>
              <w:pStyle w:val="18"/>
              <w:adjustRightInd w:val="0"/>
              <w:snapToGrid w:val="0"/>
              <w:spacing w:line="320" w:lineRule="exact"/>
              <w:ind w:firstLine="361" w:firstLineChars="200"/>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（1）环境风险管理</w:t>
            </w:r>
          </w:p>
          <w:p w14:paraId="046E6D05">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项目建成运行后，建设单位应及时修编《突发事故环境风险应急预案》报送生态环境主管部门进行备案，并配备相应的风险应急物资。</w:t>
            </w:r>
          </w:p>
          <w:p w14:paraId="1B58F96A">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②危险废物在厂区使用专用容器，并将收集容器贴上标签，存储于项目危险废物贮存库内，委托有资质的单位处理。危险废物贮存库必须派专人进行管理，并严格执行危险废物贮存库的管理制度，降低管理产生的风险。</w:t>
            </w:r>
          </w:p>
          <w:p w14:paraId="3F650B82">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③加强职工安全环保教育，防止和减少因人为因素造成的事故，同时也要加强防火安全教育。</w:t>
            </w:r>
          </w:p>
          <w:p w14:paraId="22775651">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④应配备足够的消防设施，落实安全管理责任。</w:t>
            </w:r>
          </w:p>
          <w:p w14:paraId="57371DF7">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⑤强化设备检修，减少因设备损坏、老化带来的遗漏。</w:t>
            </w:r>
          </w:p>
          <w:p w14:paraId="788583F0">
            <w:pPr>
              <w:pStyle w:val="18"/>
              <w:adjustRightInd w:val="0"/>
              <w:snapToGrid w:val="0"/>
              <w:spacing w:line="320" w:lineRule="exact"/>
              <w:ind w:firstLine="361" w:firstLineChars="200"/>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（2）环境风险防范措施</w:t>
            </w:r>
          </w:p>
          <w:p w14:paraId="51B45A24">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①废机油必须按规定设置警示标志，分类管理，分类存放；配备必要的危险品事故防范和应急技术装备。</w:t>
            </w:r>
          </w:p>
          <w:p w14:paraId="0EF2FD49">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②根据消防部门的要求配置消防设施。</w:t>
            </w:r>
          </w:p>
          <w:p w14:paraId="1AEB83B5">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③加强工作人员危险品贮存、使用危险品事故防范和应急技术装备的常识，明确各岗位的职责，实行事故防范岗位责任制。</w:t>
            </w:r>
          </w:p>
          <w:p w14:paraId="58287458">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④严格按贮存要求设计，严格按照《建筑设计防火规范》（GB50016-2014）等标准规范执行。</w:t>
            </w:r>
          </w:p>
          <w:p w14:paraId="230439A6">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⑤贮存危险化学品仓库管理人员，必须经过专业知识培训，持证上岗，同时配备有关的个人防护用品。</w:t>
            </w:r>
          </w:p>
          <w:p w14:paraId="74245B6F">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⑥盛装废机油容器上必须贴相应的危险废物标志。危险废物贮存设施都必须按环境保护图形《固体废物贮存（处置）场》（GB15562.2-1995）的规定设置警示标志。</w:t>
            </w:r>
          </w:p>
          <w:p w14:paraId="31D4B221">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⑦生产车间、场所的消防设施、用电设施、防雷防静电设施等必须符合国家规定的安全要求。危险废物场所必须有专人24小时看管或者安装24小时监控系统。</w:t>
            </w:r>
          </w:p>
          <w:p w14:paraId="47C258C1">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⑧设置危险固废管理台账，如实记载废机油的来源、数量、特性、包装容器类别、入库日期、存放库位。贮存期间，定期对存储容器进行检查，及时更换破损容器。</w:t>
            </w:r>
          </w:p>
          <w:p w14:paraId="05D3C9DF">
            <w:pPr>
              <w:pStyle w:val="18"/>
              <w:adjustRightInd w:val="0"/>
              <w:snapToGrid w:val="0"/>
              <w:spacing w:line="32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⑨仓库内配备足够数量的消防设备、干粉灭火器等。库房内使用冷光灯、防爆灯具。</w:t>
            </w:r>
          </w:p>
        </w:tc>
      </w:tr>
      <w:tr w14:paraId="6DE85D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5" w:hRule="atLeast"/>
          <w:jc w:val="center"/>
        </w:trPr>
        <w:tc>
          <w:tcPr>
            <w:tcW w:w="1054" w:type="dxa"/>
            <w:vAlign w:val="center"/>
          </w:tcPr>
          <w:p w14:paraId="37199A11">
            <w:pPr>
              <w:adjustRightInd w:val="0"/>
              <w:snapToGrid w:val="0"/>
              <w:spacing w:line="320" w:lineRule="exact"/>
              <w:jc w:val="center"/>
              <w:rPr>
                <w:rFonts w:hint="default" w:ascii="Times New Roman" w:hAnsi="Times New Roman" w:cs="Times New Roman"/>
                <w:color w:val="auto"/>
                <w:sz w:val="18"/>
                <w:szCs w:val="18"/>
                <w:highlight w:val="yellow"/>
              </w:rPr>
            </w:pPr>
            <w:r>
              <w:rPr>
                <w:rFonts w:hint="default" w:ascii="Times New Roman" w:hAnsi="Times New Roman" w:cs="Times New Roman"/>
                <w:color w:val="auto"/>
                <w:sz w:val="18"/>
                <w:szCs w:val="18"/>
              </w:rPr>
              <w:t>其他环境管理要求</w:t>
            </w:r>
          </w:p>
        </w:tc>
        <w:tc>
          <w:tcPr>
            <w:tcW w:w="7820" w:type="dxa"/>
            <w:gridSpan w:val="4"/>
            <w:vAlign w:val="center"/>
          </w:tcPr>
          <w:p w14:paraId="6C38619A">
            <w:pPr>
              <w:pStyle w:val="18"/>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（1）加强生产各循环水池和管道运行维护管理，严禁废水跑冒滴漏；保证正常运行。</w:t>
            </w:r>
          </w:p>
          <w:p w14:paraId="4A055292">
            <w:pPr>
              <w:pStyle w:val="18"/>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根据《建设项目竣工环境保护验收暂行办法》，本工程所有环保设施均应与主体工程“三同时”，工程完工后建设单位应当如实查验、监测、记载建设项目环境保护设施的建设和调试情况，可自行编制或委托有能力的技术机构编制竣工环境保护验收监测报告，并组织自主竣工环境保护验收，验收期限一般不超过3个月；需要对环境保护设施进行调试或者整改的，验收期限可以适当延期，但最长不超过12个月，验收合格后方可正式投入生产。</w:t>
            </w:r>
          </w:p>
          <w:p w14:paraId="493D8E2B">
            <w:pPr>
              <w:pStyle w:val="18"/>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（3）通海南方钢铁有限公司于2023年4月19日取得玉溪市生态环境局核发的排污许可证（证书编号为：915304236736246431001P）。</w:t>
            </w:r>
            <w:bookmarkStart w:id="127" w:name="_Hlk220340932"/>
            <w:r>
              <w:rPr>
                <w:rFonts w:hint="default" w:ascii="Times New Roman" w:hAnsi="Times New Roman" w:cs="Times New Roman"/>
                <w:color w:val="auto"/>
                <w:sz w:val="18"/>
                <w:szCs w:val="18"/>
              </w:rPr>
              <w:t>根据《固定污染源排污许可分类管理名录（2019年版）》，本项目在取得环评批复后，应当在启动生产设施或者发生实际排污之前向玉溪市生态环境局申请变更排污许可证。</w:t>
            </w:r>
          </w:p>
          <w:bookmarkEnd w:id="127"/>
          <w:p w14:paraId="5983ED5F">
            <w:pPr>
              <w:pStyle w:val="18"/>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（4）加强对职工的环境保护意识培训，制定严格的环保规章制度，并认真贯彻落实；</w:t>
            </w:r>
          </w:p>
          <w:p w14:paraId="43CEC1AA">
            <w:pPr>
              <w:pStyle w:val="18"/>
              <w:adjustRightInd w:val="0"/>
              <w:snapToGrid w:val="0"/>
              <w:spacing w:line="32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（5）全厂要制定环境保护及安全管理制度，制定各岗位的安全操作规程，对员工定期培训。</w:t>
            </w:r>
          </w:p>
          <w:p w14:paraId="03D0C4F9">
            <w:pPr>
              <w:rPr>
                <w:rFonts w:hint="default" w:ascii="Times New Roman" w:hAnsi="Times New Roman" w:cs="Times New Roman"/>
                <w:color w:val="auto"/>
              </w:rPr>
            </w:pPr>
          </w:p>
        </w:tc>
      </w:tr>
    </w:tbl>
    <w:p w14:paraId="0651B07F">
      <w:pPr>
        <w:pStyle w:val="31"/>
        <w:spacing w:before="0" w:beforeAutospacing="0" w:after="0" w:afterAutospacing="0" w:line="360" w:lineRule="auto"/>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bookmarkStart w:id="128" w:name="_Toc70692553"/>
      <w:bookmarkStart w:id="129" w:name="_Toc68870554"/>
      <w:bookmarkStart w:id="130" w:name="_Toc602"/>
      <w:r>
        <w:rPr>
          <w:rFonts w:hint="default" w:ascii="Times New Roman" w:hAnsi="Times New Roman" w:eastAsia="黑体" w:cs="Times New Roman"/>
          <w:color w:val="auto"/>
          <w:sz w:val="28"/>
          <w:szCs w:val="28"/>
        </w:rPr>
        <w:t>六、结论</w:t>
      </w:r>
      <w:bookmarkEnd w:id="128"/>
      <w:bookmarkEnd w:id="129"/>
      <w:bookmarkEnd w:id="130"/>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533CE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13" w:hRule="atLeast"/>
          <w:jc w:val="center"/>
        </w:trPr>
        <w:tc>
          <w:tcPr>
            <w:tcW w:w="8865" w:type="dxa"/>
          </w:tcPr>
          <w:p w14:paraId="06EC9C2E">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建设符合国家产业政策和环保政策，符合“玉溪市生态环境分区管控要求”相关规定，项目位于云南通海产业园区里山片区，符合《云南通海产业园区总体规划修编（2021~2035）》，符合《云南通海产业园区总体规划[修编]（2021-2035）环境影响报告书》及其审查意见的相关环保要求。</w:t>
            </w:r>
          </w:p>
          <w:p w14:paraId="3E305259">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经核实，项目厂界周边500m范围内无自然保护区、风景名胜区。经调查核实，项目周边500m范围内没有地下水集中式饮用水源和热水、矿泉水、温泉等特殊地下水资源。项目选址合理，与周围环境相容，所在区域环境质量现状良好，各项污染物治理措施属于可行技术，生产中产生的各种污染物均得到有效地处理，项目在建设和生产中必须严格落实本评价及设计提出的各项环境保护措施，加强生产和环境保护管理</w:t>
            </w:r>
            <w:r>
              <w:rPr>
                <w:rFonts w:hint="default" w:ascii="Times New Roman" w:hAnsi="Times New Roman" w:cs="Times New Roman"/>
                <w:bCs/>
                <w:color w:val="auto"/>
                <w:sz w:val="24"/>
              </w:rPr>
              <w:t>，确保</w:t>
            </w:r>
            <w:r>
              <w:rPr>
                <w:rFonts w:hint="default" w:ascii="Times New Roman" w:hAnsi="Times New Roman" w:cs="Times New Roman"/>
                <w:color w:val="auto"/>
                <w:sz w:val="24"/>
              </w:rPr>
              <w:t>各污染物均达标排放，对周围环境影响较小，</w:t>
            </w:r>
            <w:r>
              <w:rPr>
                <w:rFonts w:hint="default" w:ascii="Times New Roman" w:hAnsi="Times New Roman" w:cs="Times New Roman"/>
                <w:bCs/>
                <w:color w:val="auto"/>
                <w:sz w:val="24"/>
              </w:rPr>
              <w:t>从环保角度分析，本项目建设可行。</w:t>
            </w:r>
          </w:p>
          <w:p w14:paraId="5ED3FEAA">
            <w:pPr>
              <w:spacing w:line="360" w:lineRule="auto"/>
              <w:rPr>
                <w:rFonts w:hint="default" w:ascii="Times New Roman" w:hAnsi="Times New Roman" w:cs="Times New Roman"/>
                <w:color w:val="auto"/>
              </w:rPr>
            </w:pPr>
          </w:p>
          <w:p w14:paraId="05DDB3E7">
            <w:pPr>
              <w:spacing w:line="360" w:lineRule="auto"/>
              <w:rPr>
                <w:rFonts w:hint="default" w:ascii="Times New Roman" w:hAnsi="Times New Roman" w:cs="Times New Roman"/>
                <w:color w:val="auto"/>
              </w:rPr>
            </w:pPr>
          </w:p>
          <w:p w14:paraId="254B46DD">
            <w:pPr>
              <w:rPr>
                <w:rFonts w:hint="default" w:ascii="Times New Roman" w:hAnsi="Times New Roman" w:cs="Times New Roman"/>
                <w:color w:val="auto"/>
              </w:rPr>
            </w:pPr>
          </w:p>
          <w:p w14:paraId="53EA4AA0">
            <w:pPr>
              <w:pStyle w:val="18"/>
              <w:rPr>
                <w:rFonts w:hint="default" w:ascii="Times New Roman" w:hAnsi="Times New Roman" w:cs="Times New Roman"/>
                <w:color w:val="auto"/>
              </w:rPr>
            </w:pPr>
          </w:p>
          <w:p w14:paraId="5E3DBAC2">
            <w:pPr>
              <w:rPr>
                <w:rFonts w:hint="default" w:ascii="Times New Roman" w:hAnsi="Times New Roman" w:cs="Times New Roman"/>
                <w:color w:val="auto"/>
              </w:rPr>
            </w:pPr>
          </w:p>
          <w:p w14:paraId="01328E21">
            <w:pPr>
              <w:pStyle w:val="18"/>
              <w:rPr>
                <w:rFonts w:hint="default" w:ascii="Times New Roman" w:hAnsi="Times New Roman" w:cs="Times New Roman"/>
                <w:color w:val="auto"/>
              </w:rPr>
            </w:pPr>
          </w:p>
          <w:p w14:paraId="0B833FD0">
            <w:pPr>
              <w:pStyle w:val="18"/>
              <w:rPr>
                <w:rFonts w:hint="default" w:ascii="Times New Roman" w:hAnsi="Times New Roman" w:cs="Times New Roman"/>
                <w:color w:val="auto"/>
              </w:rPr>
            </w:pPr>
          </w:p>
        </w:tc>
      </w:tr>
    </w:tbl>
    <w:p w14:paraId="2A02DCAF">
      <w:pPr>
        <w:spacing w:line="360" w:lineRule="auto"/>
        <w:outlineLvl w:val="0"/>
        <w:rPr>
          <w:rFonts w:hint="default" w:ascii="Times New Roman" w:hAnsi="Times New Roman" w:eastAsia="黑体" w:cs="Times New Roman"/>
          <w:color w:val="auto"/>
          <w:sz w:val="32"/>
          <w:szCs w:val="32"/>
        </w:rPr>
        <w:sectPr>
          <w:pgSz w:w="11906" w:h="16838"/>
          <w:pgMar w:top="1440" w:right="1803" w:bottom="1440" w:left="1803" w:header="850" w:footer="851" w:gutter="0"/>
          <w:pgBorders>
            <w:top w:val="none" w:sz="0" w:space="0"/>
            <w:left w:val="none" w:sz="0" w:space="0"/>
            <w:bottom w:val="none" w:sz="0" w:space="0"/>
            <w:right w:val="none" w:sz="0" w:space="0"/>
          </w:pgBorders>
          <w:cols w:space="720" w:num="1"/>
          <w:docGrid w:linePitch="312" w:charSpace="0"/>
        </w:sectPr>
      </w:pPr>
      <w:bookmarkStart w:id="131" w:name="_Toc56591638"/>
      <w:bookmarkStart w:id="132" w:name="_Toc49849368"/>
      <w:bookmarkStart w:id="133" w:name="_Toc9245"/>
    </w:p>
    <w:p w14:paraId="6E4AC4DE">
      <w:pPr>
        <w:pStyle w:val="31"/>
        <w:spacing w:before="0" w:beforeAutospacing="0" w:after="0" w:afterAutospacing="0" w:line="360" w:lineRule="auto"/>
        <w:outlineLvl w:val="0"/>
        <w:rPr>
          <w:rFonts w:hint="default" w:ascii="Times New Roman" w:hAnsi="Times New Roman" w:eastAsia="黑体" w:cs="Times New Roman"/>
          <w:color w:val="auto"/>
          <w:sz w:val="28"/>
          <w:szCs w:val="28"/>
        </w:rPr>
      </w:pPr>
      <w:bookmarkStart w:id="134" w:name="_Toc28832"/>
      <w:bookmarkStart w:id="135" w:name="_Toc31654"/>
      <w:r>
        <w:rPr>
          <w:rFonts w:hint="default" w:ascii="Times New Roman" w:hAnsi="Times New Roman" w:eastAsia="黑体" w:cs="Times New Roman"/>
          <w:color w:val="auto"/>
          <w:sz w:val="28"/>
          <w:szCs w:val="28"/>
        </w:rPr>
        <w:t>附表</w:t>
      </w:r>
      <w:bookmarkEnd w:id="134"/>
      <w:bookmarkEnd w:id="135"/>
    </w:p>
    <w:p w14:paraId="456F758E">
      <w:pPr>
        <w:pStyle w:val="31"/>
        <w:adjustRightInd w:val="0"/>
        <w:spacing w:before="0" w:beforeAutospacing="0" w:after="0" w:afterAutospacing="0"/>
        <w:jc w:val="center"/>
        <w:rPr>
          <w:rFonts w:hint="default" w:ascii="Times New Roman" w:hAnsi="Times New Roman" w:eastAsia="方正小标宋_GBK" w:cs="Times New Roman"/>
          <w:snapToGrid w:val="0"/>
          <w:color w:val="auto"/>
          <w:sz w:val="38"/>
          <w:szCs w:val="38"/>
        </w:rPr>
      </w:pPr>
      <w:bookmarkStart w:id="136" w:name="_Toc32570"/>
      <w:r>
        <w:rPr>
          <w:rFonts w:hint="default" w:ascii="Times New Roman" w:hAnsi="Times New Roman" w:eastAsia="方正小标宋_GBK" w:cs="Times New Roman"/>
          <w:snapToGrid w:val="0"/>
          <w:color w:val="auto"/>
          <w:sz w:val="38"/>
          <w:szCs w:val="38"/>
        </w:rPr>
        <w:t>建设项目污染物排放量汇总表</w:t>
      </w:r>
      <w:bookmarkEnd w:id="136"/>
    </w:p>
    <w:tbl>
      <w:tblPr>
        <w:tblStyle w:val="35"/>
        <w:tblW w:w="13788" w:type="dxa"/>
        <w:tblInd w:w="-8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75"/>
        <w:gridCol w:w="1543"/>
        <w:gridCol w:w="1276"/>
        <w:gridCol w:w="1701"/>
        <w:gridCol w:w="1559"/>
        <w:gridCol w:w="1761"/>
        <w:gridCol w:w="1454"/>
        <w:gridCol w:w="1331"/>
      </w:tblGrid>
      <w:tr w14:paraId="4B8FDC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tcBorders>
              <w:tl2br w:val="single" w:color="auto" w:sz="4" w:space="0"/>
            </w:tcBorders>
            <w:tcMar>
              <w:left w:w="28" w:type="dxa"/>
              <w:right w:w="28" w:type="dxa"/>
            </w:tcMar>
            <w:vAlign w:val="center"/>
          </w:tcPr>
          <w:p w14:paraId="5FFD9AA1">
            <w:pPr>
              <w:pStyle w:val="71"/>
              <w:spacing w:beforeLines="0" w:afterLines="0" w:line="240" w:lineRule="auto"/>
              <w:ind w:left="420" w:hanging="420"/>
              <w:jc w:val="righ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项目</w:t>
            </w:r>
          </w:p>
          <w:p w14:paraId="1F220EB9">
            <w:pPr>
              <w:pStyle w:val="71"/>
              <w:spacing w:beforeLines="0" w:afterLines="0" w:line="240" w:lineRule="auto"/>
              <w:ind w:left="420" w:hanging="420"/>
              <w:jc w:val="lef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1575" w:type="dxa"/>
            <w:tcMar>
              <w:left w:w="28" w:type="dxa"/>
              <w:right w:w="28" w:type="dxa"/>
            </w:tcMar>
            <w:vAlign w:val="center"/>
          </w:tcPr>
          <w:p w14:paraId="789B88D3">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污染物名称</w:t>
            </w:r>
          </w:p>
        </w:tc>
        <w:tc>
          <w:tcPr>
            <w:tcW w:w="1543" w:type="dxa"/>
            <w:tcMar>
              <w:left w:w="28" w:type="dxa"/>
              <w:right w:w="28" w:type="dxa"/>
            </w:tcMar>
            <w:vAlign w:val="center"/>
          </w:tcPr>
          <w:p w14:paraId="01DCFAA5">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现有工程</w:t>
            </w:r>
          </w:p>
          <w:p w14:paraId="15884650">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排放量（固体废物产生量）</w:t>
            </w:r>
            <w:r>
              <w:rPr>
                <w:rFonts w:hint="default" w:ascii="Times New Roman" w:hAnsi="Times New Roman" w:cs="Times New Roman"/>
                <w:b/>
                <w:bCs/>
                <w:color w:val="auto"/>
                <w:sz w:val="18"/>
                <w:szCs w:val="18"/>
              </w:rPr>
              <w:fldChar w:fldCharType="begin"/>
            </w:r>
            <w:r>
              <w:rPr>
                <w:rFonts w:hint="default" w:ascii="Times New Roman" w:hAnsi="Times New Roman" w:cs="Times New Roman"/>
                <w:b/>
                <w:bCs/>
                <w:color w:val="auto"/>
                <w:sz w:val="18"/>
                <w:szCs w:val="18"/>
              </w:rPr>
              <w:instrText xml:space="preserve"> = 1 \* GB3 \* MERGEFORMAT </w:instrText>
            </w:r>
            <w:r>
              <w:rPr>
                <w:rFonts w:hint="default" w:ascii="Times New Roman" w:hAnsi="Times New Roman" w:cs="Times New Roman"/>
                <w:b/>
                <w:bCs/>
                <w:color w:val="auto"/>
                <w:sz w:val="18"/>
                <w:szCs w:val="18"/>
              </w:rPr>
              <w:fldChar w:fldCharType="separate"/>
            </w:r>
            <w:r>
              <w:rPr>
                <w:rFonts w:hint="default" w:ascii="Times New Roman" w:hAnsi="Times New Roman" w:cs="Times New Roman"/>
                <w:b/>
                <w:bCs/>
                <w:color w:val="auto"/>
                <w:sz w:val="18"/>
                <w:szCs w:val="18"/>
              </w:rPr>
              <w:t>①</w:t>
            </w:r>
            <w:r>
              <w:rPr>
                <w:rFonts w:hint="default" w:ascii="Times New Roman" w:hAnsi="Times New Roman" w:cs="Times New Roman"/>
                <w:b/>
                <w:bCs/>
                <w:color w:val="auto"/>
                <w:sz w:val="18"/>
                <w:szCs w:val="18"/>
              </w:rPr>
              <w:fldChar w:fldCharType="end"/>
            </w:r>
          </w:p>
        </w:tc>
        <w:tc>
          <w:tcPr>
            <w:tcW w:w="1276" w:type="dxa"/>
            <w:tcMar>
              <w:left w:w="28" w:type="dxa"/>
              <w:right w:w="28" w:type="dxa"/>
            </w:tcMar>
            <w:vAlign w:val="center"/>
          </w:tcPr>
          <w:p w14:paraId="27FE31A6">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现有工程</w:t>
            </w:r>
          </w:p>
          <w:p w14:paraId="5DC37BD4">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许可排放量</w:t>
            </w:r>
          </w:p>
          <w:p w14:paraId="2F725BA5">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fldChar w:fldCharType="begin"/>
            </w:r>
            <w:r>
              <w:rPr>
                <w:rFonts w:hint="default" w:ascii="Times New Roman" w:hAnsi="Times New Roman" w:cs="Times New Roman"/>
                <w:b/>
                <w:bCs/>
                <w:color w:val="auto"/>
                <w:sz w:val="18"/>
                <w:szCs w:val="18"/>
              </w:rPr>
              <w:instrText xml:space="preserve"> = 2 \* GB3 \* MERGEFORMAT </w:instrText>
            </w:r>
            <w:r>
              <w:rPr>
                <w:rFonts w:hint="default" w:ascii="Times New Roman" w:hAnsi="Times New Roman" w:cs="Times New Roman"/>
                <w:b/>
                <w:bCs/>
                <w:color w:val="auto"/>
                <w:sz w:val="18"/>
                <w:szCs w:val="18"/>
              </w:rPr>
              <w:fldChar w:fldCharType="separate"/>
            </w:r>
            <w:r>
              <w:rPr>
                <w:rFonts w:hint="default" w:ascii="Times New Roman" w:hAnsi="Times New Roman" w:cs="Times New Roman"/>
                <w:b/>
                <w:bCs/>
                <w:color w:val="auto"/>
                <w:sz w:val="18"/>
                <w:szCs w:val="18"/>
              </w:rPr>
              <w:t>②</w:t>
            </w:r>
            <w:r>
              <w:rPr>
                <w:rFonts w:hint="default" w:ascii="Times New Roman" w:hAnsi="Times New Roman" w:cs="Times New Roman"/>
                <w:b/>
                <w:bCs/>
                <w:color w:val="auto"/>
                <w:sz w:val="18"/>
                <w:szCs w:val="18"/>
              </w:rPr>
              <w:fldChar w:fldCharType="end"/>
            </w:r>
          </w:p>
        </w:tc>
        <w:tc>
          <w:tcPr>
            <w:tcW w:w="1701" w:type="dxa"/>
            <w:tcMar>
              <w:left w:w="28" w:type="dxa"/>
              <w:right w:w="28" w:type="dxa"/>
            </w:tcMar>
            <w:vAlign w:val="center"/>
          </w:tcPr>
          <w:p w14:paraId="5132846F">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拟建工程</w:t>
            </w:r>
          </w:p>
          <w:p w14:paraId="1A0F78B5">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排放量（固体废物产生量）</w:t>
            </w:r>
            <w:r>
              <w:rPr>
                <w:rFonts w:hint="default" w:ascii="Times New Roman" w:hAnsi="Times New Roman" w:cs="Times New Roman"/>
                <w:b/>
                <w:bCs/>
                <w:color w:val="auto"/>
                <w:sz w:val="18"/>
                <w:szCs w:val="18"/>
              </w:rPr>
              <w:fldChar w:fldCharType="begin"/>
            </w:r>
            <w:r>
              <w:rPr>
                <w:rFonts w:hint="default" w:ascii="Times New Roman" w:hAnsi="Times New Roman" w:cs="Times New Roman"/>
                <w:b/>
                <w:bCs/>
                <w:color w:val="auto"/>
                <w:sz w:val="18"/>
                <w:szCs w:val="18"/>
              </w:rPr>
              <w:instrText xml:space="preserve"> = 3 \* GB3 \* MERGEFORMAT </w:instrText>
            </w:r>
            <w:r>
              <w:rPr>
                <w:rFonts w:hint="default" w:ascii="Times New Roman" w:hAnsi="Times New Roman" w:cs="Times New Roman"/>
                <w:b/>
                <w:bCs/>
                <w:color w:val="auto"/>
                <w:sz w:val="18"/>
                <w:szCs w:val="18"/>
              </w:rPr>
              <w:fldChar w:fldCharType="separate"/>
            </w:r>
            <w:r>
              <w:rPr>
                <w:rFonts w:hint="default" w:ascii="Times New Roman" w:hAnsi="Times New Roman" w:cs="Times New Roman"/>
                <w:b/>
                <w:bCs/>
                <w:color w:val="auto"/>
                <w:sz w:val="18"/>
                <w:szCs w:val="18"/>
              </w:rPr>
              <w:t>③</w:t>
            </w:r>
            <w:r>
              <w:rPr>
                <w:rFonts w:hint="default" w:ascii="Times New Roman" w:hAnsi="Times New Roman" w:cs="Times New Roman"/>
                <w:b/>
                <w:bCs/>
                <w:color w:val="auto"/>
                <w:sz w:val="18"/>
                <w:szCs w:val="18"/>
              </w:rPr>
              <w:fldChar w:fldCharType="end"/>
            </w:r>
          </w:p>
        </w:tc>
        <w:tc>
          <w:tcPr>
            <w:tcW w:w="1559" w:type="dxa"/>
            <w:tcMar>
              <w:left w:w="28" w:type="dxa"/>
              <w:right w:w="28" w:type="dxa"/>
            </w:tcMar>
            <w:vAlign w:val="center"/>
          </w:tcPr>
          <w:p w14:paraId="5E967E2F">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本项目</w:t>
            </w:r>
          </w:p>
          <w:p w14:paraId="4E73C763">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排放量（固体废物产生量）</w:t>
            </w:r>
            <w:r>
              <w:rPr>
                <w:rFonts w:hint="default" w:ascii="Times New Roman" w:hAnsi="Times New Roman" w:cs="Times New Roman"/>
                <w:b/>
                <w:bCs/>
                <w:color w:val="auto"/>
                <w:sz w:val="18"/>
                <w:szCs w:val="18"/>
              </w:rPr>
              <w:fldChar w:fldCharType="begin"/>
            </w:r>
            <w:r>
              <w:rPr>
                <w:rFonts w:hint="default" w:ascii="Times New Roman" w:hAnsi="Times New Roman" w:cs="Times New Roman"/>
                <w:b/>
                <w:bCs/>
                <w:color w:val="auto"/>
                <w:sz w:val="18"/>
                <w:szCs w:val="18"/>
              </w:rPr>
              <w:instrText xml:space="preserve"> = 4 \* GB3 \* MERGEFORMAT </w:instrText>
            </w:r>
            <w:r>
              <w:rPr>
                <w:rFonts w:hint="default" w:ascii="Times New Roman" w:hAnsi="Times New Roman" w:cs="Times New Roman"/>
                <w:b/>
                <w:bCs/>
                <w:color w:val="auto"/>
                <w:sz w:val="18"/>
                <w:szCs w:val="18"/>
              </w:rPr>
              <w:fldChar w:fldCharType="separate"/>
            </w:r>
            <w:r>
              <w:rPr>
                <w:rFonts w:hint="default" w:ascii="Times New Roman" w:hAnsi="Times New Roman" w:cs="Times New Roman"/>
                <w:b/>
                <w:bCs/>
                <w:color w:val="auto"/>
                <w:sz w:val="18"/>
                <w:szCs w:val="18"/>
              </w:rPr>
              <w:t>④</w:t>
            </w:r>
            <w:r>
              <w:rPr>
                <w:rFonts w:hint="default" w:ascii="Times New Roman" w:hAnsi="Times New Roman" w:cs="Times New Roman"/>
                <w:b/>
                <w:bCs/>
                <w:color w:val="auto"/>
                <w:sz w:val="18"/>
                <w:szCs w:val="18"/>
              </w:rPr>
              <w:fldChar w:fldCharType="end"/>
            </w:r>
          </w:p>
        </w:tc>
        <w:tc>
          <w:tcPr>
            <w:tcW w:w="1761" w:type="dxa"/>
            <w:tcMar>
              <w:left w:w="28" w:type="dxa"/>
              <w:right w:w="28" w:type="dxa"/>
            </w:tcMar>
            <w:vAlign w:val="center"/>
          </w:tcPr>
          <w:p w14:paraId="4AB4F389">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以新带老削减量</w:t>
            </w:r>
          </w:p>
          <w:p w14:paraId="1AEFAF0E">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（新建项目不填）</w:t>
            </w:r>
          </w:p>
          <w:p w14:paraId="781B6F38">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fldChar w:fldCharType="begin"/>
            </w:r>
            <w:r>
              <w:rPr>
                <w:rFonts w:hint="default" w:ascii="Times New Roman" w:hAnsi="Times New Roman" w:cs="Times New Roman"/>
                <w:b/>
                <w:bCs/>
                <w:color w:val="auto"/>
                <w:sz w:val="18"/>
                <w:szCs w:val="18"/>
              </w:rPr>
              <w:instrText xml:space="preserve"> = 5 \* GB3 \* MERGEFORMAT </w:instrText>
            </w:r>
            <w:r>
              <w:rPr>
                <w:rFonts w:hint="default" w:ascii="Times New Roman" w:hAnsi="Times New Roman" w:cs="Times New Roman"/>
                <w:b/>
                <w:bCs/>
                <w:color w:val="auto"/>
                <w:sz w:val="18"/>
                <w:szCs w:val="18"/>
              </w:rPr>
              <w:fldChar w:fldCharType="separate"/>
            </w:r>
            <w:r>
              <w:rPr>
                <w:rFonts w:hint="default" w:ascii="Times New Roman" w:hAnsi="Times New Roman" w:cs="Times New Roman"/>
                <w:b/>
                <w:bCs/>
                <w:color w:val="auto"/>
                <w:sz w:val="18"/>
                <w:szCs w:val="18"/>
              </w:rPr>
              <w:t>⑤</w:t>
            </w:r>
            <w:r>
              <w:rPr>
                <w:rFonts w:hint="default" w:ascii="Times New Roman" w:hAnsi="Times New Roman" w:cs="Times New Roman"/>
                <w:b/>
                <w:bCs/>
                <w:color w:val="auto"/>
                <w:sz w:val="18"/>
                <w:szCs w:val="18"/>
              </w:rPr>
              <w:fldChar w:fldCharType="end"/>
            </w:r>
          </w:p>
        </w:tc>
        <w:tc>
          <w:tcPr>
            <w:tcW w:w="1454" w:type="dxa"/>
            <w:tcMar>
              <w:left w:w="28" w:type="dxa"/>
              <w:right w:w="28" w:type="dxa"/>
            </w:tcMar>
            <w:vAlign w:val="center"/>
          </w:tcPr>
          <w:p w14:paraId="4F86ADF4">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本项目建成后</w:t>
            </w:r>
          </w:p>
          <w:p w14:paraId="7CCC5828">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全厂排放量（固体废物产生量）</w:t>
            </w:r>
            <w:r>
              <w:rPr>
                <w:rFonts w:hint="default" w:ascii="Times New Roman" w:hAnsi="Times New Roman" w:cs="Times New Roman"/>
                <w:b/>
                <w:bCs/>
                <w:color w:val="auto"/>
                <w:sz w:val="18"/>
                <w:szCs w:val="18"/>
              </w:rPr>
              <w:fldChar w:fldCharType="begin"/>
            </w:r>
            <w:r>
              <w:rPr>
                <w:rFonts w:hint="default" w:ascii="Times New Roman" w:hAnsi="Times New Roman" w:cs="Times New Roman"/>
                <w:b/>
                <w:bCs/>
                <w:color w:val="auto"/>
                <w:sz w:val="18"/>
                <w:szCs w:val="18"/>
              </w:rPr>
              <w:instrText xml:space="preserve"> = 6 \* GB3 \* MERGEFORMAT </w:instrText>
            </w:r>
            <w:r>
              <w:rPr>
                <w:rFonts w:hint="default" w:ascii="Times New Roman" w:hAnsi="Times New Roman" w:cs="Times New Roman"/>
                <w:b/>
                <w:bCs/>
                <w:color w:val="auto"/>
                <w:sz w:val="18"/>
                <w:szCs w:val="18"/>
              </w:rPr>
              <w:fldChar w:fldCharType="separate"/>
            </w:r>
            <w:r>
              <w:rPr>
                <w:rFonts w:hint="default" w:ascii="Times New Roman" w:hAnsi="Times New Roman" w:cs="Times New Roman"/>
                <w:b/>
                <w:bCs/>
                <w:color w:val="auto"/>
                <w:sz w:val="18"/>
                <w:szCs w:val="18"/>
              </w:rPr>
              <w:t>⑥</w:t>
            </w:r>
            <w:r>
              <w:rPr>
                <w:rFonts w:hint="default" w:ascii="Times New Roman" w:hAnsi="Times New Roman" w:cs="Times New Roman"/>
                <w:b/>
                <w:bCs/>
                <w:color w:val="auto"/>
                <w:sz w:val="18"/>
                <w:szCs w:val="18"/>
              </w:rPr>
              <w:fldChar w:fldCharType="end"/>
            </w:r>
          </w:p>
        </w:tc>
        <w:tc>
          <w:tcPr>
            <w:tcW w:w="1331" w:type="dxa"/>
            <w:tcMar>
              <w:left w:w="28" w:type="dxa"/>
              <w:right w:w="28" w:type="dxa"/>
            </w:tcMar>
            <w:vAlign w:val="center"/>
          </w:tcPr>
          <w:p w14:paraId="465EF3A9">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变化量</w:t>
            </w:r>
          </w:p>
          <w:p w14:paraId="43B6816C">
            <w:pPr>
              <w:spacing w:before="24" w:beforeLines="10" w:after="24" w:afterLines="1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fldChar w:fldCharType="begin"/>
            </w:r>
            <w:r>
              <w:rPr>
                <w:rFonts w:hint="default" w:ascii="Times New Roman" w:hAnsi="Times New Roman" w:cs="Times New Roman"/>
                <w:b/>
                <w:bCs/>
                <w:color w:val="auto"/>
                <w:sz w:val="18"/>
                <w:szCs w:val="18"/>
              </w:rPr>
              <w:instrText xml:space="preserve"> = 7 \* GB3 \* MERGEFORMAT </w:instrText>
            </w:r>
            <w:r>
              <w:rPr>
                <w:rFonts w:hint="default" w:ascii="Times New Roman" w:hAnsi="Times New Roman" w:cs="Times New Roman"/>
                <w:b/>
                <w:bCs/>
                <w:color w:val="auto"/>
                <w:sz w:val="18"/>
                <w:szCs w:val="18"/>
              </w:rPr>
              <w:fldChar w:fldCharType="separate"/>
            </w:r>
            <w:r>
              <w:rPr>
                <w:rFonts w:hint="default" w:ascii="Times New Roman" w:hAnsi="Times New Roman" w:cs="Times New Roman"/>
                <w:b/>
                <w:bCs/>
                <w:color w:val="auto"/>
                <w:sz w:val="18"/>
                <w:szCs w:val="18"/>
              </w:rPr>
              <w:t>⑦</w:t>
            </w:r>
            <w:r>
              <w:rPr>
                <w:rFonts w:hint="default" w:ascii="Times New Roman" w:hAnsi="Times New Roman" w:cs="Times New Roman"/>
                <w:b/>
                <w:bCs/>
                <w:color w:val="auto"/>
                <w:sz w:val="18"/>
                <w:szCs w:val="18"/>
              </w:rPr>
              <w:fldChar w:fldCharType="end"/>
            </w:r>
          </w:p>
        </w:tc>
      </w:tr>
      <w:tr w14:paraId="7E423B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14:paraId="6912E8BD">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1575" w:type="dxa"/>
            <w:vAlign w:val="center"/>
          </w:tcPr>
          <w:p w14:paraId="15778476">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颗粒物（t/a）</w:t>
            </w:r>
          </w:p>
        </w:tc>
        <w:tc>
          <w:tcPr>
            <w:tcW w:w="1543" w:type="dxa"/>
            <w:vAlign w:val="center"/>
          </w:tcPr>
          <w:p w14:paraId="252168A1">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0.795</w:t>
            </w:r>
          </w:p>
        </w:tc>
        <w:tc>
          <w:tcPr>
            <w:tcW w:w="1276" w:type="dxa"/>
            <w:vAlign w:val="center"/>
          </w:tcPr>
          <w:p w14:paraId="0DB7A017">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0.864</w:t>
            </w:r>
          </w:p>
        </w:tc>
        <w:tc>
          <w:tcPr>
            <w:tcW w:w="1701" w:type="dxa"/>
            <w:vAlign w:val="center"/>
          </w:tcPr>
          <w:p w14:paraId="58853D4A">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3.9</w:t>
            </w:r>
          </w:p>
        </w:tc>
        <w:tc>
          <w:tcPr>
            <w:tcW w:w="1559" w:type="dxa"/>
            <w:vAlign w:val="center"/>
          </w:tcPr>
          <w:p w14:paraId="0A8D1CCC">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761" w:type="dxa"/>
            <w:vAlign w:val="center"/>
          </w:tcPr>
          <w:p w14:paraId="62967A93">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454" w:type="dxa"/>
            <w:vAlign w:val="center"/>
          </w:tcPr>
          <w:p w14:paraId="41E949A5">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4.695</w:t>
            </w:r>
          </w:p>
        </w:tc>
        <w:tc>
          <w:tcPr>
            <w:tcW w:w="1331" w:type="dxa"/>
            <w:vAlign w:val="center"/>
          </w:tcPr>
          <w:p w14:paraId="2DBB1C87">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r w14:paraId="6518A1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4DFF5870">
            <w:pPr>
              <w:spacing w:before="24" w:beforeLines="10" w:after="24" w:afterLines="10"/>
              <w:jc w:val="center"/>
              <w:rPr>
                <w:rFonts w:hint="default" w:ascii="Times New Roman" w:hAnsi="Times New Roman" w:cs="Times New Roman"/>
                <w:color w:val="auto"/>
                <w:sz w:val="18"/>
                <w:szCs w:val="18"/>
              </w:rPr>
            </w:pPr>
          </w:p>
        </w:tc>
        <w:tc>
          <w:tcPr>
            <w:tcW w:w="1575" w:type="dxa"/>
            <w:vAlign w:val="center"/>
          </w:tcPr>
          <w:p w14:paraId="57F0A1B8">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SO</w:t>
            </w:r>
            <w:r>
              <w:rPr>
                <w:rFonts w:hint="default" w:ascii="Times New Roman" w:hAnsi="Times New Roman" w:cs="Times New Roman"/>
                <w:color w:val="auto"/>
                <w:sz w:val="18"/>
                <w:szCs w:val="18"/>
                <w:vertAlign w:val="subscript"/>
              </w:rPr>
              <w:t>2</w:t>
            </w:r>
            <w:r>
              <w:rPr>
                <w:rFonts w:hint="default" w:ascii="Times New Roman" w:hAnsi="Times New Roman" w:cs="Times New Roman"/>
                <w:color w:val="auto"/>
                <w:sz w:val="18"/>
                <w:szCs w:val="18"/>
              </w:rPr>
              <w:t>(t/a)</w:t>
            </w:r>
          </w:p>
        </w:tc>
        <w:tc>
          <w:tcPr>
            <w:tcW w:w="1543" w:type="dxa"/>
            <w:vAlign w:val="center"/>
          </w:tcPr>
          <w:p w14:paraId="4578F24D">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0.957</w:t>
            </w:r>
          </w:p>
        </w:tc>
        <w:tc>
          <w:tcPr>
            <w:tcW w:w="1276" w:type="dxa"/>
            <w:vAlign w:val="center"/>
          </w:tcPr>
          <w:p w14:paraId="4BF44160">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4.428</w:t>
            </w:r>
          </w:p>
        </w:tc>
        <w:tc>
          <w:tcPr>
            <w:tcW w:w="1701" w:type="dxa"/>
            <w:vAlign w:val="center"/>
          </w:tcPr>
          <w:p w14:paraId="747CCBB3">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1.06</w:t>
            </w:r>
          </w:p>
        </w:tc>
        <w:tc>
          <w:tcPr>
            <w:tcW w:w="1559" w:type="dxa"/>
            <w:vAlign w:val="center"/>
          </w:tcPr>
          <w:p w14:paraId="729F8B55">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761" w:type="dxa"/>
            <w:vAlign w:val="center"/>
          </w:tcPr>
          <w:p w14:paraId="6DB13F13">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454" w:type="dxa"/>
            <w:vAlign w:val="center"/>
          </w:tcPr>
          <w:p w14:paraId="43CDBE34">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2.017</w:t>
            </w:r>
          </w:p>
        </w:tc>
        <w:tc>
          <w:tcPr>
            <w:tcW w:w="1331" w:type="dxa"/>
            <w:vAlign w:val="center"/>
          </w:tcPr>
          <w:p w14:paraId="4706A5EF">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r w14:paraId="620084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7D072FB1">
            <w:pPr>
              <w:spacing w:before="24" w:beforeLines="10" w:after="24" w:afterLines="10"/>
              <w:jc w:val="center"/>
              <w:rPr>
                <w:rFonts w:hint="default" w:ascii="Times New Roman" w:hAnsi="Times New Roman" w:cs="Times New Roman"/>
                <w:color w:val="auto"/>
                <w:sz w:val="18"/>
                <w:szCs w:val="18"/>
              </w:rPr>
            </w:pPr>
          </w:p>
        </w:tc>
        <w:tc>
          <w:tcPr>
            <w:tcW w:w="1575" w:type="dxa"/>
            <w:vAlign w:val="center"/>
          </w:tcPr>
          <w:p w14:paraId="17BD9C47">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NOx(t/a)</w:t>
            </w:r>
          </w:p>
        </w:tc>
        <w:tc>
          <w:tcPr>
            <w:tcW w:w="1543" w:type="dxa"/>
            <w:vAlign w:val="center"/>
          </w:tcPr>
          <w:p w14:paraId="602116C0">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5.24</w:t>
            </w:r>
          </w:p>
        </w:tc>
        <w:tc>
          <w:tcPr>
            <w:tcW w:w="1276" w:type="dxa"/>
            <w:vAlign w:val="center"/>
          </w:tcPr>
          <w:p w14:paraId="70729E1C">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14.796</w:t>
            </w:r>
          </w:p>
        </w:tc>
        <w:tc>
          <w:tcPr>
            <w:tcW w:w="1701" w:type="dxa"/>
            <w:vAlign w:val="center"/>
          </w:tcPr>
          <w:p w14:paraId="78289A9E">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8.41</w:t>
            </w:r>
          </w:p>
        </w:tc>
        <w:tc>
          <w:tcPr>
            <w:tcW w:w="1559" w:type="dxa"/>
            <w:vAlign w:val="center"/>
          </w:tcPr>
          <w:p w14:paraId="48C0A8BE">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761" w:type="dxa"/>
            <w:vAlign w:val="center"/>
          </w:tcPr>
          <w:p w14:paraId="221658EB">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454" w:type="dxa"/>
            <w:vAlign w:val="center"/>
          </w:tcPr>
          <w:p w14:paraId="4E5DE552">
            <w:pPr>
              <w:widowControl/>
              <w:jc w:val="center"/>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13.65</w:t>
            </w:r>
          </w:p>
        </w:tc>
        <w:tc>
          <w:tcPr>
            <w:tcW w:w="1331" w:type="dxa"/>
            <w:vAlign w:val="center"/>
          </w:tcPr>
          <w:p w14:paraId="03334C3D">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r w14:paraId="73550C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48ED8888">
            <w:pPr>
              <w:spacing w:before="24" w:beforeLines="10" w:after="24" w:afterLines="10"/>
              <w:jc w:val="center"/>
              <w:rPr>
                <w:rFonts w:hint="default" w:ascii="Times New Roman" w:hAnsi="Times New Roman" w:cs="Times New Roman"/>
                <w:color w:val="auto"/>
                <w:sz w:val="18"/>
                <w:szCs w:val="18"/>
              </w:rPr>
            </w:pPr>
          </w:p>
        </w:tc>
        <w:tc>
          <w:tcPr>
            <w:tcW w:w="1575" w:type="dxa"/>
            <w:vAlign w:val="center"/>
          </w:tcPr>
          <w:p w14:paraId="5B9BAB09">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无组织颗粒物（t/a）</w:t>
            </w:r>
          </w:p>
        </w:tc>
        <w:tc>
          <w:tcPr>
            <w:tcW w:w="1543" w:type="dxa"/>
            <w:vAlign w:val="center"/>
          </w:tcPr>
          <w:p w14:paraId="7DFD6C1B">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w:t>
            </w:r>
          </w:p>
        </w:tc>
        <w:tc>
          <w:tcPr>
            <w:tcW w:w="1276" w:type="dxa"/>
            <w:vAlign w:val="center"/>
          </w:tcPr>
          <w:p w14:paraId="7E2940F7">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w:t>
            </w:r>
          </w:p>
        </w:tc>
        <w:tc>
          <w:tcPr>
            <w:tcW w:w="1701" w:type="dxa"/>
            <w:vAlign w:val="center"/>
          </w:tcPr>
          <w:p w14:paraId="0FAE38FF">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1.434</w:t>
            </w:r>
          </w:p>
        </w:tc>
        <w:tc>
          <w:tcPr>
            <w:tcW w:w="1559" w:type="dxa"/>
            <w:vAlign w:val="center"/>
          </w:tcPr>
          <w:p w14:paraId="29CD4C74">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761" w:type="dxa"/>
            <w:vAlign w:val="center"/>
          </w:tcPr>
          <w:p w14:paraId="43FAD25C">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454" w:type="dxa"/>
            <w:vAlign w:val="center"/>
          </w:tcPr>
          <w:p w14:paraId="0864F38F">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6.234</w:t>
            </w:r>
          </w:p>
        </w:tc>
        <w:tc>
          <w:tcPr>
            <w:tcW w:w="1331" w:type="dxa"/>
            <w:vAlign w:val="center"/>
          </w:tcPr>
          <w:p w14:paraId="23E06A26">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r w14:paraId="0E6214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14:paraId="20C586F1">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1575" w:type="dxa"/>
            <w:vAlign w:val="center"/>
          </w:tcPr>
          <w:p w14:paraId="54D6A264">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生活污水（t/a）</w:t>
            </w:r>
          </w:p>
        </w:tc>
        <w:tc>
          <w:tcPr>
            <w:tcW w:w="1543" w:type="dxa"/>
            <w:vAlign w:val="center"/>
          </w:tcPr>
          <w:p w14:paraId="4920C42C">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276" w:type="dxa"/>
            <w:vAlign w:val="center"/>
          </w:tcPr>
          <w:p w14:paraId="0912B0C4">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701" w:type="dxa"/>
            <w:vAlign w:val="center"/>
          </w:tcPr>
          <w:p w14:paraId="2D140E72">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559" w:type="dxa"/>
            <w:vAlign w:val="center"/>
          </w:tcPr>
          <w:p w14:paraId="757AEA93">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761" w:type="dxa"/>
            <w:vAlign w:val="center"/>
          </w:tcPr>
          <w:p w14:paraId="07860E54">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454" w:type="dxa"/>
            <w:vAlign w:val="center"/>
          </w:tcPr>
          <w:p w14:paraId="3CE068FC">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331" w:type="dxa"/>
            <w:vAlign w:val="center"/>
          </w:tcPr>
          <w:p w14:paraId="0828556E">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r w14:paraId="564A0B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63AD23E4">
            <w:pPr>
              <w:spacing w:before="24" w:beforeLines="10" w:after="24" w:afterLines="10"/>
              <w:jc w:val="center"/>
              <w:rPr>
                <w:rFonts w:hint="default" w:ascii="Times New Roman" w:hAnsi="Times New Roman" w:cs="Times New Roman"/>
                <w:color w:val="auto"/>
                <w:sz w:val="18"/>
                <w:szCs w:val="18"/>
              </w:rPr>
            </w:pPr>
          </w:p>
        </w:tc>
        <w:tc>
          <w:tcPr>
            <w:tcW w:w="1575" w:type="dxa"/>
            <w:vAlign w:val="center"/>
          </w:tcPr>
          <w:p w14:paraId="0446D359">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生产废水（t/a）</w:t>
            </w:r>
          </w:p>
        </w:tc>
        <w:tc>
          <w:tcPr>
            <w:tcW w:w="1543" w:type="dxa"/>
            <w:vAlign w:val="center"/>
          </w:tcPr>
          <w:p w14:paraId="2C26B7ED">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276" w:type="dxa"/>
            <w:vAlign w:val="center"/>
          </w:tcPr>
          <w:p w14:paraId="646ADA95">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701" w:type="dxa"/>
            <w:vAlign w:val="center"/>
          </w:tcPr>
          <w:p w14:paraId="72507E03">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559" w:type="dxa"/>
            <w:vAlign w:val="center"/>
          </w:tcPr>
          <w:p w14:paraId="14FF2AE9">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761" w:type="dxa"/>
            <w:vAlign w:val="center"/>
          </w:tcPr>
          <w:p w14:paraId="1C1DDCD3">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454" w:type="dxa"/>
            <w:vAlign w:val="center"/>
          </w:tcPr>
          <w:p w14:paraId="40AD5CA0">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c>
          <w:tcPr>
            <w:tcW w:w="1331" w:type="dxa"/>
            <w:vAlign w:val="center"/>
          </w:tcPr>
          <w:p w14:paraId="55C73506">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p>
        </w:tc>
      </w:tr>
      <w:tr w14:paraId="65981E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14:paraId="719FBCC5">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一般工业</w:t>
            </w:r>
          </w:p>
          <w:p w14:paraId="1819B5D3">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固体废物</w:t>
            </w:r>
          </w:p>
        </w:tc>
        <w:tc>
          <w:tcPr>
            <w:tcW w:w="1575" w:type="dxa"/>
            <w:vAlign w:val="center"/>
          </w:tcPr>
          <w:p w14:paraId="2D6114A1">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氧化铁皮（t/a）</w:t>
            </w:r>
          </w:p>
        </w:tc>
        <w:tc>
          <w:tcPr>
            <w:tcW w:w="1543" w:type="dxa"/>
            <w:vAlign w:val="center"/>
          </w:tcPr>
          <w:p w14:paraId="00612814">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2754.54</w:t>
            </w:r>
          </w:p>
        </w:tc>
        <w:tc>
          <w:tcPr>
            <w:tcW w:w="1276" w:type="dxa"/>
            <w:vAlign w:val="center"/>
          </w:tcPr>
          <w:p w14:paraId="2A4B3499">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701" w:type="dxa"/>
            <w:vAlign w:val="center"/>
          </w:tcPr>
          <w:p w14:paraId="222DA74E">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559" w:type="dxa"/>
            <w:vAlign w:val="center"/>
          </w:tcPr>
          <w:p w14:paraId="4C781568">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90</w:t>
            </w:r>
          </w:p>
        </w:tc>
        <w:tc>
          <w:tcPr>
            <w:tcW w:w="1761" w:type="dxa"/>
            <w:vAlign w:val="center"/>
          </w:tcPr>
          <w:p w14:paraId="35DA07DB">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454" w:type="dxa"/>
            <w:vAlign w:val="center"/>
          </w:tcPr>
          <w:p w14:paraId="086C2492">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2844.54</w:t>
            </w:r>
          </w:p>
        </w:tc>
        <w:tc>
          <w:tcPr>
            <w:tcW w:w="1331" w:type="dxa"/>
            <w:vAlign w:val="center"/>
          </w:tcPr>
          <w:p w14:paraId="37C39782">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+90</w:t>
            </w:r>
          </w:p>
        </w:tc>
      </w:tr>
      <w:tr w14:paraId="450BDF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17E96B56">
            <w:pPr>
              <w:spacing w:before="24" w:beforeLines="10" w:after="24" w:afterLines="10"/>
              <w:jc w:val="center"/>
              <w:rPr>
                <w:rFonts w:hint="default" w:ascii="Times New Roman" w:hAnsi="Times New Roman" w:cs="Times New Roman"/>
                <w:color w:val="auto"/>
                <w:sz w:val="18"/>
                <w:szCs w:val="18"/>
              </w:rPr>
            </w:pPr>
          </w:p>
        </w:tc>
        <w:tc>
          <w:tcPr>
            <w:tcW w:w="1575" w:type="dxa"/>
            <w:vAlign w:val="center"/>
          </w:tcPr>
          <w:p w14:paraId="70C78826">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废钢及边角（t/a）</w:t>
            </w:r>
          </w:p>
        </w:tc>
        <w:tc>
          <w:tcPr>
            <w:tcW w:w="1543" w:type="dxa"/>
            <w:vAlign w:val="center"/>
          </w:tcPr>
          <w:p w14:paraId="31BF05B4">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1400</w:t>
            </w:r>
          </w:p>
        </w:tc>
        <w:tc>
          <w:tcPr>
            <w:tcW w:w="1276" w:type="dxa"/>
            <w:vAlign w:val="center"/>
          </w:tcPr>
          <w:p w14:paraId="084A9373">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701" w:type="dxa"/>
            <w:vAlign w:val="center"/>
          </w:tcPr>
          <w:p w14:paraId="30075A13">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559" w:type="dxa"/>
            <w:vAlign w:val="center"/>
          </w:tcPr>
          <w:p w14:paraId="251766B1">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510</w:t>
            </w:r>
          </w:p>
        </w:tc>
        <w:tc>
          <w:tcPr>
            <w:tcW w:w="1761" w:type="dxa"/>
            <w:vAlign w:val="center"/>
          </w:tcPr>
          <w:p w14:paraId="0DCB5B56">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454" w:type="dxa"/>
            <w:vAlign w:val="center"/>
          </w:tcPr>
          <w:p w14:paraId="4D7BAD36">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1910</w:t>
            </w:r>
          </w:p>
        </w:tc>
        <w:tc>
          <w:tcPr>
            <w:tcW w:w="1331" w:type="dxa"/>
            <w:vAlign w:val="center"/>
          </w:tcPr>
          <w:p w14:paraId="1CB0C896">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510</w:t>
            </w:r>
          </w:p>
        </w:tc>
      </w:tr>
      <w:tr w14:paraId="4D6A18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14:paraId="73868C78">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危险废物</w:t>
            </w:r>
          </w:p>
        </w:tc>
        <w:tc>
          <w:tcPr>
            <w:tcW w:w="1575" w:type="dxa"/>
            <w:vAlign w:val="center"/>
          </w:tcPr>
          <w:p w14:paraId="0BC7C2D2">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废机油（t/a）</w:t>
            </w:r>
          </w:p>
        </w:tc>
        <w:tc>
          <w:tcPr>
            <w:tcW w:w="1543" w:type="dxa"/>
            <w:vAlign w:val="center"/>
          </w:tcPr>
          <w:p w14:paraId="0989A312">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1276" w:type="dxa"/>
            <w:vAlign w:val="center"/>
          </w:tcPr>
          <w:p w14:paraId="0041A689">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701" w:type="dxa"/>
            <w:vAlign w:val="center"/>
          </w:tcPr>
          <w:p w14:paraId="719E83B3">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559" w:type="dxa"/>
            <w:vAlign w:val="center"/>
          </w:tcPr>
          <w:p w14:paraId="692F5121">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w:t>
            </w:r>
          </w:p>
        </w:tc>
        <w:tc>
          <w:tcPr>
            <w:tcW w:w="1761" w:type="dxa"/>
            <w:vAlign w:val="center"/>
          </w:tcPr>
          <w:p w14:paraId="574844D1">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454" w:type="dxa"/>
            <w:vAlign w:val="center"/>
          </w:tcPr>
          <w:p w14:paraId="0A84DA00">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w:t>
            </w:r>
          </w:p>
        </w:tc>
        <w:tc>
          <w:tcPr>
            <w:tcW w:w="1331" w:type="dxa"/>
            <w:vAlign w:val="center"/>
          </w:tcPr>
          <w:p w14:paraId="25ABDDD6">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w:t>
            </w:r>
          </w:p>
        </w:tc>
      </w:tr>
      <w:tr w14:paraId="6AD4D9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5ABB3D04">
            <w:pPr>
              <w:spacing w:before="24" w:beforeLines="10" w:after="24" w:afterLines="10"/>
              <w:jc w:val="center"/>
              <w:rPr>
                <w:rFonts w:hint="default" w:ascii="Times New Roman" w:hAnsi="Times New Roman" w:cs="Times New Roman"/>
                <w:color w:val="auto"/>
                <w:sz w:val="18"/>
                <w:szCs w:val="18"/>
              </w:rPr>
            </w:pPr>
          </w:p>
        </w:tc>
        <w:tc>
          <w:tcPr>
            <w:tcW w:w="1575" w:type="dxa"/>
            <w:vAlign w:val="center"/>
          </w:tcPr>
          <w:p w14:paraId="27D4445F">
            <w:pPr>
              <w:spacing w:before="24" w:beforeLines="10" w:after="24" w:afterLines="1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废弃含油抹布和劳保用品（t/a）</w:t>
            </w:r>
          </w:p>
        </w:tc>
        <w:tc>
          <w:tcPr>
            <w:tcW w:w="1543" w:type="dxa"/>
            <w:vAlign w:val="center"/>
          </w:tcPr>
          <w:p w14:paraId="57B3A0F4">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w:t>
            </w:r>
          </w:p>
        </w:tc>
        <w:tc>
          <w:tcPr>
            <w:tcW w:w="1276" w:type="dxa"/>
            <w:vAlign w:val="center"/>
          </w:tcPr>
          <w:p w14:paraId="59B2F569">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701" w:type="dxa"/>
            <w:vAlign w:val="center"/>
          </w:tcPr>
          <w:p w14:paraId="3211ECF0">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559" w:type="dxa"/>
            <w:vAlign w:val="center"/>
          </w:tcPr>
          <w:p w14:paraId="7023F169">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0.01</w:t>
            </w:r>
          </w:p>
        </w:tc>
        <w:tc>
          <w:tcPr>
            <w:tcW w:w="1761" w:type="dxa"/>
            <w:vAlign w:val="center"/>
          </w:tcPr>
          <w:p w14:paraId="383A03C3">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454" w:type="dxa"/>
            <w:vAlign w:val="center"/>
          </w:tcPr>
          <w:p w14:paraId="723C2B3F">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0.01</w:t>
            </w:r>
          </w:p>
        </w:tc>
        <w:tc>
          <w:tcPr>
            <w:tcW w:w="1331" w:type="dxa"/>
            <w:vAlign w:val="center"/>
          </w:tcPr>
          <w:p w14:paraId="33BA524D">
            <w:pPr>
              <w:spacing w:before="24" w:beforeLines="10" w:after="24" w:afterLines="1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+0.01</w:t>
            </w:r>
          </w:p>
        </w:tc>
      </w:tr>
    </w:tbl>
    <w:p w14:paraId="49CB42D7">
      <w:pPr>
        <w:pStyle w:val="71"/>
        <w:spacing w:beforeLines="0" w:afterLines="0" w:line="360" w:lineRule="auto"/>
        <w:jc w:val="left"/>
        <w:rPr>
          <w:rFonts w:hint="default" w:ascii="Times New Roman" w:hAnsi="Times New Roman" w:eastAsia="黑体" w:cs="Times New Roman"/>
          <w:color w:val="auto"/>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bookmarkEnd w:id="131"/>
      <w:bookmarkEnd w:id="132"/>
      <w:bookmarkEnd w:id="133"/>
    </w:p>
    <w:sectPr>
      <w:head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TimesNewRomanPSMT">
    <w:altName w:val="等线"/>
    <w:panose1 w:val="00000000000000000000"/>
    <w:charset w:val="86"/>
    <w:family w:val="auto"/>
    <w:pitch w:val="default"/>
    <w:sig w:usb0="00000000" w:usb1="00000000" w:usb2="00000010" w:usb3="00000000" w:csb0="0006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Symbol">
    <w:panose1 w:val="0500010001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93A87">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1EDAF">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2" name="文本框 2055"/>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14:paraId="46BDD773">
                          <w:pPr>
                            <w:pStyle w:val="22"/>
                          </w:pPr>
                          <w:r>
                            <w:rPr>
                              <w:rFonts w:hint="eastAsia"/>
                            </w:rPr>
                            <w:fldChar w:fldCharType="begin"/>
                          </w:r>
                          <w:r>
                            <w:rPr>
                              <w:rFonts w:hint="eastAsia"/>
                            </w:rPr>
                            <w:instrText xml:space="preserve"> PAGE  \* MERGEFORMAT </w:instrText>
                          </w:r>
                          <w:r>
                            <w:rPr>
                              <w:rFonts w:hint="eastAsia"/>
                            </w:rPr>
                            <w:fldChar w:fldCharType="separate"/>
                          </w:r>
                          <w:r>
                            <w:t>70</w:t>
                          </w:r>
                          <w:r>
                            <w:rPr>
                              <w:rFonts w:hint="eastAsia"/>
                            </w:rPr>
                            <w:fldChar w:fldCharType="end"/>
                          </w:r>
                        </w:p>
                      </w:txbxContent>
                    </wps:txbx>
                    <wps:bodyPr wrap="none" lIns="0" tIns="0" rIns="0" bIns="0">
                      <a:spAutoFit/>
                    </wps:bodyPr>
                  </wps:wsp>
                </a:graphicData>
              </a:graphic>
            </wp:anchor>
          </w:drawing>
        </mc:Choice>
        <mc:Fallback>
          <w:pict>
            <v:shape id="文本框 2055"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V+SdAAAAADAQAADwAAAAAAAAABACAAAAAiAAAAZHJzL2Rvd25yZXYu&#10;eG1sUEsBAhQAFAAAAAgAh07iQHqw//fKAQAAjwMAAA4AAAAAAAAAAQAgAAAAHwEAAGRycy9lMm9E&#10;b2MueG1sUEsFBgAAAAAGAAYAWQEAAFsFAAAAAA==&#10;">
              <v:fill on="f" focussize="0,0"/>
              <v:stroke on="f"/>
              <v:imagedata o:title=""/>
              <o:lock v:ext="edit" aspectratio="f"/>
              <v:textbox inset="0mm,0mm,0mm,0mm" style="mso-fit-shape-to-text:t;">
                <w:txbxContent>
                  <w:p w14:paraId="46BDD773">
                    <w:pPr>
                      <w:pStyle w:val="22"/>
                    </w:pPr>
                    <w:r>
                      <w:rPr>
                        <w:rFonts w:hint="eastAsia"/>
                      </w:rPr>
                      <w:fldChar w:fldCharType="begin"/>
                    </w:r>
                    <w:r>
                      <w:rPr>
                        <w:rFonts w:hint="eastAsia"/>
                      </w:rPr>
                      <w:instrText xml:space="preserve"> PAGE  \* MERGEFORMAT </w:instrText>
                    </w:r>
                    <w:r>
                      <w:rPr>
                        <w:rFonts w:hint="eastAsia"/>
                      </w:rPr>
                      <w:fldChar w:fldCharType="separate"/>
                    </w:r>
                    <w:r>
                      <w:t>70</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4318C">
    <w:pPr>
      <w:spacing w:line="360" w:lineRule="auto"/>
      <w:jc w:val="left"/>
      <w:rPr>
        <w:sz w:val="18"/>
        <w:szCs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2152B">
    <w:pPr>
      <w:spacing w:line="360" w:lineRule="auto"/>
      <w:jc w:val="left"/>
      <w:rPr>
        <w:sz w:val="18"/>
        <w:szCs w:val="18"/>
        <w:u w:val="single"/>
      </w:rPr>
    </w:pPr>
    <w:r>
      <w:rPr>
        <w:rFonts w:hint="eastAsia"/>
        <w:sz w:val="18"/>
        <w:szCs w:val="18"/>
        <w:u w:val="single"/>
      </w:rPr>
      <w:t>新建年产3万吨无缝钢管生产线项目                                              环境影响报告表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DA8EF">
    <w:pPr>
      <w:spacing w:line="360" w:lineRule="auto"/>
      <w:jc w:val="left"/>
      <w:rPr>
        <w:sz w:val="18"/>
        <w:szCs w:val="18"/>
        <w:u w:val="single"/>
      </w:rPr>
    </w:pPr>
    <w:r>
      <w:rPr>
        <w:rFonts w:hint="eastAsia"/>
        <w:sz w:val="18"/>
        <w:szCs w:val="18"/>
        <w:u w:val="single"/>
      </w:rPr>
      <w:t>新建年产3万吨无缝钢管生产线项目                                                                                                       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885431"/>
    <w:multiLevelType w:val="singleLevel"/>
    <w:tmpl w:val="8A885431"/>
    <w:lvl w:ilvl="0" w:tentative="0">
      <w:start w:val="1"/>
      <w:numFmt w:val="decimal"/>
      <w:suff w:val="nothing"/>
      <w:lvlText w:val="%1、"/>
      <w:lvlJc w:val="left"/>
    </w:lvl>
  </w:abstractNum>
  <w:abstractNum w:abstractNumId="1">
    <w:nsid w:val="8C613519"/>
    <w:multiLevelType w:val="singleLevel"/>
    <w:tmpl w:val="8C613519"/>
    <w:lvl w:ilvl="0" w:tentative="0">
      <w:start w:val="2"/>
      <w:numFmt w:val="decimal"/>
      <w:suff w:val="nothing"/>
      <w:lvlText w:val="%1、"/>
      <w:lvlJc w:val="left"/>
    </w:lvl>
  </w:abstractNum>
  <w:abstractNum w:abstractNumId="2">
    <w:nsid w:val="D6644D52"/>
    <w:multiLevelType w:val="singleLevel"/>
    <w:tmpl w:val="D6644D52"/>
    <w:lvl w:ilvl="0" w:tentative="0">
      <w:start w:val="1"/>
      <w:numFmt w:val="decimal"/>
      <w:suff w:val="nothing"/>
      <w:lvlText w:val="%1、"/>
      <w:lvlJc w:val="left"/>
    </w:lvl>
  </w:abstractNum>
  <w:abstractNum w:abstractNumId="3">
    <w:nsid w:val="4027559F"/>
    <w:multiLevelType w:val="singleLevel"/>
    <w:tmpl w:val="4027559F"/>
    <w:lvl w:ilvl="0" w:tentative="0">
      <w:start w:val="1"/>
      <w:numFmt w:val="decimal"/>
      <w:suff w:val="nothing"/>
      <w:lvlText w:val="%1、"/>
      <w:lvlJc w:val="left"/>
    </w:lvl>
  </w:abstractNum>
  <w:abstractNum w:abstractNumId="4">
    <w:nsid w:val="5FC00141"/>
    <w:multiLevelType w:val="singleLevel"/>
    <w:tmpl w:val="5FC00141"/>
    <w:lvl w:ilvl="0" w:tentative="0">
      <w:start w:val="14"/>
      <w:numFmt w:val="decimal"/>
      <w:suff w:val="nothing"/>
      <w:lvlText w:val="%1、"/>
      <w:lvlJc w:val="left"/>
    </w:lvl>
  </w:abstractNum>
  <w:abstractNum w:abstractNumId="5">
    <w:nsid w:val="6FD84722"/>
    <w:multiLevelType w:val="singleLevel"/>
    <w:tmpl w:val="6FD84722"/>
    <w:lvl w:ilvl="0" w:tentative="0">
      <w:start w:val="1"/>
      <w:numFmt w:val="decimal"/>
      <w:suff w:val="nothing"/>
      <w:lvlText w:val="%1、"/>
      <w:lvlJc w:val="left"/>
    </w:lvl>
  </w:abstractNum>
  <w:num w:numId="1">
    <w:abstractNumId w:val="3"/>
  </w:num>
  <w:num w:numId="2">
    <w:abstractNumId w:val="4"/>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NkM2RjZWEzMzIwOTY1MDViYmE4NzA2ZjNiODhkYjQifQ=="/>
  </w:docVars>
  <w:rsids>
    <w:rsidRoot w:val="00A14947"/>
    <w:rsid w:val="00000DCE"/>
    <w:rsid w:val="00000FCB"/>
    <w:rsid w:val="00002649"/>
    <w:rsid w:val="00004F4D"/>
    <w:rsid w:val="00005624"/>
    <w:rsid w:val="00005877"/>
    <w:rsid w:val="000060B3"/>
    <w:rsid w:val="00006563"/>
    <w:rsid w:val="0000656C"/>
    <w:rsid w:val="00006E05"/>
    <w:rsid w:val="000109F1"/>
    <w:rsid w:val="00012FDE"/>
    <w:rsid w:val="0001372F"/>
    <w:rsid w:val="00015B14"/>
    <w:rsid w:val="00015D9E"/>
    <w:rsid w:val="00015EE9"/>
    <w:rsid w:val="000161FC"/>
    <w:rsid w:val="00017435"/>
    <w:rsid w:val="000174E1"/>
    <w:rsid w:val="0002047B"/>
    <w:rsid w:val="00020B78"/>
    <w:rsid w:val="00023035"/>
    <w:rsid w:val="00024A30"/>
    <w:rsid w:val="0002611B"/>
    <w:rsid w:val="00027D54"/>
    <w:rsid w:val="00027F42"/>
    <w:rsid w:val="00030AF8"/>
    <w:rsid w:val="000310CA"/>
    <w:rsid w:val="00032A03"/>
    <w:rsid w:val="0003528F"/>
    <w:rsid w:val="000363F6"/>
    <w:rsid w:val="000379FB"/>
    <w:rsid w:val="00037AFB"/>
    <w:rsid w:val="0004364B"/>
    <w:rsid w:val="000450FC"/>
    <w:rsid w:val="00046D81"/>
    <w:rsid w:val="000473F7"/>
    <w:rsid w:val="000515D4"/>
    <w:rsid w:val="000524CB"/>
    <w:rsid w:val="00054BC4"/>
    <w:rsid w:val="00055E9D"/>
    <w:rsid w:val="0006068B"/>
    <w:rsid w:val="00061B1F"/>
    <w:rsid w:val="0006329E"/>
    <w:rsid w:val="00064061"/>
    <w:rsid w:val="00065530"/>
    <w:rsid w:val="00066DD7"/>
    <w:rsid w:val="000703A7"/>
    <w:rsid w:val="000706F1"/>
    <w:rsid w:val="0007085A"/>
    <w:rsid w:val="000733C4"/>
    <w:rsid w:val="000734E2"/>
    <w:rsid w:val="00074783"/>
    <w:rsid w:val="0007685C"/>
    <w:rsid w:val="0008070B"/>
    <w:rsid w:val="000810AC"/>
    <w:rsid w:val="00081A02"/>
    <w:rsid w:val="00082231"/>
    <w:rsid w:val="00083A8B"/>
    <w:rsid w:val="00084AC5"/>
    <w:rsid w:val="00084F35"/>
    <w:rsid w:val="00085877"/>
    <w:rsid w:val="00085C0A"/>
    <w:rsid w:val="00087A68"/>
    <w:rsid w:val="00092037"/>
    <w:rsid w:val="00092D38"/>
    <w:rsid w:val="0009377B"/>
    <w:rsid w:val="000950DC"/>
    <w:rsid w:val="00095E79"/>
    <w:rsid w:val="00096D1A"/>
    <w:rsid w:val="00096EF5"/>
    <w:rsid w:val="000974DB"/>
    <w:rsid w:val="000A0627"/>
    <w:rsid w:val="000A1635"/>
    <w:rsid w:val="000A20C9"/>
    <w:rsid w:val="000A2419"/>
    <w:rsid w:val="000A687F"/>
    <w:rsid w:val="000A79F8"/>
    <w:rsid w:val="000B058F"/>
    <w:rsid w:val="000B0E78"/>
    <w:rsid w:val="000B2EB9"/>
    <w:rsid w:val="000B39FB"/>
    <w:rsid w:val="000B42A9"/>
    <w:rsid w:val="000B4467"/>
    <w:rsid w:val="000B4DB9"/>
    <w:rsid w:val="000B5D4A"/>
    <w:rsid w:val="000B6842"/>
    <w:rsid w:val="000B6CA0"/>
    <w:rsid w:val="000B77A5"/>
    <w:rsid w:val="000C09AC"/>
    <w:rsid w:val="000C0B1E"/>
    <w:rsid w:val="000C1A9B"/>
    <w:rsid w:val="000C2BCA"/>
    <w:rsid w:val="000C34C0"/>
    <w:rsid w:val="000C53D8"/>
    <w:rsid w:val="000C5A3D"/>
    <w:rsid w:val="000C5D52"/>
    <w:rsid w:val="000C767F"/>
    <w:rsid w:val="000D2F37"/>
    <w:rsid w:val="000D308E"/>
    <w:rsid w:val="000D472B"/>
    <w:rsid w:val="000D4C90"/>
    <w:rsid w:val="000D5A44"/>
    <w:rsid w:val="000D7473"/>
    <w:rsid w:val="000E16E2"/>
    <w:rsid w:val="000E338D"/>
    <w:rsid w:val="000E35C5"/>
    <w:rsid w:val="000E3ADC"/>
    <w:rsid w:val="000E3ED2"/>
    <w:rsid w:val="000E4909"/>
    <w:rsid w:val="000F51E2"/>
    <w:rsid w:val="000F58DE"/>
    <w:rsid w:val="000F76EF"/>
    <w:rsid w:val="00100EC2"/>
    <w:rsid w:val="001012C9"/>
    <w:rsid w:val="001035C8"/>
    <w:rsid w:val="0010796C"/>
    <w:rsid w:val="00110211"/>
    <w:rsid w:val="0011472A"/>
    <w:rsid w:val="00122B93"/>
    <w:rsid w:val="00123544"/>
    <w:rsid w:val="00123A19"/>
    <w:rsid w:val="00123F41"/>
    <w:rsid w:val="0012418E"/>
    <w:rsid w:val="0012735C"/>
    <w:rsid w:val="00127D91"/>
    <w:rsid w:val="00130E72"/>
    <w:rsid w:val="00131F42"/>
    <w:rsid w:val="00132735"/>
    <w:rsid w:val="00133EC9"/>
    <w:rsid w:val="001357F1"/>
    <w:rsid w:val="00140FA8"/>
    <w:rsid w:val="00142FEB"/>
    <w:rsid w:val="00143A2D"/>
    <w:rsid w:val="00145A41"/>
    <w:rsid w:val="00146E1C"/>
    <w:rsid w:val="00146E93"/>
    <w:rsid w:val="00150D90"/>
    <w:rsid w:val="00151675"/>
    <w:rsid w:val="00151E9E"/>
    <w:rsid w:val="00153327"/>
    <w:rsid w:val="0015668F"/>
    <w:rsid w:val="00156695"/>
    <w:rsid w:val="001570CF"/>
    <w:rsid w:val="00157435"/>
    <w:rsid w:val="0016191C"/>
    <w:rsid w:val="001619F1"/>
    <w:rsid w:val="00162554"/>
    <w:rsid w:val="001634F5"/>
    <w:rsid w:val="00164B15"/>
    <w:rsid w:val="001741EF"/>
    <w:rsid w:val="0017504D"/>
    <w:rsid w:val="00175C95"/>
    <w:rsid w:val="0017671A"/>
    <w:rsid w:val="00177422"/>
    <w:rsid w:val="00180C52"/>
    <w:rsid w:val="0018161B"/>
    <w:rsid w:val="00183121"/>
    <w:rsid w:val="001836EA"/>
    <w:rsid w:val="00184590"/>
    <w:rsid w:val="00184683"/>
    <w:rsid w:val="00184A1A"/>
    <w:rsid w:val="0018704E"/>
    <w:rsid w:val="001870D1"/>
    <w:rsid w:val="0018739E"/>
    <w:rsid w:val="0018781E"/>
    <w:rsid w:val="00190359"/>
    <w:rsid w:val="00190CB4"/>
    <w:rsid w:val="0019262D"/>
    <w:rsid w:val="001947CD"/>
    <w:rsid w:val="0019539A"/>
    <w:rsid w:val="0019554C"/>
    <w:rsid w:val="00195D81"/>
    <w:rsid w:val="001963D2"/>
    <w:rsid w:val="00197100"/>
    <w:rsid w:val="001A1B35"/>
    <w:rsid w:val="001A46B5"/>
    <w:rsid w:val="001A48A2"/>
    <w:rsid w:val="001A4D94"/>
    <w:rsid w:val="001A6F61"/>
    <w:rsid w:val="001A77D3"/>
    <w:rsid w:val="001B3E43"/>
    <w:rsid w:val="001B5751"/>
    <w:rsid w:val="001B5941"/>
    <w:rsid w:val="001B5D52"/>
    <w:rsid w:val="001B72B8"/>
    <w:rsid w:val="001C0C02"/>
    <w:rsid w:val="001C31E2"/>
    <w:rsid w:val="001C43B1"/>
    <w:rsid w:val="001C5DF9"/>
    <w:rsid w:val="001C6206"/>
    <w:rsid w:val="001C69B3"/>
    <w:rsid w:val="001D0DC8"/>
    <w:rsid w:val="001D19D5"/>
    <w:rsid w:val="001D3054"/>
    <w:rsid w:val="001D33E3"/>
    <w:rsid w:val="001D49FB"/>
    <w:rsid w:val="001D5595"/>
    <w:rsid w:val="001D7874"/>
    <w:rsid w:val="001D7F22"/>
    <w:rsid w:val="001E1021"/>
    <w:rsid w:val="001E1914"/>
    <w:rsid w:val="001E34DE"/>
    <w:rsid w:val="001E7E47"/>
    <w:rsid w:val="001F0B4F"/>
    <w:rsid w:val="001F0F17"/>
    <w:rsid w:val="001F3347"/>
    <w:rsid w:val="001F36AE"/>
    <w:rsid w:val="001F6592"/>
    <w:rsid w:val="001F65BC"/>
    <w:rsid w:val="001F69E4"/>
    <w:rsid w:val="001F6F5D"/>
    <w:rsid w:val="001F6FC9"/>
    <w:rsid w:val="001F736A"/>
    <w:rsid w:val="001F7A25"/>
    <w:rsid w:val="00200EFA"/>
    <w:rsid w:val="00201290"/>
    <w:rsid w:val="0020284B"/>
    <w:rsid w:val="00202F85"/>
    <w:rsid w:val="00203076"/>
    <w:rsid w:val="00203882"/>
    <w:rsid w:val="00204193"/>
    <w:rsid w:val="00205B55"/>
    <w:rsid w:val="00206A59"/>
    <w:rsid w:val="002072B6"/>
    <w:rsid w:val="0021050D"/>
    <w:rsid w:val="002113AF"/>
    <w:rsid w:val="00211878"/>
    <w:rsid w:val="002125B4"/>
    <w:rsid w:val="00212723"/>
    <w:rsid w:val="00214320"/>
    <w:rsid w:val="0021436B"/>
    <w:rsid w:val="002155B8"/>
    <w:rsid w:val="00215A44"/>
    <w:rsid w:val="00215D05"/>
    <w:rsid w:val="00217E8E"/>
    <w:rsid w:val="0022059D"/>
    <w:rsid w:val="00221774"/>
    <w:rsid w:val="00221C63"/>
    <w:rsid w:val="00224839"/>
    <w:rsid w:val="002249B2"/>
    <w:rsid w:val="00225223"/>
    <w:rsid w:val="00226574"/>
    <w:rsid w:val="002278EC"/>
    <w:rsid w:val="00230C17"/>
    <w:rsid w:val="002316B4"/>
    <w:rsid w:val="0023280E"/>
    <w:rsid w:val="002331D5"/>
    <w:rsid w:val="00235AC0"/>
    <w:rsid w:val="00235B1F"/>
    <w:rsid w:val="00236382"/>
    <w:rsid w:val="002377D1"/>
    <w:rsid w:val="00240E13"/>
    <w:rsid w:val="002417ED"/>
    <w:rsid w:val="00242001"/>
    <w:rsid w:val="00242689"/>
    <w:rsid w:val="00243026"/>
    <w:rsid w:val="002438E8"/>
    <w:rsid w:val="00245CB1"/>
    <w:rsid w:val="00245F1F"/>
    <w:rsid w:val="00246407"/>
    <w:rsid w:val="002506BC"/>
    <w:rsid w:val="00254345"/>
    <w:rsid w:val="00256489"/>
    <w:rsid w:val="00257180"/>
    <w:rsid w:val="00257DBA"/>
    <w:rsid w:val="00261BF6"/>
    <w:rsid w:val="00264557"/>
    <w:rsid w:val="002701C2"/>
    <w:rsid w:val="00270653"/>
    <w:rsid w:val="00270B76"/>
    <w:rsid w:val="00272333"/>
    <w:rsid w:val="002729A8"/>
    <w:rsid w:val="00275092"/>
    <w:rsid w:val="00275A4D"/>
    <w:rsid w:val="00275F4B"/>
    <w:rsid w:val="002765E7"/>
    <w:rsid w:val="002805AB"/>
    <w:rsid w:val="00284204"/>
    <w:rsid w:val="0028462B"/>
    <w:rsid w:val="002873D5"/>
    <w:rsid w:val="00290D29"/>
    <w:rsid w:val="0029138F"/>
    <w:rsid w:val="00291773"/>
    <w:rsid w:val="002935E0"/>
    <w:rsid w:val="00295768"/>
    <w:rsid w:val="00297009"/>
    <w:rsid w:val="002A0DC8"/>
    <w:rsid w:val="002A0F51"/>
    <w:rsid w:val="002A11F9"/>
    <w:rsid w:val="002A168C"/>
    <w:rsid w:val="002A20BD"/>
    <w:rsid w:val="002A28C1"/>
    <w:rsid w:val="002A3DC7"/>
    <w:rsid w:val="002A426D"/>
    <w:rsid w:val="002B49E2"/>
    <w:rsid w:val="002B7B00"/>
    <w:rsid w:val="002B7C44"/>
    <w:rsid w:val="002C2B17"/>
    <w:rsid w:val="002C52EB"/>
    <w:rsid w:val="002C64BF"/>
    <w:rsid w:val="002C6F23"/>
    <w:rsid w:val="002C7008"/>
    <w:rsid w:val="002D0598"/>
    <w:rsid w:val="002D33EC"/>
    <w:rsid w:val="002D3DD0"/>
    <w:rsid w:val="002D3E9F"/>
    <w:rsid w:val="002E0907"/>
    <w:rsid w:val="002E1F3A"/>
    <w:rsid w:val="002E298A"/>
    <w:rsid w:val="002E31DD"/>
    <w:rsid w:val="002E39C8"/>
    <w:rsid w:val="002E4027"/>
    <w:rsid w:val="002E772F"/>
    <w:rsid w:val="002F0CED"/>
    <w:rsid w:val="002F5CE6"/>
    <w:rsid w:val="002F651E"/>
    <w:rsid w:val="00301978"/>
    <w:rsid w:val="0030332C"/>
    <w:rsid w:val="003033E9"/>
    <w:rsid w:val="00303F94"/>
    <w:rsid w:val="00304486"/>
    <w:rsid w:val="00304904"/>
    <w:rsid w:val="003051C2"/>
    <w:rsid w:val="00305BC0"/>
    <w:rsid w:val="003075E5"/>
    <w:rsid w:val="0031105A"/>
    <w:rsid w:val="00311F64"/>
    <w:rsid w:val="00312296"/>
    <w:rsid w:val="003125A5"/>
    <w:rsid w:val="003131F0"/>
    <w:rsid w:val="00314A3D"/>
    <w:rsid w:val="00314B95"/>
    <w:rsid w:val="00314F0E"/>
    <w:rsid w:val="00321CBC"/>
    <w:rsid w:val="00321D8E"/>
    <w:rsid w:val="003226A2"/>
    <w:rsid w:val="0032371F"/>
    <w:rsid w:val="0032555A"/>
    <w:rsid w:val="00325721"/>
    <w:rsid w:val="00325928"/>
    <w:rsid w:val="00331A59"/>
    <w:rsid w:val="00332863"/>
    <w:rsid w:val="0033490B"/>
    <w:rsid w:val="00335857"/>
    <w:rsid w:val="0033684D"/>
    <w:rsid w:val="00337B42"/>
    <w:rsid w:val="00340A68"/>
    <w:rsid w:val="00340B78"/>
    <w:rsid w:val="00341B42"/>
    <w:rsid w:val="0034342D"/>
    <w:rsid w:val="0034348F"/>
    <w:rsid w:val="00343BC9"/>
    <w:rsid w:val="00343FE4"/>
    <w:rsid w:val="00344346"/>
    <w:rsid w:val="003452DD"/>
    <w:rsid w:val="00345AC0"/>
    <w:rsid w:val="00345E46"/>
    <w:rsid w:val="00351152"/>
    <w:rsid w:val="003524F8"/>
    <w:rsid w:val="003556A5"/>
    <w:rsid w:val="00355A27"/>
    <w:rsid w:val="00356653"/>
    <w:rsid w:val="0035743F"/>
    <w:rsid w:val="00357BE2"/>
    <w:rsid w:val="003600E7"/>
    <w:rsid w:val="0036170C"/>
    <w:rsid w:val="00361B6A"/>
    <w:rsid w:val="0036315B"/>
    <w:rsid w:val="00366CA9"/>
    <w:rsid w:val="00366E0F"/>
    <w:rsid w:val="00370840"/>
    <w:rsid w:val="00374AE4"/>
    <w:rsid w:val="003751DD"/>
    <w:rsid w:val="00381A72"/>
    <w:rsid w:val="00381BAC"/>
    <w:rsid w:val="00382766"/>
    <w:rsid w:val="00382F0B"/>
    <w:rsid w:val="00384676"/>
    <w:rsid w:val="00386F76"/>
    <w:rsid w:val="00390857"/>
    <w:rsid w:val="00394EDB"/>
    <w:rsid w:val="00397681"/>
    <w:rsid w:val="003A0CAC"/>
    <w:rsid w:val="003A4BF3"/>
    <w:rsid w:val="003A51DF"/>
    <w:rsid w:val="003A67D9"/>
    <w:rsid w:val="003A7982"/>
    <w:rsid w:val="003B0633"/>
    <w:rsid w:val="003B0A94"/>
    <w:rsid w:val="003B0C43"/>
    <w:rsid w:val="003B2636"/>
    <w:rsid w:val="003B420D"/>
    <w:rsid w:val="003B4B87"/>
    <w:rsid w:val="003B4C0C"/>
    <w:rsid w:val="003B4C3F"/>
    <w:rsid w:val="003C160D"/>
    <w:rsid w:val="003C4D4A"/>
    <w:rsid w:val="003C57D6"/>
    <w:rsid w:val="003C6599"/>
    <w:rsid w:val="003C6C16"/>
    <w:rsid w:val="003D09D0"/>
    <w:rsid w:val="003D2869"/>
    <w:rsid w:val="003D305D"/>
    <w:rsid w:val="003D44AA"/>
    <w:rsid w:val="003D4D8F"/>
    <w:rsid w:val="003D6A88"/>
    <w:rsid w:val="003D794D"/>
    <w:rsid w:val="003E0AC6"/>
    <w:rsid w:val="003E0FF2"/>
    <w:rsid w:val="003E1FA6"/>
    <w:rsid w:val="003E3058"/>
    <w:rsid w:val="003E3D87"/>
    <w:rsid w:val="003E76A9"/>
    <w:rsid w:val="003F0809"/>
    <w:rsid w:val="003F1444"/>
    <w:rsid w:val="003F45D0"/>
    <w:rsid w:val="003F6A8C"/>
    <w:rsid w:val="003F755C"/>
    <w:rsid w:val="003F7C73"/>
    <w:rsid w:val="00402239"/>
    <w:rsid w:val="00406851"/>
    <w:rsid w:val="00406F01"/>
    <w:rsid w:val="0041251D"/>
    <w:rsid w:val="00412A13"/>
    <w:rsid w:val="004141EB"/>
    <w:rsid w:val="0041475F"/>
    <w:rsid w:val="00414D11"/>
    <w:rsid w:val="00414EA7"/>
    <w:rsid w:val="00415066"/>
    <w:rsid w:val="00416D50"/>
    <w:rsid w:val="00416DE9"/>
    <w:rsid w:val="00416E5A"/>
    <w:rsid w:val="00416FD5"/>
    <w:rsid w:val="00417772"/>
    <w:rsid w:val="00420E6A"/>
    <w:rsid w:val="00422B26"/>
    <w:rsid w:val="0042493E"/>
    <w:rsid w:val="00424B15"/>
    <w:rsid w:val="00425A9E"/>
    <w:rsid w:val="00425D06"/>
    <w:rsid w:val="00426D6B"/>
    <w:rsid w:val="00431332"/>
    <w:rsid w:val="0043177B"/>
    <w:rsid w:val="00431E6C"/>
    <w:rsid w:val="0043381C"/>
    <w:rsid w:val="00433CE7"/>
    <w:rsid w:val="00434D29"/>
    <w:rsid w:val="00436B0F"/>
    <w:rsid w:val="004374BF"/>
    <w:rsid w:val="0044035E"/>
    <w:rsid w:val="004409E2"/>
    <w:rsid w:val="004425A1"/>
    <w:rsid w:val="004440DF"/>
    <w:rsid w:val="004504EF"/>
    <w:rsid w:val="00451707"/>
    <w:rsid w:val="00451ABE"/>
    <w:rsid w:val="00451EA6"/>
    <w:rsid w:val="00452738"/>
    <w:rsid w:val="00452A50"/>
    <w:rsid w:val="00453622"/>
    <w:rsid w:val="00453D54"/>
    <w:rsid w:val="0045457B"/>
    <w:rsid w:val="00454777"/>
    <w:rsid w:val="00456091"/>
    <w:rsid w:val="00456AF4"/>
    <w:rsid w:val="00456BCA"/>
    <w:rsid w:val="00457CF3"/>
    <w:rsid w:val="00462742"/>
    <w:rsid w:val="004631A5"/>
    <w:rsid w:val="004639D8"/>
    <w:rsid w:val="00463D40"/>
    <w:rsid w:val="004645E8"/>
    <w:rsid w:val="0046491F"/>
    <w:rsid w:val="00466186"/>
    <w:rsid w:val="00466321"/>
    <w:rsid w:val="00470F19"/>
    <w:rsid w:val="00474648"/>
    <w:rsid w:val="004815E5"/>
    <w:rsid w:val="00481D32"/>
    <w:rsid w:val="00483F84"/>
    <w:rsid w:val="0048403D"/>
    <w:rsid w:val="00484B9B"/>
    <w:rsid w:val="004855F6"/>
    <w:rsid w:val="00485A5D"/>
    <w:rsid w:val="00485AC0"/>
    <w:rsid w:val="00485CFB"/>
    <w:rsid w:val="0048661E"/>
    <w:rsid w:val="004873D3"/>
    <w:rsid w:val="00491089"/>
    <w:rsid w:val="00494670"/>
    <w:rsid w:val="004A34D0"/>
    <w:rsid w:val="004A3823"/>
    <w:rsid w:val="004A3B89"/>
    <w:rsid w:val="004A514F"/>
    <w:rsid w:val="004A5488"/>
    <w:rsid w:val="004A5E66"/>
    <w:rsid w:val="004B141B"/>
    <w:rsid w:val="004B2F6E"/>
    <w:rsid w:val="004B30BB"/>
    <w:rsid w:val="004B38BA"/>
    <w:rsid w:val="004B39DE"/>
    <w:rsid w:val="004B45E6"/>
    <w:rsid w:val="004B49B6"/>
    <w:rsid w:val="004B4F58"/>
    <w:rsid w:val="004B5C7A"/>
    <w:rsid w:val="004B6726"/>
    <w:rsid w:val="004B72B2"/>
    <w:rsid w:val="004C2074"/>
    <w:rsid w:val="004C3288"/>
    <w:rsid w:val="004C3D73"/>
    <w:rsid w:val="004C438A"/>
    <w:rsid w:val="004C61AF"/>
    <w:rsid w:val="004D066C"/>
    <w:rsid w:val="004D07D9"/>
    <w:rsid w:val="004D1B3A"/>
    <w:rsid w:val="004D46F6"/>
    <w:rsid w:val="004D70C1"/>
    <w:rsid w:val="004E0772"/>
    <w:rsid w:val="004E22C8"/>
    <w:rsid w:val="004E3C1F"/>
    <w:rsid w:val="004E6946"/>
    <w:rsid w:val="004E7378"/>
    <w:rsid w:val="004F045A"/>
    <w:rsid w:val="004F145C"/>
    <w:rsid w:val="004F1AD8"/>
    <w:rsid w:val="004F2655"/>
    <w:rsid w:val="004F380E"/>
    <w:rsid w:val="004F4604"/>
    <w:rsid w:val="004F70C3"/>
    <w:rsid w:val="004F719A"/>
    <w:rsid w:val="0050073D"/>
    <w:rsid w:val="0050133E"/>
    <w:rsid w:val="00501DBD"/>
    <w:rsid w:val="00501FF9"/>
    <w:rsid w:val="005020D1"/>
    <w:rsid w:val="00502E44"/>
    <w:rsid w:val="005036C5"/>
    <w:rsid w:val="00503829"/>
    <w:rsid w:val="005039CB"/>
    <w:rsid w:val="0050558F"/>
    <w:rsid w:val="00506286"/>
    <w:rsid w:val="00510813"/>
    <w:rsid w:val="00511990"/>
    <w:rsid w:val="00511A19"/>
    <w:rsid w:val="00511DE0"/>
    <w:rsid w:val="00512865"/>
    <w:rsid w:val="005131B2"/>
    <w:rsid w:val="00514870"/>
    <w:rsid w:val="00514B9B"/>
    <w:rsid w:val="00517F02"/>
    <w:rsid w:val="00521473"/>
    <w:rsid w:val="005220C5"/>
    <w:rsid w:val="00524303"/>
    <w:rsid w:val="00524827"/>
    <w:rsid w:val="00524DD9"/>
    <w:rsid w:val="005258A2"/>
    <w:rsid w:val="00526035"/>
    <w:rsid w:val="00526757"/>
    <w:rsid w:val="005274F3"/>
    <w:rsid w:val="00531080"/>
    <w:rsid w:val="00533099"/>
    <w:rsid w:val="0053370B"/>
    <w:rsid w:val="00536A58"/>
    <w:rsid w:val="0053708D"/>
    <w:rsid w:val="00537BAB"/>
    <w:rsid w:val="005401AE"/>
    <w:rsid w:val="0054034A"/>
    <w:rsid w:val="0054075A"/>
    <w:rsid w:val="005423BF"/>
    <w:rsid w:val="00542E07"/>
    <w:rsid w:val="00543C33"/>
    <w:rsid w:val="00543C55"/>
    <w:rsid w:val="00545424"/>
    <w:rsid w:val="005460BD"/>
    <w:rsid w:val="00546BE5"/>
    <w:rsid w:val="00547999"/>
    <w:rsid w:val="00552BB9"/>
    <w:rsid w:val="00553400"/>
    <w:rsid w:val="00554A7B"/>
    <w:rsid w:val="005556E2"/>
    <w:rsid w:val="0055572C"/>
    <w:rsid w:val="00556913"/>
    <w:rsid w:val="00560224"/>
    <w:rsid w:val="0056058B"/>
    <w:rsid w:val="0056106A"/>
    <w:rsid w:val="005613FB"/>
    <w:rsid w:val="0056211E"/>
    <w:rsid w:val="00564C7D"/>
    <w:rsid w:val="00565527"/>
    <w:rsid w:val="00565922"/>
    <w:rsid w:val="00570E8A"/>
    <w:rsid w:val="00571B8F"/>
    <w:rsid w:val="00571BBB"/>
    <w:rsid w:val="00572085"/>
    <w:rsid w:val="005720AE"/>
    <w:rsid w:val="0057764A"/>
    <w:rsid w:val="00581973"/>
    <w:rsid w:val="00581C2E"/>
    <w:rsid w:val="0058391C"/>
    <w:rsid w:val="005841CD"/>
    <w:rsid w:val="005844AF"/>
    <w:rsid w:val="0059002C"/>
    <w:rsid w:val="00592F4C"/>
    <w:rsid w:val="00593D74"/>
    <w:rsid w:val="00594D77"/>
    <w:rsid w:val="00594F8C"/>
    <w:rsid w:val="00595269"/>
    <w:rsid w:val="00595559"/>
    <w:rsid w:val="005969E4"/>
    <w:rsid w:val="005A06B7"/>
    <w:rsid w:val="005A1759"/>
    <w:rsid w:val="005A23DA"/>
    <w:rsid w:val="005A294D"/>
    <w:rsid w:val="005A2C09"/>
    <w:rsid w:val="005A65C6"/>
    <w:rsid w:val="005A68A7"/>
    <w:rsid w:val="005A6C56"/>
    <w:rsid w:val="005B0B7D"/>
    <w:rsid w:val="005B15E6"/>
    <w:rsid w:val="005B2035"/>
    <w:rsid w:val="005B32FC"/>
    <w:rsid w:val="005B3867"/>
    <w:rsid w:val="005B4ED9"/>
    <w:rsid w:val="005B6E34"/>
    <w:rsid w:val="005C239A"/>
    <w:rsid w:val="005C29DE"/>
    <w:rsid w:val="005C5612"/>
    <w:rsid w:val="005D36AB"/>
    <w:rsid w:val="005E0E3B"/>
    <w:rsid w:val="005E3AB4"/>
    <w:rsid w:val="005E7368"/>
    <w:rsid w:val="005F56B3"/>
    <w:rsid w:val="005F6624"/>
    <w:rsid w:val="005F700E"/>
    <w:rsid w:val="00600A1E"/>
    <w:rsid w:val="00600AAC"/>
    <w:rsid w:val="00600F9C"/>
    <w:rsid w:val="00601501"/>
    <w:rsid w:val="00603140"/>
    <w:rsid w:val="00603BF3"/>
    <w:rsid w:val="0060702F"/>
    <w:rsid w:val="006076CA"/>
    <w:rsid w:val="00610AD0"/>
    <w:rsid w:val="00617AF5"/>
    <w:rsid w:val="00617CC3"/>
    <w:rsid w:val="00622B1F"/>
    <w:rsid w:val="00624E71"/>
    <w:rsid w:val="00625707"/>
    <w:rsid w:val="00627E12"/>
    <w:rsid w:val="006302DF"/>
    <w:rsid w:val="0063181A"/>
    <w:rsid w:val="00633175"/>
    <w:rsid w:val="0063445E"/>
    <w:rsid w:val="006366F3"/>
    <w:rsid w:val="006368E9"/>
    <w:rsid w:val="006377A6"/>
    <w:rsid w:val="00637A3D"/>
    <w:rsid w:val="006411EF"/>
    <w:rsid w:val="00642B96"/>
    <w:rsid w:val="0064405F"/>
    <w:rsid w:val="00647B31"/>
    <w:rsid w:val="00651EED"/>
    <w:rsid w:val="00654E98"/>
    <w:rsid w:val="0065560B"/>
    <w:rsid w:val="00655F6E"/>
    <w:rsid w:val="00664736"/>
    <w:rsid w:val="00664AE0"/>
    <w:rsid w:val="00670B48"/>
    <w:rsid w:val="00673CE8"/>
    <w:rsid w:val="006748B8"/>
    <w:rsid w:val="00675832"/>
    <w:rsid w:val="0067595B"/>
    <w:rsid w:val="006775C3"/>
    <w:rsid w:val="00681C06"/>
    <w:rsid w:val="00681ECE"/>
    <w:rsid w:val="00684EB3"/>
    <w:rsid w:val="00685774"/>
    <w:rsid w:val="006857A9"/>
    <w:rsid w:val="0069099B"/>
    <w:rsid w:val="00690BC5"/>
    <w:rsid w:val="00692810"/>
    <w:rsid w:val="0069290A"/>
    <w:rsid w:val="00692A7C"/>
    <w:rsid w:val="00694414"/>
    <w:rsid w:val="0069442F"/>
    <w:rsid w:val="00694CFF"/>
    <w:rsid w:val="006964E5"/>
    <w:rsid w:val="00696643"/>
    <w:rsid w:val="00696D2A"/>
    <w:rsid w:val="0069738D"/>
    <w:rsid w:val="0069775A"/>
    <w:rsid w:val="00697813"/>
    <w:rsid w:val="00697EDD"/>
    <w:rsid w:val="006A013A"/>
    <w:rsid w:val="006A075E"/>
    <w:rsid w:val="006A2940"/>
    <w:rsid w:val="006A2AFF"/>
    <w:rsid w:val="006A3DFD"/>
    <w:rsid w:val="006A3ED7"/>
    <w:rsid w:val="006A3EE8"/>
    <w:rsid w:val="006A66A4"/>
    <w:rsid w:val="006A72BF"/>
    <w:rsid w:val="006A73FC"/>
    <w:rsid w:val="006A774B"/>
    <w:rsid w:val="006B03F2"/>
    <w:rsid w:val="006B37DC"/>
    <w:rsid w:val="006B4A74"/>
    <w:rsid w:val="006B4D3E"/>
    <w:rsid w:val="006B4F68"/>
    <w:rsid w:val="006B56E6"/>
    <w:rsid w:val="006B6D06"/>
    <w:rsid w:val="006C0592"/>
    <w:rsid w:val="006C10AD"/>
    <w:rsid w:val="006C1943"/>
    <w:rsid w:val="006C272E"/>
    <w:rsid w:val="006C3E86"/>
    <w:rsid w:val="006C3EF9"/>
    <w:rsid w:val="006C4151"/>
    <w:rsid w:val="006C5479"/>
    <w:rsid w:val="006C5B30"/>
    <w:rsid w:val="006C5D9A"/>
    <w:rsid w:val="006D13B5"/>
    <w:rsid w:val="006D1989"/>
    <w:rsid w:val="006D19D3"/>
    <w:rsid w:val="006D3F67"/>
    <w:rsid w:val="006D4271"/>
    <w:rsid w:val="006D4B39"/>
    <w:rsid w:val="006D576B"/>
    <w:rsid w:val="006D6678"/>
    <w:rsid w:val="006E12FF"/>
    <w:rsid w:val="006E19D3"/>
    <w:rsid w:val="006E607E"/>
    <w:rsid w:val="006E72A2"/>
    <w:rsid w:val="006F0F21"/>
    <w:rsid w:val="006F2B2C"/>
    <w:rsid w:val="00701FD4"/>
    <w:rsid w:val="00704A87"/>
    <w:rsid w:val="0070565B"/>
    <w:rsid w:val="007065CC"/>
    <w:rsid w:val="00706C5D"/>
    <w:rsid w:val="00710213"/>
    <w:rsid w:val="00710B8B"/>
    <w:rsid w:val="0073013C"/>
    <w:rsid w:val="00732922"/>
    <w:rsid w:val="00732FF2"/>
    <w:rsid w:val="00733A69"/>
    <w:rsid w:val="0073489E"/>
    <w:rsid w:val="0073590A"/>
    <w:rsid w:val="0073712F"/>
    <w:rsid w:val="007443A6"/>
    <w:rsid w:val="00745769"/>
    <w:rsid w:val="007462DD"/>
    <w:rsid w:val="00750239"/>
    <w:rsid w:val="0075102B"/>
    <w:rsid w:val="0075162E"/>
    <w:rsid w:val="00752A05"/>
    <w:rsid w:val="00754034"/>
    <w:rsid w:val="00755532"/>
    <w:rsid w:val="00756556"/>
    <w:rsid w:val="00756BF6"/>
    <w:rsid w:val="007602C9"/>
    <w:rsid w:val="00760911"/>
    <w:rsid w:val="007614B1"/>
    <w:rsid w:val="00761877"/>
    <w:rsid w:val="007618C4"/>
    <w:rsid w:val="00761C47"/>
    <w:rsid w:val="00765FE4"/>
    <w:rsid w:val="00766A8C"/>
    <w:rsid w:val="00766AF5"/>
    <w:rsid w:val="007678E7"/>
    <w:rsid w:val="00767980"/>
    <w:rsid w:val="007701C8"/>
    <w:rsid w:val="00770B19"/>
    <w:rsid w:val="00770E8E"/>
    <w:rsid w:val="007734D4"/>
    <w:rsid w:val="0077463F"/>
    <w:rsid w:val="00780D64"/>
    <w:rsid w:val="00781B37"/>
    <w:rsid w:val="00781EDF"/>
    <w:rsid w:val="007828BB"/>
    <w:rsid w:val="007836EA"/>
    <w:rsid w:val="0078461C"/>
    <w:rsid w:val="00784A28"/>
    <w:rsid w:val="00784CDA"/>
    <w:rsid w:val="007867FA"/>
    <w:rsid w:val="00787558"/>
    <w:rsid w:val="00787FF7"/>
    <w:rsid w:val="00790277"/>
    <w:rsid w:val="007906C4"/>
    <w:rsid w:val="00790BE7"/>
    <w:rsid w:val="00793148"/>
    <w:rsid w:val="007940EA"/>
    <w:rsid w:val="007967E8"/>
    <w:rsid w:val="007A1A94"/>
    <w:rsid w:val="007A2170"/>
    <w:rsid w:val="007A22BF"/>
    <w:rsid w:val="007A3323"/>
    <w:rsid w:val="007A4C5A"/>
    <w:rsid w:val="007A4F88"/>
    <w:rsid w:val="007B031A"/>
    <w:rsid w:val="007B0C17"/>
    <w:rsid w:val="007B232F"/>
    <w:rsid w:val="007B37AE"/>
    <w:rsid w:val="007B6920"/>
    <w:rsid w:val="007B72B8"/>
    <w:rsid w:val="007B7A58"/>
    <w:rsid w:val="007C21B5"/>
    <w:rsid w:val="007C4196"/>
    <w:rsid w:val="007C630A"/>
    <w:rsid w:val="007C6A21"/>
    <w:rsid w:val="007C6E68"/>
    <w:rsid w:val="007D1DC9"/>
    <w:rsid w:val="007D24D6"/>
    <w:rsid w:val="007D309F"/>
    <w:rsid w:val="007D71D0"/>
    <w:rsid w:val="007D77B4"/>
    <w:rsid w:val="007D79C2"/>
    <w:rsid w:val="007D7E5B"/>
    <w:rsid w:val="007E0F21"/>
    <w:rsid w:val="007E445E"/>
    <w:rsid w:val="007E4BD2"/>
    <w:rsid w:val="007E523F"/>
    <w:rsid w:val="007E539E"/>
    <w:rsid w:val="007E6917"/>
    <w:rsid w:val="007F0A1D"/>
    <w:rsid w:val="007F2033"/>
    <w:rsid w:val="007F5B2D"/>
    <w:rsid w:val="007F61FC"/>
    <w:rsid w:val="007F6914"/>
    <w:rsid w:val="007F6E74"/>
    <w:rsid w:val="007F7454"/>
    <w:rsid w:val="008004A5"/>
    <w:rsid w:val="00801393"/>
    <w:rsid w:val="00801D90"/>
    <w:rsid w:val="008026C5"/>
    <w:rsid w:val="00802F88"/>
    <w:rsid w:val="00803572"/>
    <w:rsid w:val="0080436E"/>
    <w:rsid w:val="008055F6"/>
    <w:rsid w:val="00805885"/>
    <w:rsid w:val="00806819"/>
    <w:rsid w:val="008102A8"/>
    <w:rsid w:val="00810919"/>
    <w:rsid w:val="00811F7B"/>
    <w:rsid w:val="0081293E"/>
    <w:rsid w:val="0081330A"/>
    <w:rsid w:val="00814A24"/>
    <w:rsid w:val="00814FC3"/>
    <w:rsid w:val="00815465"/>
    <w:rsid w:val="00817E9A"/>
    <w:rsid w:val="00821E78"/>
    <w:rsid w:val="00822E9F"/>
    <w:rsid w:val="00823AD9"/>
    <w:rsid w:val="00825212"/>
    <w:rsid w:val="00825487"/>
    <w:rsid w:val="0082738B"/>
    <w:rsid w:val="00827C99"/>
    <w:rsid w:val="008306BD"/>
    <w:rsid w:val="00831A80"/>
    <w:rsid w:val="00831C95"/>
    <w:rsid w:val="00833743"/>
    <w:rsid w:val="00833B0B"/>
    <w:rsid w:val="008340A4"/>
    <w:rsid w:val="008360CC"/>
    <w:rsid w:val="00840AD3"/>
    <w:rsid w:val="00841048"/>
    <w:rsid w:val="0084143D"/>
    <w:rsid w:val="00842C3B"/>
    <w:rsid w:val="00843A37"/>
    <w:rsid w:val="0084530D"/>
    <w:rsid w:val="00847D38"/>
    <w:rsid w:val="0085059E"/>
    <w:rsid w:val="00851DE8"/>
    <w:rsid w:val="00853AB1"/>
    <w:rsid w:val="00855182"/>
    <w:rsid w:val="00855E68"/>
    <w:rsid w:val="00862816"/>
    <w:rsid w:val="00862D17"/>
    <w:rsid w:val="0086497E"/>
    <w:rsid w:val="00865085"/>
    <w:rsid w:val="00866411"/>
    <w:rsid w:val="00867ACD"/>
    <w:rsid w:val="00870004"/>
    <w:rsid w:val="0087135F"/>
    <w:rsid w:val="00871C33"/>
    <w:rsid w:val="0087252B"/>
    <w:rsid w:val="00872D94"/>
    <w:rsid w:val="00873593"/>
    <w:rsid w:val="00874E35"/>
    <w:rsid w:val="0087669D"/>
    <w:rsid w:val="00880364"/>
    <w:rsid w:val="0088040E"/>
    <w:rsid w:val="00881906"/>
    <w:rsid w:val="00881AFA"/>
    <w:rsid w:val="008832B8"/>
    <w:rsid w:val="00885425"/>
    <w:rsid w:val="00885A08"/>
    <w:rsid w:val="008903E5"/>
    <w:rsid w:val="00891592"/>
    <w:rsid w:val="008916E5"/>
    <w:rsid w:val="0089173A"/>
    <w:rsid w:val="00891E9E"/>
    <w:rsid w:val="008921A2"/>
    <w:rsid w:val="00893059"/>
    <w:rsid w:val="008941C7"/>
    <w:rsid w:val="008946D6"/>
    <w:rsid w:val="008952B6"/>
    <w:rsid w:val="00897AC3"/>
    <w:rsid w:val="00897E7B"/>
    <w:rsid w:val="008A02CE"/>
    <w:rsid w:val="008A2B04"/>
    <w:rsid w:val="008A2ED0"/>
    <w:rsid w:val="008A2F68"/>
    <w:rsid w:val="008A3BCA"/>
    <w:rsid w:val="008A49B0"/>
    <w:rsid w:val="008A4D38"/>
    <w:rsid w:val="008B229E"/>
    <w:rsid w:val="008B3F90"/>
    <w:rsid w:val="008B4EB9"/>
    <w:rsid w:val="008B4FA6"/>
    <w:rsid w:val="008B5282"/>
    <w:rsid w:val="008B56C8"/>
    <w:rsid w:val="008B6CFD"/>
    <w:rsid w:val="008B7C17"/>
    <w:rsid w:val="008C079C"/>
    <w:rsid w:val="008C1BAC"/>
    <w:rsid w:val="008C2D01"/>
    <w:rsid w:val="008C2EAB"/>
    <w:rsid w:val="008C330B"/>
    <w:rsid w:val="008C40E6"/>
    <w:rsid w:val="008C50C4"/>
    <w:rsid w:val="008C5531"/>
    <w:rsid w:val="008D042F"/>
    <w:rsid w:val="008D0F7A"/>
    <w:rsid w:val="008D14FC"/>
    <w:rsid w:val="008D3F3C"/>
    <w:rsid w:val="008D5F28"/>
    <w:rsid w:val="008D63F2"/>
    <w:rsid w:val="008D68E4"/>
    <w:rsid w:val="008E0506"/>
    <w:rsid w:val="008E0AD7"/>
    <w:rsid w:val="008E0CFF"/>
    <w:rsid w:val="008E5257"/>
    <w:rsid w:val="008E5D6B"/>
    <w:rsid w:val="008E76F0"/>
    <w:rsid w:val="008F067B"/>
    <w:rsid w:val="008F07F7"/>
    <w:rsid w:val="008F15FE"/>
    <w:rsid w:val="008F2D29"/>
    <w:rsid w:val="008F4B28"/>
    <w:rsid w:val="008F4EE0"/>
    <w:rsid w:val="008F5187"/>
    <w:rsid w:val="008F60D8"/>
    <w:rsid w:val="008F661D"/>
    <w:rsid w:val="009002B4"/>
    <w:rsid w:val="00900BAF"/>
    <w:rsid w:val="009024FD"/>
    <w:rsid w:val="00902727"/>
    <w:rsid w:val="0090312B"/>
    <w:rsid w:val="0090352B"/>
    <w:rsid w:val="00906665"/>
    <w:rsid w:val="00906A3F"/>
    <w:rsid w:val="00910E94"/>
    <w:rsid w:val="009135BB"/>
    <w:rsid w:val="0091736D"/>
    <w:rsid w:val="00917987"/>
    <w:rsid w:val="00920678"/>
    <w:rsid w:val="009208B5"/>
    <w:rsid w:val="0092222F"/>
    <w:rsid w:val="00923112"/>
    <w:rsid w:val="00923A79"/>
    <w:rsid w:val="00923ABF"/>
    <w:rsid w:val="0093037A"/>
    <w:rsid w:val="009308A0"/>
    <w:rsid w:val="009319D0"/>
    <w:rsid w:val="009322A7"/>
    <w:rsid w:val="009353C0"/>
    <w:rsid w:val="00940741"/>
    <w:rsid w:val="0094154D"/>
    <w:rsid w:val="0094177D"/>
    <w:rsid w:val="00941F19"/>
    <w:rsid w:val="00941F69"/>
    <w:rsid w:val="00944C51"/>
    <w:rsid w:val="00947399"/>
    <w:rsid w:val="00950512"/>
    <w:rsid w:val="009511A6"/>
    <w:rsid w:val="0095155F"/>
    <w:rsid w:val="00951795"/>
    <w:rsid w:val="00954429"/>
    <w:rsid w:val="00955724"/>
    <w:rsid w:val="009563CE"/>
    <w:rsid w:val="0095693B"/>
    <w:rsid w:val="00957563"/>
    <w:rsid w:val="009603A4"/>
    <w:rsid w:val="009611C4"/>
    <w:rsid w:val="00961F4A"/>
    <w:rsid w:val="00962AB3"/>
    <w:rsid w:val="00965381"/>
    <w:rsid w:val="00966605"/>
    <w:rsid w:val="00966616"/>
    <w:rsid w:val="00966758"/>
    <w:rsid w:val="009670ED"/>
    <w:rsid w:val="00967AB8"/>
    <w:rsid w:val="00967D59"/>
    <w:rsid w:val="00970644"/>
    <w:rsid w:val="00971201"/>
    <w:rsid w:val="0097293D"/>
    <w:rsid w:val="0097297A"/>
    <w:rsid w:val="0097373C"/>
    <w:rsid w:val="00974DCD"/>
    <w:rsid w:val="00975582"/>
    <w:rsid w:val="00976328"/>
    <w:rsid w:val="009765B6"/>
    <w:rsid w:val="0097680D"/>
    <w:rsid w:val="00976D4A"/>
    <w:rsid w:val="00982438"/>
    <w:rsid w:val="0098404C"/>
    <w:rsid w:val="00984867"/>
    <w:rsid w:val="00984FC4"/>
    <w:rsid w:val="00985283"/>
    <w:rsid w:val="00986CBF"/>
    <w:rsid w:val="00992820"/>
    <w:rsid w:val="00992E97"/>
    <w:rsid w:val="009930ED"/>
    <w:rsid w:val="00995992"/>
    <w:rsid w:val="009962AE"/>
    <w:rsid w:val="009A03E5"/>
    <w:rsid w:val="009A04A7"/>
    <w:rsid w:val="009A0F3B"/>
    <w:rsid w:val="009A12A7"/>
    <w:rsid w:val="009A1A7D"/>
    <w:rsid w:val="009A1BB4"/>
    <w:rsid w:val="009A2628"/>
    <w:rsid w:val="009A2707"/>
    <w:rsid w:val="009A2E37"/>
    <w:rsid w:val="009A3025"/>
    <w:rsid w:val="009A3200"/>
    <w:rsid w:val="009B00A0"/>
    <w:rsid w:val="009B0897"/>
    <w:rsid w:val="009B1FE8"/>
    <w:rsid w:val="009B21A9"/>
    <w:rsid w:val="009B2527"/>
    <w:rsid w:val="009B293B"/>
    <w:rsid w:val="009B3FFE"/>
    <w:rsid w:val="009B7BD9"/>
    <w:rsid w:val="009C08BF"/>
    <w:rsid w:val="009C17B6"/>
    <w:rsid w:val="009C34C9"/>
    <w:rsid w:val="009C39A6"/>
    <w:rsid w:val="009C540C"/>
    <w:rsid w:val="009C644B"/>
    <w:rsid w:val="009C7DD5"/>
    <w:rsid w:val="009D2355"/>
    <w:rsid w:val="009D2EF5"/>
    <w:rsid w:val="009D2F6D"/>
    <w:rsid w:val="009D3D1A"/>
    <w:rsid w:val="009D4504"/>
    <w:rsid w:val="009D54D0"/>
    <w:rsid w:val="009D5631"/>
    <w:rsid w:val="009E1E1C"/>
    <w:rsid w:val="009E1E33"/>
    <w:rsid w:val="009E227D"/>
    <w:rsid w:val="009E497E"/>
    <w:rsid w:val="009E5019"/>
    <w:rsid w:val="009E59A7"/>
    <w:rsid w:val="009E6C6C"/>
    <w:rsid w:val="009E79DC"/>
    <w:rsid w:val="009E7DE4"/>
    <w:rsid w:val="009F5E19"/>
    <w:rsid w:val="009F6FA1"/>
    <w:rsid w:val="00A00259"/>
    <w:rsid w:val="00A02515"/>
    <w:rsid w:val="00A029F8"/>
    <w:rsid w:val="00A02D5E"/>
    <w:rsid w:val="00A0323E"/>
    <w:rsid w:val="00A04207"/>
    <w:rsid w:val="00A04F1B"/>
    <w:rsid w:val="00A0501B"/>
    <w:rsid w:val="00A0525C"/>
    <w:rsid w:val="00A07B65"/>
    <w:rsid w:val="00A118D1"/>
    <w:rsid w:val="00A13BFC"/>
    <w:rsid w:val="00A14947"/>
    <w:rsid w:val="00A14C31"/>
    <w:rsid w:val="00A14FDC"/>
    <w:rsid w:val="00A157B6"/>
    <w:rsid w:val="00A16160"/>
    <w:rsid w:val="00A20227"/>
    <w:rsid w:val="00A213EF"/>
    <w:rsid w:val="00A21C0D"/>
    <w:rsid w:val="00A22AB7"/>
    <w:rsid w:val="00A22E1E"/>
    <w:rsid w:val="00A248D6"/>
    <w:rsid w:val="00A24EDF"/>
    <w:rsid w:val="00A307A8"/>
    <w:rsid w:val="00A30CD5"/>
    <w:rsid w:val="00A3229C"/>
    <w:rsid w:val="00A32681"/>
    <w:rsid w:val="00A32A83"/>
    <w:rsid w:val="00A34577"/>
    <w:rsid w:val="00A35D65"/>
    <w:rsid w:val="00A368DB"/>
    <w:rsid w:val="00A36A8D"/>
    <w:rsid w:val="00A373BB"/>
    <w:rsid w:val="00A376D3"/>
    <w:rsid w:val="00A423AA"/>
    <w:rsid w:val="00A43FBF"/>
    <w:rsid w:val="00A45370"/>
    <w:rsid w:val="00A4545D"/>
    <w:rsid w:val="00A45505"/>
    <w:rsid w:val="00A46306"/>
    <w:rsid w:val="00A47494"/>
    <w:rsid w:val="00A500A0"/>
    <w:rsid w:val="00A52869"/>
    <w:rsid w:val="00A53437"/>
    <w:rsid w:val="00A53EC6"/>
    <w:rsid w:val="00A5463B"/>
    <w:rsid w:val="00A54D5E"/>
    <w:rsid w:val="00A55C0F"/>
    <w:rsid w:val="00A57DB5"/>
    <w:rsid w:val="00A607C2"/>
    <w:rsid w:val="00A62032"/>
    <w:rsid w:val="00A6378F"/>
    <w:rsid w:val="00A70033"/>
    <w:rsid w:val="00A727EE"/>
    <w:rsid w:val="00A73C67"/>
    <w:rsid w:val="00A74AB6"/>
    <w:rsid w:val="00A766EA"/>
    <w:rsid w:val="00A80234"/>
    <w:rsid w:val="00A8172B"/>
    <w:rsid w:val="00A8175E"/>
    <w:rsid w:val="00A81E12"/>
    <w:rsid w:val="00A82419"/>
    <w:rsid w:val="00A858CB"/>
    <w:rsid w:val="00A86271"/>
    <w:rsid w:val="00A86613"/>
    <w:rsid w:val="00A8713F"/>
    <w:rsid w:val="00A90BA1"/>
    <w:rsid w:val="00A91C61"/>
    <w:rsid w:val="00A9348E"/>
    <w:rsid w:val="00A96147"/>
    <w:rsid w:val="00A97A9A"/>
    <w:rsid w:val="00AA0671"/>
    <w:rsid w:val="00AA0FDD"/>
    <w:rsid w:val="00AA13C9"/>
    <w:rsid w:val="00AA2531"/>
    <w:rsid w:val="00AA6DF1"/>
    <w:rsid w:val="00AB1590"/>
    <w:rsid w:val="00AB1E09"/>
    <w:rsid w:val="00AB2537"/>
    <w:rsid w:val="00AB290E"/>
    <w:rsid w:val="00AB41E5"/>
    <w:rsid w:val="00AB5330"/>
    <w:rsid w:val="00AB59AD"/>
    <w:rsid w:val="00AB61E2"/>
    <w:rsid w:val="00AB6957"/>
    <w:rsid w:val="00AB7747"/>
    <w:rsid w:val="00AC14CE"/>
    <w:rsid w:val="00AC2A56"/>
    <w:rsid w:val="00AC3315"/>
    <w:rsid w:val="00AD055E"/>
    <w:rsid w:val="00AD1339"/>
    <w:rsid w:val="00AD1A3D"/>
    <w:rsid w:val="00AD3C14"/>
    <w:rsid w:val="00AD47A7"/>
    <w:rsid w:val="00AD4D4E"/>
    <w:rsid w:val="00AD70E9"/>
    <w:rsid w:val="00AE10D9"/>
    <w:rsid w:val="00AE6A5C"/>
    <w:rsid w:val="00AF08B8"/>
    <w:rsid w:val="00AF0CBF"/>
    <w:rsid w:val="00AF1006"/>
    <w:rsid w:val="00AF257F"/>
    <w:rsid w:val="00AF33CF"/>
    <w:rsid w:val="00AF4D50"/>
    <w:rsid w:val="00AF6179"/>
    <w:rsid w:val="00B017CB"/>
    <w:rsid w:val="00B04BD2"/>
    <w:rsid w:val="00B053B0"/>
    <w:rsid w:val="00B05591"/>
    <w:rsid w:val="00B104ED"/>
    <w:rsid w:val="00B1295A"/>
    <w:rsid w:val="00B16DFB"/>
    <w:rsid w:val="00B20A45"/>
    <w:rsid w:val="00B20AB2"/>
    <w:rsid w:val="00B21589"/>
    <w:rsid w:val="00B22385"/>
    <w:rsid w:val="00B22C5C"/>
    <w:rsid w:val="00B24F30"/>
    <w:rsid w:val="00B250B6"/>
    <w:rsid w:val="00B26252"/>
    <w:rsid w:val="00B31364"/>
    <w:rsid w:val="00B31ABF"/>
    <w:rsid w:val="00B327D0"/>
    <w:rsid w:val="00B32877"/>
    <w:rsid w:val="00B33BE3"/>
    <w:rsid w:val="00B355BA"/>
    <w:rsid w:val="00B358B9"/>
    <w:rsid w:val="00B375E7"/>
    <w:rsid w:val="00B41A47"/>
    <w:rsid w:val="00B41AA1"/>
    <w:rsid w:val="00B44C98"/>
    <w:rsid w:val="00B45015"/>
    <w:rsid w:val="00B45F04"/>
    <w:rsid w:val="00B46586"/>
    <w:rsid w:val="00B47F51"/>
    <w:rsid w:val="00B514B5"/>
    <w:rsid w:val="00B52123"/>
    <w:rsid w:val="00B53B5D"/>
    <w:rsid w:val="00B55071"/>
    <w:rsid w:val="00B555F8"/>
    <w:rsid w:val="00B57679"/>
    <w:rsid w:val="00B6055E"/>
    <w:rsid w:val="00B615DC"/>
    <w:rsid w:val="00B61653"/>
    <w:rsid w:val="00B61B93"/>
    <w:rsid w:val="00B6317D"/>
    <w:rsid w:val="00B634FB"/>
    <w:rsid w:val="00B64260"/>
    <w:rsid w:val="00B71B67"/>
    <w:rsid w:val="00B731EB"/>
    <w:rsid w:val="00B73D83"/>
    <w:rsid w:val="00B74DB3"/>
    <w:rsid w:val="00B76750"/>
    <w:rsid w:val="00B7723F"/>
    <w:rsid w:val="00B7769B"/>
    <w:rsid w:val="00B80534"/>
    <w:rsid w:val="00B8433C"/>
    <w:rsid w:val="00B8447B"/>
    <w:rsid w:val="00B85BAF"/>
    <w:rsid w:val="00B861CE"/>
    <w:rsid w:val="00B8724F"/>
    <w:rsid w:val="00B87491"/>
    <w:rsid w:val="00B87E4F"/>
    <w:rsid w:val="00B90C59"/>
    <w:rsid w:val="00B90E34"/>
    <w:rsid w:val="00B91192"/>
    <w:rsid w:val="00B92BE0"/>
    <w:rsid w:val="00B94816"/>
    <w:rsid w:val="00B95F66"/>
    <w:rsid w:val="00BA055D"/>
    <w:rsid w:val="00BA0DAE"/>
    <w:rsid w:val="00BA141A"/>
    <w:rsid w:val="00BA29E9"/>
    <w:rsid w:val="00BA3C54"/>
    <w:rsid w:val="00BA4EAE"/>
    <w:rsid w:val="00BA5109"/>
    <w:rsid w:val="00BA69B5"/>
    <w:rsid w:val="00BA7142"/>
    <w:rsid w:val="00BB237C"/>
    <w:rsid w:val="00BB39B6"/>
    <w:rsid w:val="00BB41A3"/>
    <w:rsid w:val="00BB4FB9"/>
    <w:rsid w:val="00BB5AD4"/>
    <w:rsid w:val="00BB7014"/>
    <w:rsid w:val="00BB71A8"/>
    <w:rsid w:val="00BC1AC8"/>
    <w:rsid w:val="00BC1C62"/>
    <w:rsid w:val="00BC32DC"/>
    <w:rsid w:val="00BC35B6"/>
    <w:rsid w:val="00BC365C"/>
    <w:rsid w:val="00BC3683"/>
    <w:rsid w:val="00BC3FCD"/>
    <w:rsid w:val="00BC410E"/>
    <w:rsid w:val="00BC61A1"/>
    <w:rsid w:val="00BC7414"/>
    <w:rsid w:val="00BC7910"/>
    <w:rsid w:val="00BD0BBE"/>
    <w:rsid w:val="00BD1B51"/>
    <w:rsid w:val="00BD2006"/>
    <w:rsid w:val="00BD4596"/>
    <w:rsid w:val="00BD636C"/>
    <w:rsid w:val="00BD6A3E"/>
    <w:rsid w:val="00BE1405"/>
    <w:rsid w:val="00BE2A21"/>
    <w:rsid w:val="00BE2D9A"/>
    <w:rsid w:val="00BE312D"/>
    <w:rsid w:val="00BE36F0"/>
    <w:rsid w:val="00BE5582"/>
    <w:rsid w:val="00BE5E6A"/>
    <w:rsid w:val="00BE6DD6"/>
    <w:rsid w:val="00BE77E8"/>
    <w:rsid w:val="00BF15AB"/>
    <w:rsid w:val="00BF1C20"/>
    <w:rsid w:val="00BF3960"/>
    <w:rsid w:val="00BF7D4B"/>
    <w:rsid w:val="00C0154B"/>
    <w:rsid w:val="00C02A9A"/>
    <w:rsid w:val="00C0510D"/>
    <w:rsid w:val="00C05A15"/>
    <w:rsid w:val="00C0606D"/>
    <w:rsid w:val="00C073DD"/>
    <w:rsid w:val="00C10578"/>
    <w:rsid w:val="00C133FD"/>
    <w:rsid w:val="00C135BC"/>
    <w:rsid w:val="00C13863"/>
    <w:rsid w:val="00C13B6B"/>
    <w:rsid w:val="00C158A1"/>
    <w:rsid w:val="00C15C95"/>
    <w:rsid w:val="00C20202"/>
    <w:rsid w:val="00C20460"/>
    <w:rsid w:val="00C20AF4"/>
    <w:rsid w:val="00C210C1"/>
    <w:rsid w:val="00C21A5D"/>
    <w:rsid w:val="00C21E12"/>
    <w:rsid w:val="00C2308A"/>
    <w:rsid w:val="00C23988"/>
    <w:rsid w:val="00C24651"/>
    <w:rsid w:val="00C25011"/>
    <w:rsid w:val="00C25333"/>
    <w:rsid w:val="00C2555B"/>
    <w:rsid w:val="00C2596A"/>
    <w:rsid w:val="00C25EB0"/>
    <w:rsid w:val="00C27537"/>
    <w:rsid w:val="00C328FE"/>
    <w:rsid w:val="00C33238"/>
    <w:rsid w:val="00C33507"/>
    <w:rsid w:val="00C342C5"/>
    <w:rsid w:val="00C34CFA"/>
    <w:rsid w:val="00C35132"/>
    <w:rsid w:val="00C3534B"/>
    <w:rsid w:val="00C36000"/>
    <w:rsid w:val="00C42A24"/>
    <w:rsid w:val="00C4409D"/>
    <w:rsid w:val="00C44CFD"/>
    <w:rsid w:val="00C44E72"/>
    <w:rsid w:val="00C454D0"/>
    <w:rsid w:val="00C45A06"/>
    <w:rsid w:val="00C46AB3"/>
    <w:rsid w:val="00C47B18"/>
    <w:rsid w:val="00C47E5B"/>
    <w:rsid w:val="00C5270F"/>
    <w:rsid w:val="00C52C64"/>
    <w:rsid w:val="00C56015"/>
    <w:rsid w:val="00C568D5"/>
    <w:rsid w:val="00C5692F"/>
    <w:rsid w:val="00C61E4B"/>
    <w:rsid w:val="00C61EFA"/>
    <w:rsid w:val="00C64BFF"/>
    <w:rsid w:val="00C6570C"/>
    <w:rsid w:val="00C6586F"/>
    <w:rsid w:val="00C66CE7"/>
    <w:rsid w:val="00C704E9"/>
    <w:rsid w:val="00C7453A"/>
    <w:rsid w:val="00C74B07"/>
    <w:rsid w:val="00C75259"/>
    <w:rsid w:val="00C75E52"/>
    <w:rsid w:val="00C763C9"/>
    <w:rsid w:val="00C7644A"/>
    <w:rsid w:val="00C76E18"/>
    <w:rsid w:val="00C777EE"/>
    <w:rsid w:val="00C80057"/>
    <w:rsid w:val="00C80CC1"/>
    <w:rsid w:val="00C819D8"/>
    <w:rsid w:val="00C82232"/>
    <w:rsid w:val="00C82913"/>
    <w:rsid w:val="00C8291F"/>
    <w:rsid w:val="00C87245"/>
    <w:rsid w:val="00C87C09"/>
    <w:rsid w:val="00C91C0D"/>
    <w:rsid w:val="00C91E3F"/>
    <w:rsid w:val="00C9355C"/>
    <w:rsid w:val="00C935AB"/>
    <w:rsid w:val="00C94566"/>
    <w:rsid w:val="00C95B4F"/>
    <w:rsid w:val="00C96492"/>
    <w:rsid w:val="00C972B1"/>
    <w:rsid w:val="00CA0000"/>
    <w:rsid w:val="00CA2CCE"/>
    <w:rsid w:val="00CA43FD"/>
    <w:rsid w:val="00CA5B5B"/>
    <w:rsid w:val="00CA5F25"/>
    <w:rsid w:val="00CA5FC2"/>
    <w:rsid w:val="00CA7EF8"/>
    <w:rsid w:val="00CB065B"/>
    <w:rsid w:val="00CB0768"/>
    <w:rsid w:val="00CB0A6E"/>
    <w:rsid w:val="00CB17F3"/>
    <w:rsid w:val="00CB216E"/>
    <w:rsid w:val="00CB27E8"/>
    <w:rsid w:val="00CB43BF"/>
    <w:rsid w:val="00CB5CA9"/>
    <w:rsid w:val="00CB6AFB"/>
    <w:rsid w:val="00CC0B7E"/>
    <w:rsid w:val="00CC1B22"/>
    <w:rsid w:val="00CC3FE3"/>
    <w:rsid w:val="00CC489B"/>
    <w:rsid w:val="00CC4C6E"/>
    <w:rsid w:val="00CC5869"/>
    <w:rsid w:val="00CC731E"/>
    <w:rsid w:val="00CC7EC6"/>
    <w:rsid w:val="00CD0DE1"/>
    <w:rsid w:val="00CD2842"/>
    <w:rsid w:val="00CD2BCD"/>
    <w:rsid w:val="00CD3A4C"/>
    <w:rsid w:val="00CD5272"/>
    <w:rsid w:val="00CD6120"/>
    <w:rsid w:val="00CE0087"/>
    <w:rsid w:val="00CE10E9"/>
    <w:rsid w:val="00CE2910"/>
    <w:rsid w:val="00CE2A3C"/>
    <w:rsid w:val="00CE4458"/>
    <w:rsid w:val="00CE5393"/>
    <w:rsid w:val="00CE798F"/>
    <w:rsid w:val="00CF14B8"/>
    <w:rsid w:val="00CF36BE"/>
    <w:rsid w:val="00CF3781"/>
    <w:rsid w:val="00CF5723"/>
    <w:rsid w:val="00CF6000"/>
    <w:rsid w:val="00D003F3"/>
    <w:rsid w:val="00D007E5"/>
    <w:rsid w:val="00D0364F"/>
    <w:rsid w:val="00D04305"/>
    <w:rsid w:val="00D0469B"/>
    <w:rsid w:val="00D054A6"/>
    <w:rsid w:val="00D05FC7"/>
    <w:rsid w:val="00D06834"/>
    <w:rsid w:val="00D11B3D"/>
    <w:rsid w:val="00D12C90"/>
    <w:rsid w:val="00D13FA7"/>
    <w:rsid w:val="00D150A8"/>
    <w:rsid w:val="00D161E7"/>
    <w:rsid w:val="00D22249"/>
    <w:rsid w:val="00D25BEC"/>
    <w:rsid w:val="00D26D92"/>
    <w:rsid w:val="00D308ED"/>
    <w:rsid w:val="00D321B9"/>
    <w:rsid w:val="00D33F37"/>
    <w:rsid w:val="00D34977"/>
    <w:rsid w:val="00D362E8"/>
    <w:rsid w:val="00D36D86"/>
    <w:rsid w:val="00D373EF"/>
    <w:rsid w:val="00D40629"/>
    <w:rsid w:val="00D412E0"/>
    <w:rsid w:val="00D428AA"/>
    <w:rsid w:val="00D46995"/>
    <w:rsid w:val="00D50334"/>
    <w:rsid w:val="00D50A34"/>
    <w:rsid w:val="00D53EFA"/>
    <w:rsid w:val="00D557D9"/>
    <w:rsid w:val="00D57331"/>
    <w:rsid w:val="00D5752D"/>
    <w:rsid w:val="00D65D43"/>
    <w:rsid w:val="00D70952"/>
    <w:rsid w:val="00D72E57"/>
    <w:rsid w:val="00D75C68"/>
    <w:rsid w:val="00D77F8D"/>
    <w:rsid w:val="00D8111F"/>
    <w:rsid w:val="00D827BE"/>
    <w:rsid w:val="00D844A7"/>
    <w:rsid w:val="00D874D4"/>
    <w:rsid w:val="00D920E7"/>
    <w:rsid w:val="00D92C6D"/>
    <w:rsid w:val="00D932F8"/>
    <w:rsid w:val="00D94A7C"/>
    <w:rsid w:val="00D94C52"/>
    <w:rsid w:val="00D95896"/>
    <w:rsid w:val="00D960CF"/>
    <w:rsid w:val="00DA1D18"/>
    <w:rsid w:val="00DA293B"/>
    <w:rsid w:val="00DA307C"/>
    <w:rsid w:val="00DA3E1E"/>
    <w:rsid w:val="00DA5219"/>
    <w:rsid w:val="00DA644D"/>
    <w:rsid w:val="00DA65FF"/>
    <w:rsid w:val="00DB2983"/>
    <w:rsid w:val="00DB49A5"/>
    <w:rsid w:val="00DB4ADF"/>
    <w:rsid w:val="00DB61B9"/>
    <w:rsid w:val="00DC1257"/>
    <w:rsid w:val="00DC3DC0"/>
    <w:rsid w:val="00DC4CE1"/>
    <w:rsid w:val="00DC5970"/>
    <w:rsid w:val="00DC5B2B"/>
    <w:rsid w:val="00DC6204"/>
    <w:rsid w:val="00DC6301"/>
    <w:rsid w:val="00DC6C65"/>
    <w:rsid w:val="00DD06B5"/>
    <w:rsid w:val="00DD158F"/>
    <w:rsid w:val="00DD318D"/>
    <w:rsid w:val="00DD3615"/>
    <w:rsid w:val="00DD3B20"/>
    <w:rsid w:val="00DD4F6A"/>
    <w:rsid w:val="00DD7A9D"/>
    <w:rsid w:val="00DE0902"/>
    <w:rsid w:val="00DE10E9"/>
    <w:rsid w:val="00DE4BBA"/>
    <w:rsid w:val="00DE5FC5"/>
    <w:rsid w:val="00DE7E54"/>
    <w:rsid w:val="00DE7F5B"/>
    <w:rsid w:val="00DF085B"/>
    <w:rsid w:val="00DF1193"/>
    <w:rsid w:val="00DF133C"/>
    <w:rsid w:val="00DF135D"/>
    <w:rsid w:val="00DF1B4D"/>
    <w:rsid w:val="00DF2E12"/>
    <w:rsid w:val="00DF3406"/>
    <w:rsid w:val="00DF3B79"/>
    <w:rsid w:val="00DF3C5C"/>
    <w:rsid w:val="00DF46E2"/>
    <w:rsid w:val="00DF514A"/>
    <w:rsid w:val="00DF540A"/>
    <w:rsid w:val="00DF5AE3"/>
    <w:rsid w:val="00DF6690"/>
    <w:rsid w:val="00DF6804"/>
    <w:rsid w:val="00DF6FE1"/>
    <w:rsid w:val="00DF72E4"/>
    <w:rsid w:val="00E00566"/>
    <w:rsid w:val="00E0152F"/>
    <w:rsid w:val="00E034A8"/>
    <w:rsid w:val="00E0358D"/>
    <w:rsid w:val="00E04323"/>
    <w:rsid w:val="00E070A2"/>
    <w:rsid w:val="00E07237"/>
    <w:rsid w:val="00E10512"/>
    <w:rsid w:val="00E11AC6"/>
    <w:rsid w:val="00E12175"/>
    <w:rsid w:val="00E128E5"/>
    <w:rsid w:val="00E20408"/>
    <w:rsid w:val="00E21502"/>
    <w:rsid w:val="00E22BC9"/>
    <w:rsid w:val="00E23134"/>
    <w:rsid w:val="00E249F9"/>
    <w:rsid w:val="00E2656A"/>
    <w:rsid w:val="00E26575"/>
    <w:rsid w:val="00E31046"/>
    <w:rsid w:val="00E31188"/>
    <w:rsid w:val="00E3329A"/>
    <w:rsid w:val="00E34DDD"/>
    <w:rsid w:val="00E412D0"/>
    <w:rsid w:val="00E510FC"/>
    <w:rsid w:val="00E538BA"/>
    <w:rsid w:val="00E56322"/>
    <w:rsid w:val="00E60982"/>
    <w:rsid w:val="00E61A8B"/>
    <w:rsid w:val="00E61BC0"/>
    <w:rsid w:val="00E62C62"/>
    <w:rsid w:val="00E65395"/>
    <w:rsid w:val="00E654C1"/>
    <w:rsid w:val="00E65D60"/>
    <w:rsid w:val="00E65D97"/>
    <w:rsid w:val="00E72A5A"/>
    <w:rsid w:val="00E73354"/>
    <w:rsid w:val="00E7637D"/>
    <w:rsid w:val="00E772AB"/>
    <w:rsid w:val="00E802A8"/>
    <w:rsid w:val="00E812CE"/>
    <w:rsid w:val="00E8156F"/>
    <w:rsid w:val="00E8169E"/>
    <w:rsid w:val="00E85519"/>
    <w:rsid w:val="00E91CD0"/>
    <w:rsid w:val="00E9242D"/>
    <w:rsid w:val="00E948BE"/>
    <w:rsid w:val="00E952D1"/>
    <w:rsid w:val="00E95F23"/>
    <w:rsid w:val="00E96C49"/>
    <w:rsid w:val="00E9746E"/>
    <w:rsid w:val="00E97895"/>
    <w:rsid w:val="00EA0BB3"/>
    <w:rsid w:val="00EA17D1"/>
    <w:rsid w:val="00EA2370"/>
    <w:rsid w:val="00EA2E71"/>
    <w:rsid w:val="00EA6874"/>
    <w:rsid w:val="00EB14B7"/>
    <w:rsid w:val="00EB3C5A"/>
    <w:rsid w:val="00EB4CAF"/>
    <w:rsid w:val="00EB5255"/>
    <w:rsid w:val="00EB5335"/>
    <w:rsid w:val="00EB5C47"/>
    <w:rsid w:val="00EB7EE9"/>
    <w:rsid w:val="00EC0E67"/>
    <w:rsid w:val="00EC2D3A"/>
    <w:rsid w:val="00EC5602"/>
    <w:rsid w:val="00EC5627"/>
    <w:rsid w:val="00EC58CC"/>
    <w:rsid w:val="00EC6234"/>
    <w:rsid w:val="00EC77F4"/>
    <w:rsid w:val="00EC7FCC"/>
    <w:rsid w:val="00ED0639"/>
    <w:rsid w:val="00ED32B6"/>
    <w:rsid w:val="00ED3A54"/>
    <w:rsid w:val="00ED3A61"/>
    <w:rsid w:val="00ED4E9E"/>
    <w:rsid w:val="00ED5287"/>
    <w:rsid w:val="00ED5D4E"/>
    <w:rsid w:val="00EE11A3"/>
    <w:rsid w:val="00EE16BB"/>
    <w:rsid w:val="00EE432E"/>
    <w:rsid w:val="00EE66E3"/>
    <w:rsid w:val="00EF0093"/>
    <w:rsid w:val="00EF3756"/>
    <w:rsid w:val="00EF4755"/>
    <w:rsid w:val="00EF7135"/>
    <w:rsid w:val="00F000A6"/>
    <w:rsid w:val="00F0076B"/>
    <w:rsid w:val="00F00BBA"/>
    <w:rsid w:val="00F0114E"/>
    <w:rsid w:val="00F01FA6"/>
    <w:rsid w:val="00F027DB"/>
    <w:rsid w:val="00F0288F"/>
    <w:rsid w:val="00F03585"/>
    <w:rsid w:val="00F04A6F"/>
    <w:rsid w:val="00F07054"/>
    <w:rsid w:val="00F07A36"/>
    <w:rsid w:val="00F13B41"/>
    <w:rsid w:val="00F13F2D"/>
    <w:rsid w:val="00F14A7A"/>
    <w:rsid w:val="00F14F2C"/>
    <w:rsid w:val="00F15E7C"/>
    <w:rsid w:val="00F16CD5"/>
    <w:rsid w:val="00F219F2"/>
    <w:rsid w:val="00F22985"/>
    <w:rsid w:val="00F22D92"/>
    <w:rsid w:val="00F2438F"/>
    <w:rsid w:val="00F2529D"/>
    <w:rsid w:val="00F277B7"/>
    <w:rsid w:val="00F27CCA"/>
    <w:rsid w:val="00F31F0E"/>
    <w:rsid w:val="00F3383E"/>
    <w:rsid w:val="00F34C06"/>
    <w:rsid w:val="00F36812"/>
    <w:rsid w:val="00F40248"/>
    <w:rsid w:val="00F4082F"/>
    <w:rsid w:val="00F4105A"/>
    <w:rsid w:val="00F421FF"/>
    <w:rsid w:val="00F43796"/>
    <w:rsid w:val="00F45527"/>
    <w:rsid w:val="00F465A7"/>
    <w:rsid w:val="00F46D27"/>
    <w:rsid w:val="00F47DF7"/>
    <w:rsid w:val="00F50B7C"/>
    <w:rsid w:val="00F52465"/>
    <w:rsid w:val="00F527A0"/>
    <w:rsid w:val="00F550E6"/>
    <w:rsid w:val="00F606E7"/>
    <w:rsid w:val="00F63FBF"/>
    <w:rsid w:val="00F646DB"/>
    <w:rsid w:val="00F64B05"/>
    <w:rsid w:val="00F65AA1"/>
    <w:rsid w:val="00F6693F"/>
    <w:rsid w:val="00F670EE"/>
    <w:rsid w:val="00F7103B"/>
    <w:rsid w:val="00F72C18"/>
    <w:rsid w:val="00F7407A"/>
    <w:rsid w:val="00F74345"/>
    <w:rsid w:val="00F7498B"/>
    <w:rsid w:val="00F75B3E"/>
    <w:rsid w:val="00F80A0A"/>
    <w:rsid w:val="00F816D4"/>
    <w:rsid w:val="00F82214"/>
    <w:rsid w:val="00F8254D"/>
    <w:rsid w:val="00F82B19"/>
    <w:rsid w:val="00F84F01"/>
    <w:rsid w:val="00F855C5"/>
    <w:rsid w:val="00F878F5"/>
    <w:rsid w:val="00F919FC"/>
    <w:rsid w:val="00F91CEE"/>
    <w:rsid w:val="00F9212D"/>
    <w:rsid w:val="00F93674"/>
    <w:rsid w:val="00F965DA"/>
    <w:rsid w:val="00F971B1"/>
    <w:rsid w:val="00F97DD3"/>
    <w:rsid w:val="00FA00C3"/>
    <w:rsid w:val="00FA011A"/>
    <w:rsid w:val="00FA2C9F"/>
    <w:rsid w:val="00FA406A"/>
    <w:rsid w:val="00FA52C6"/>
    <w:rsid w:val="00FA6022"/>
    <w:rsid w:val="00FA7F37"/>
    <w:rsid w:val="00FB0E5F"/>
    <w:rsid w:val="00FB3382"/>
    <w:rsid w:val="00FB373C"/>
    <w:rsid w:val="00FB4A7B"/>
    <w:rsid w:val="00FB503A"/>
    <w:rsid w:val="00FB516C"/>
    <w:rsid w:val="00FB715A"/>
    <w:rsid w:val="00FC00F8"/>
    <w:rsid w:val="00FC018D"/>
    <w:rsid w:val="00FC40D0"/>
    <w:rsid w:val="00FC45C4"/>
    <w:rsid w:val="00FC675B"/>
    <w:rsid w:val="00FC6986"/>
    <w:rsid w:val="00FD0236"/>
    <w:rsid w:val="00FD18F4"/>
    <w:rsid w:val="00FD4F05"/>
    <w:rsid w:val="00FD54DB"/>
    <w:rsid w:val="00FD619F"/>
    <w:rsid w:val="00FE1C21"/>
    <w:rsid w:val="00FE204A"/>
    <w:rsid w:val="00FE29D2"/>
    <w:rsid w:val="00FE541C"/>
    <w:rsid w:val="00FF2235"/>
    <w:rsid w:val="00FF2B5C"/>
    <w:rsid w:val="00FF377F"/>
    <w:rsid w:val="00FF3B4E"/>
    <w:rsid w:val="00FF4B56"/>
    <w:rsid w:val="00FF62E0"/>
    <w:rsid w:val="01080F82"/>
    <w:rsid w:val="010B2104"/>
    <w:rsid w:val="01290F7E"/>
    <w:rsid w:val="0136557F"/>
    <w:rsid w:val="015D1E09"/>
    <w:rsid w:val="01667701"/>
    <w:rsid w:val="01685CBB"/>
    <w:rsid w:val="01790EEF"/>
    <w:rsid w:val="01853E11"/>
    <w:rsid w:val="01A71FD9"/>
    <w:rsid w:val="01E0373D"/>
    <w:rsid w:val="01E202A3"/>
    <w:rsid w:val="01E7687A"/>
    <w:rsid w:val="02057543"/>
    <w:rsid w:val="022C0939"/>
    <w:rsid w:val="02532161"/>
    <w:rsid w:val="025C057B"/>
    <w:rsid w:val="02697903"/>
    <w:rsid w:val="02720839"/>
    <w:rsid w:val="02722BB5"/>
    <w:rsid w:val="02734D97"/>
    <w:rsid w:val="02906F11"/>
    <w:rsid w:val="02A94878"/>
    <w:rsid w:val="02D46F2C"/>
    <w:rsid w:val="02E42701"/>
    <w:rsid w:val="02E66B31"/>
    <w:rsid w:val="02F91005"/>
    <w:rsid w:val="02F96569"/>
    <w:rsid w:val="03015E8F"/>
    <w:rsid w:val="030C1D48"/>
    <w:rsid w:val="030F466E"/>
    <w:rsid w:val="03174F3D"/>
    <w:rsid w:val="031765FA"/>
    <w:rsid w:val="033E24D1"/>
    <w:rsid w:val="03463F26"/>
    <w:rsid w:val="034877EC"/>
    <w:rsid w:val="036068E4"/>
    <w:rsid w:val="036F1CC3"/>
    <w:rsid w:val="03C520CE"/>
    <w:rsid w:val="03C926DB"/>
    <w:rsid w:val="03DD4830"/>
    <w:rsid w:val="03DE5A5A"/>
    <w:rsid w:val="03EA7B21"/>
    <w:rsid w:val="04340BCF"/>
    <w:rsid w:val="04477F08"/>
    <w:rsid w:val="04602319"/>
    <w:rsid w:val="04754611"/>
    <w:rsid w:val="048B5BE2"/>
    <w:rsid w:val="049031D6"/>
    <w:rsid w:val="04BC15EA"/>
    <w:rsid w:val="04BF3ADE"/>
    <w:rsid w:val="04C74740"/>
    <w:rsid w:val="04D551D4"/>
    <w:rsid w:val="04D95A63"/>
    <w:rsid w:val="04E21C0B"/>
    <w:rsid w:val="05065269"/>
    <w:rsid w:val="050F6813"/>
    <w:rsid w:val="05393890"/>
    <w:rsid w:val="056A7BE8"/>
    <w:rsid w:val="05812A29"/>
    <w:rsid w:val="05816FE5"/>
    <w:rsid w:val="05B42F17"/>
    <w:rsid w:val="05C649F8"/>
    <w:rsid w:val="05D0310C"/>
    <w:rsid w:val="05E34401"/>
    <w:rsid w:val="05F15F19"/>
    <w:rsid w:val="05F83EAE"/>
    <w:rsid w:val="0617479A"/>
    <w:rsid w:val="062067FE"/>
    <w:rsid w:val="063E7D85"/>
    <w:rsid w:val="063F4ED6"/>
    <w:rsid w:val="065625D9"/>
    <w:rsid w:val="065B7836"/>
    <w:rsid w:val="0667442D"/>
    <w:rsid w:val="066E556C"/>
    <w:rsid w:val="067F4FD9"/>
    <w:rsid w:val="06CF1BCA"/>
    <w:rsid w:val="06D41DC0"/>
    <w:rsid w:val="06DB643E"/>
    <w:rsid w:val="071108C4"/>
    <w:rsid w:val="072713FE"/>
    <w:rsid w:val="07293586"/>
    <w:rsid w:val="07295285"/>
    <w:rsid w:val="074A10E3"/>
    <w:rsid w:val="074D53D1"/>
    <w:rsid w:val="07636392"/>
    <w:rsid w:val="07770C56"/>
    <w:rsid w:val="07805E30"/>
    <w:rsid w:val="07837045"/>
    <w:rsid w:val="078D1C71"/>
    <w:rsid w:val="078D3A1F"/>
    <w:rsid w:val="079915CE"/>
    <w:rsid w:val="07BD28E7"/>
    <w:rsid w:val="07C2410E"/>
    <w:rsid w:val="07C84A57"/>
    <w:rsid w:val="082C1C1A"/>
    <w:rsid w:val="082C3238"/>
    <w:rsid w:val="083E2407"/>
    <w:rsid w:val="08483279"/>
    <w:rsid w:val="08522238"/>
    <w:rsid w:val="086F66D8"/>
    <w:rsid w:val="087C339E"/>
    <w:rsid w:val="088B3384"/>
    <w:rsid w:val="08A811EA"/>
    <w:rsid w:val="08A94889"/>
    <w:rsid w:val="08B5278D"/>
    <w:rsid w:val="08B52902"/>
    <w:rsid w:val="08C40B70"/>
    <w:rsid w:val="08E6156B"/>
    <w:rsid w:val="08E64CA7"/>
    <w:rsid w:val="08F57AF9"/>
    <w:rsid w:val="091B5101"/>
    <w:rsid w:val="091C05F8"/>
    <w:rsid w:val="091D7025"/>
    <w:rsid w:val="092217DD"/>
    <w:rsid w:val="09397462"/>
    <w:rsid w:val="093A1C48"/>
    <w:rsid w:val="093A7294"/>
    <w:rsid w:val="094649F8"/>
    <w:rsid w:val="09547AF8"/>
    <w:rsid w:val="09727371"/>
    <w:rsid w:val="09BB0A26"/>
    <w:rsid w:val="09D03B44"/>
    <w:rsid w:val="09E560CA"/>
    <w:rsid w:val="09F72640"/>
    <w:rsid w:val="0A0124A3"/>
    <w:rsid w:val="0A1C0D46"/>
    <w:rsid w:val="0A263993"/>
    <w:rsid w:val="0A2D3AC2"/>
    <w:rsid w:val="0A4725AB"/>
    <w:rsid w:val="0A5C2888"/>
    <w:rsid w:val="0A5D4E6B"/>
    <w:rsid w:val="0A5E2710"/>
    <w:rsid w:val="0A85026F"/>
    <w:rsid w:val="0A8728B1"/>
    <w:rsid w:val="0A9413F0"/>
    <w:rsid w:val="0AA755DF"/>
    <w:rsid w:val="0ABD0ABF"/>
    <w:rsid w:val="0B120D44"/>
    <w:rsid w:val="0B20514C"/>
    <w:rsid w:val="0B265517"/>
    <w:rsid w:val="0B9E444D"/>
    <w:rsid w:val="0BD06458"/>
    <w:rsid w:val="0BD27BF6"/>
    <w:rsid w:val="0BF60083"/>
    <w:rsid w:val="0C0A7D34"/>
    <w:rsid w:val="0C177D79"/>
    <w:rsid w:val="0C2226EA"/>
    <w:rsid w:val="0C2C1C8F"/>
    <w:rsid w:val="0C3B3C7D"/>
    <w:rsid w:val="0C7A4184"/>
    <w:rsid w:val="0C831E08"/>
    <w:rsid w:val="0CA535B9"/>
    <w:rsid w:val="0CAB2EAE"/>
    <w:rsid w:val="0CBB78C0"/>
    <w:rsid w:val="0CFA3905"/>
    <w:rsid w:val="0D0F3224"/>
    <w:rsid w:val="0D547A1E"/>
    <w:rsid w:val="0D621C7D"/>
    <w:rsid w:val="0D69333C"/>
    <w:rsid w:val="0D696CDD"/>
    <w:rsid w:val="0D731909"/>
    <w:rsid w:val="0D7B3738"/>
    <w:rsid w:val="0D8F0AE7"/>
    <w:rsid w:val="0DBF4FE5"/>
    <w:rsid w:val="0DD356D3"/>
    <w:rsid w:val="0DE34E61"/>
    <w:rsid w:val="0DF46DB9"/>
    <w:rsid w:val="0DFE11D3"/>
    <w:rsid w:val="0E146C48"/>
    <w:rsid w:val="0E2B0241"/>
    <w:rsid w:val="0E4E0483"/>
    <w:rsid w:val="0E6C0832"/>
    <w:rsid w:val="0E70782D"/>
    <w:rsid w:val="0E73034D"/>
    <w:rsid w:val="0E7F48AE"/>
    <w:rsid w:val="0EBB5323"/>
    <w:rsid w:val="0EDA7FEB"/>
    <w:rsid w:val="0EEF559E"/>
    <w:rsid w:val="0EF51970"/>
    <w:rsid w:val="0EFE3455"/>
    <w:rsid w:val="0F0D74B0"/>
    <w:rsid w:val="0F13775A"/>
    <w:rsid w:val="0F145388"/>
    <w:rsid w:val="0F4075C9"/>
    <w:rsid w:val="0F580DB7"/>
    <w:rsid w:val="0F5F3EF3"/>
    <w:rsid w:val="0F5F45FE"/>
    <w:rsid w:val="0F68725A"/>
    <w:rsid w:val="0F6B0AEA"/>
    <w:rsid w:val="0F85734F"/>
    <w:rsid w:val="0F9A112B"/>
    <w:rsid w:val="0F9E2E3C"/>
    <w:rsid w:val="0FA335DA"/>
    <w:rsid w:val="0FBA3053"/>
    <w:rsid w:val="0FBE2E45"/>
    <w:rsid w:val="101D790A"/>
    <w:rsid w:val="10352371"/>
    <w:rsid w:val="10392996"/>
    <w:rsid w:val="10481722"/>
    <w:rsid w:val="1054157E"/>
    <w:rsid w:val="105E41AB"/>
    <w:rsid w:val="106D2F64"/>
    <w:rsid w:val="1070206F"/>
    <w:rsid w:val="107E2DD0"/>
    <w:rsid w:val="10822DCF"/>
    <w:rsid w:val="10A65B52"/>
    <w:rsid w:val="10B63710"/>
    <w:rsid w:val="10D34B99"/>
    <w:rsid w:val="10D75D0B"/>
    <w:rsid w:val="10E46C84"/>
    <w:rsid w:val="10F10820"/>
    <w:rsid w:val="10FE773C"/>
    <w:rsid w:val="110D797F"/>
    <w:rsid w:val="111C2F7A"/>
    <w:rsid w:val="11230F50"/>
    <w:rsid w:val="112770B6"/>
    <w:rsid w:val="115B57DE"/>
    <w:rsid w:val="116363EF"/>
    <w:rsid w:val="11665CA1"/>
    <w:rsid w:val="116972AB"/>
    <w:rsid w:val="119500A0"/>
    <w:rsid w:val="120D77B9"/>
    <w:rsid w:val="121C431D"/>
    <w:rsid w:val="12282CC2"/>
    <w:rsid w:val="123F1FF0"/>
    <w:rsid w:val="124F64A1"/>
    <w:rsid w:val="12665599"/>
    <w:rsid w:val="12C02EFB"/>
    <w:rsid w:val="12CA622D"/>
    <w:rsid w:val="12CD6C41"/>
    <w:rsid w:val="130E3F08"/>
    <w:rsid w:val="130F4837"/>
    <w:rsid w:val="13156259"/>
    <w:rsid w:val="13165211"/>
    <w:rsid w:val="13497394"/>
    <w:rsid w:val="13683FE0"/>
    <w:rsid w:val="13826402"/>
    <w:rsid w:val="13951726"/>
    <w:rsid w:val="13A05E8B"/>
    <w:rsid w:val="13CD7365"/>
    <w:rsid w:val="13F015BE"/>
    <w:rsid w:val="13FF0F6E"/>
    <w:rsid w:val="14315153"/>
    <w:rsid w:val="143534B6"/>
    <w:rsid w:val="14385CE9"/>
    <w:rsid w:val="14396509"/>
    <w:rsid w:val="144954FD"/>
    <w:rsid w:val="14524026"/>
    <w:rsid w:val="1470712F"/>
    <w:rsid w:val="14740441"/>
    <w:rsid w:val="148D32B1"/>
    <w:rsid w:val="14A070D9"/>
    <w:rsid w:val="14A30DAB"/>
    <w:rsid w:val="14AA501D"/>
    <w:rsid w:val="14C005B3"/>
    <w:rsid w:val="14DD2C3C"/>
    <w:rsid w:val="152F25BA"/>
    <w:rsid w:val="15352576"/>
    <w:rsid w:val="15685B19"/>
    <w:rsid w:val="1568787A"/>
    <w:rsid w:val="1573100F"/>
    <w:rsid w:val="159F02A7"/>
    <w:rsid w:val="15A27282"/>
    <w:rsid w:val="15BC5303"/>
    <w:rsid w:val="15C4390D"/>
    <w:rsid w:val="15E62928"/>
    <w:rsid w:val="16087E1D"/>
    <w:rsid w:val="16092E0B"/>
    <w:rsid w:val="16300397"/>
    <w:rsid w:val="164E081E"/>
    <w:rsid w:val="16B00EFF"/>
    <w:rsid w:val="16CA129B"/>
    <w:rsid w:val="16DB47A7"/>
    <w:rsid w:val="16F275CC"/>
    <w:rsid w:val="170C38F2"/>
    <w:rsid w:val="175314BC"/>
    <w:rsid w:val="175639C9"/>
    <w:rsid w:val="17650D6F"/>
    <w:rsid w:val="1768590F"/>
    <w:rsid w:val="17701D14"/>
    <w:rsid w:val="17735226"/>
    <w:rsid w:val="177644D0"/>
    <w:rsid w:val="17944956"/>
    <w:rsid w:val="17B60D70"/>
    <w:rsid w:val="180E295A"/>
    <w:rsid w:val="18104747"/>
    <w:rsid w:val="182E6B59"/>
    <w:rsid w:val="18376D3C"/>
    <w:rsid w:val="18381E37"/>
    <w:rsid w:val="18560801"/>
    <w:rsid w:val="18736C61"/>
    <w:rsid w:val="189C5BCC"/>
    <w:rsid w:val="189D3D09"/>
    <w:rsid w:val="189F624C"/>
    <w:rsid w:val="18AA62B5"/>
    <w:rsid w:val="18C243F8"/>
    <w:rsid w:val="18C26AAD"/>
    <w:rsid w:val="18D05E62"/>
    <w:rsid w:val="18E563CD"/>
    <w:rsid w:val="18E63421"/>
    <w:rsid w:val="18E65685"/>
    <w:rsid w:val="18EB427C"/>
    <w:rsid w:val="19011E52"/>
    <w:rsid w:val="19111E4D"/>
    <w:rsid w:val="192673B2"/>
    <w:rsid w:val="19283F59"/>
    <w:rsid w:val="19436634"/>
    <w:rsid w:val="194D72B5"/>
    <w:rsid w:val="198D3D53"/>
    <w:rsid w:val="19AD2120"/>
    <w:rsid w:val="19C824CF"/>
    <w:rsid w:val="19E519C5"/>
    <w:rsid w:val="19F66F6A"/>
    <w:rsid w:val="1A034E16"/>
    <w:rsid w:val="1A1C66C0"/>
    <w:rsid w:val="1A3506AB"/>
    <w:rsid w:val="1A42393B"/>
    <w:rsid w:val="1A451D4E"/>
    <w:rsid w:val="1A4E34E2"/>
    <w:rsid w:val="1A4F3748"/>
    <w:rsid w:val="1A7B26A9"/>
    <w:rsid w:val="1AAD45DE"/>
    <w:rsid w:val="1AB63EB6"/>
    <w:rsid w:val="1ABE2271"/>
    <w:rsid w:val="1ADC5488"/>
    <w:rsid w:val="1AE14F00"/>
    <w:rsid w:val="1AF26D42"/>
    <w:rsid w:val="1B046F80"/>
    <w:rsid w:val="1B0F349B"/>
    <w:rsid w:val="1B18135F"/>
    <w:rsid w:val="1B3267B5"/>
    <w:rsid w:val="1B40161D"/>
    <w:rsid w:val="1B441859"/>
    <w:rsid w:val="1B4B5C73"/>
    <w:rsid w:val="1B4D39EB"/>
    <w:rsid w:val="1B6606B1"/>
    <w:rsid w:val="1B782BD8"/>
    <w:rsid w:val="1BAA02EE"/>
    <w:rsid w:val="1BCC4DA1"/>
    <w:rsid w:val="1BF63E31"/>
    <w:rsid w:val="1C1F63C6"/>
    <w:rsid w:val="1C5A1D00"/>
    <w:rsid w:val="1C5E7925"/>
    <w:rsid w:val="1C9F0025"/>
    <w:rsid w:val="1CDE0A90"/>
    <w:rsid w:val="1CE974F2"/>
    <w:rsid w:val="1CFD070F"/>
    <w:rsid w:val="1D063C00"/>
    <w:rsid w:val="1D2C0BEB"/>
    <w:rsid w:val="1D37110B"/>
    <w:rsid w:val="1D446291"/>
    <w:rsid w:val="1D464F2E"/>
    <w:rsid w:val="1D48246B"/>
    <w:rsid w:val="1D4D6540"/>
    <w:rsid w:val="1D5113F8"/>
    <w:rsid w:val="1D5F6196"/>
    <w:rsid w:val="1D6132A5"/>
    <w:rsid w:val="1D8E56D5"/>
    <w:rsid w:val="1DDF4451"/>
    <w:rsid w:val="1DE33F41"/>
    <w:rsid w:val="1DE50B42"/>
    <w:rsid w:val="1E0F34E6"/>
    <w:rsid w:val="1E3830B5"/>
    <w:rsid w:val="1E636E30"/>
    <w:rsid w:val="1E650DFA"/>
    <w:rsid w:val="1E752784"/>
    <w:rsid w:val="1E7A43DA"/>
    <w:rsid w:val="1E8456B7"/>
    <w:rsid w:val="1E8E3337"/>
    <w:rsid w:val="1EC37BCD"/>
    <w:rsid w:val="1ECA41B9"/>
    <w:rsid w:val="1ECC114A"/>
    <w:rsid w:val="1ECC76F1"/>
    <w:rsid w:val="1EEA12FF"/>
    <w:rsid w:val="1EEB1B44"/>
    <w:rsid w:val="1F530EDC"/>
    <w:rsid w:val="1F651542"/>
    <w:rsid w:val="1FB73684"/>
    <w:rsid w:val="1FC61CE9"/>
    <w:rsid w:val="1FDC2238"/>
    <w:rsid w:val="1FE5578F"/>
    <w:rsid w:val="1FE7539E"/>
    <w:rsid w:val="1FEE287A"/>
    <w:rsid w:val="1FEF1CA8"/>
    <w:rsid w:val="20146F7C"/>
    <w:rsid w:val="201C5A4A"/>
    <w:rsid w:val="203B546C"/>
    <w:rsid w:val="203E5ED4"/>
    <w:rsid w:val="203E7B55"/>
    <w:rsid w:val="20427645"/>
    <w:rsid w:val="20546AD4"/>
    <w:rsid w:val="20671BE0"/>
    <w:rsid w:val="20713A86"/>
    <w:rsid w:val="20737B9A"/>
    <w:rsid w:val="207E5AA3"/>
    <w:rsid w:val="2096359A"/>
    <w:rsid w:val="20963CB8"/>
    <w:rsid w:val="20A81A1B"/>
    <w:rsid w:val="20B07FB6"/>
    <w:rsid w:val="20B646FB"/>
    <w:rsid w:val="20BA6491"/>
    <w:rsid w:val="20D072AB"/>
    <w:rsid w:val="20EE50D7"/>
    <w:rsid w:val="20EE7DD6"/>
    <w:rsid w:val="212136FE"/>
    <w:rsid w:val="213B74B1"/>
    <w:rsid w:val="215411AB"/>
    <w:rsid w:val="215869F4"/>
    <w:rsid w:val="215A2310"/>
    <w:rsid w:val="216B497A"/>
    <w:rsid w:val="21845A3B"/>
    <w:rsid w:val="21B75E11"/>
    <w:rsid w:val="21C35692"/>
    <w:rsid w:val="21C668EA"/>
    <w:rsid w:val="21C721B9"/>
    <w:rsid w:val="21DE318A"/>
    <w:rsid w:val="21EF5B80"/>
    <w:rsid w:val="22561186"/>
    <w:rsid w:val="22576990"/>
    <w:rsid w:val="225C4DD9"/>
    <w:rsid w:val="229C0154"/>
    <w:rsid w:val="22A43FC8"/>
    <w:rsid w:val="22B13EF7"/>
    <w:rsid w:val="22B518F0"/>
    <w:rsid w:val="22B83BEE"/>
    <w:rsid w:val="22C277D1"/>
    <w:rsid w:val="22D80B06"/>
    <w:rsid w:val="22D9079A"/>
    <w:rsid w:val="22DE117B"/>
    <w:rsid w:val="22F12788"/>
    <w:rsid w:val="22F45867"/>
    <w:rsid w:val="22F47480"/>
    <w:rsid w:val="234D2C4C"/>
    <w:rsid w:val="238D49A3"/>
    <w:rsid w:val="239929AF"/>
    <w:rsid w:val="23BD3E5D"/>
    <w:rsid w:val="23DE1C48"/>
    <w:rsid w:val="23E7405F"/>
    <w:rsid w:val="240210CD"/>
    <w:rsid w:val="243465C8"/>
    <w:rsid w:val="243A0633"/>
    <w:rsid w:val="24482123"/>
    <w:rsid w:val="24577437"/>
    <w:rsid w:val="245C7222"/>
    <w:rsid w:val="246C4B23"/>
    <w:rsid w:val="24BF09F7"/>
    <w:rsid w:val="24D14D8C"/>
    <w:rsid w:val="24F9046C"/>
    <w:rsid w:val="24FF1BA6"/>
    <w:rsid w:val="25220111"/>
    <w:rsid w:val="252D53FE"/>
    <w:rsid w:val="252E0198"/>
    <w:rsid w:val="25376FCD"/>
    <w:rsid w:val="25516E88"/>
    <w:rsid w:val="25875B24"/>
    <w:rsid w:val="258F5A9A"/>
    <w:rsid w:val="25CB7078"/>
    <w:rsid w:val="25DB1D4C"/>
    <w:rsid w:val="25E141D9"/>
    <w:rsid w:val="25EC2D81"/>
    <w:rsid w:val="26023519"/>
    <w:rsid w:val="26150399"/>
    <w:rsid w:val="2618476C"/>
    <w:rsid w:val="263167D6"/>
    <w:rsid w:val="263E7DCD"/>
    <w:rsid w:val="26435EC5"/>
    <w:rsid w:val="26576CC9"/>
    <w:rsid w:val="266E549A"/>
    <w:rsid w:val="26773BAB"/>
    <w:rsid w:val="26985BAA"/>
    <w:rsid w:val="269A3AE6"/>
    <w:rsid w:val="26C764E9"/>
    <w:rsid w:val="26FE36A5"/>
    <w:rsid w:val="271649AE"/>
    <w:rsid w:val="272B0768"/>
    <w:rsid w:val="27373EBE"/>
    <w:rsid w:val="27441BF4"/>
    <w:rsid w:val="274E1D6C"/>
    <w:rsid w:val="275B723E"/>
    <w:rsid w:val="276716AC"/>
    <w:rsid w:val="277057A2"/>
    <w:rsid w:val="2794031E"/>
    <w:rsid w:val="27985C7A"/>
    <w:rsid w:val="27DA59F1"/>
    <w:rsid w:val="27F57560"/>
    <w:rsid w:val="28133675"/>
    <w:rsid w:val="28235FAE"/>
    <w:rsid w:val="282B09BF"/>
    <w:rsid w:val="28384502"/>
    <w:rsid w:val="283A128D"/>
    <w:rsid w:val="286D547B"/>
    <w:rsid w:val="28812CD5"/>
    <w:rsid w:val="288D3A70"/>
    <w:rsid w:val="288F3BD5"/>
    <w:rsid w:val="28964DAD"/>
    <w:rsid w:val="28C50ACE"/>
    <w:rsid w:val="28DD162A"/>
    <w:rsid w:val="28EF40E2"/>
    <w:rsid w:val="29106765"/>
    <w:rsid w:val="29191185"/>
    <w:rsid w:val="29206EB8"/>
    <w:rsid w:val="294206B6"/>
    <w:rsid w:val="29424212"/>
    <w:rsid w:val="29474AEB"/>
    <w:rsid w:val="29516ECA"/>
    <w:rsid w:val="29595666"/>
    <w:rsid w:val="29785F1E"/>
    <w:rsid w:val="297E0FC2"/>
    <w:rsid w:val="29874881"/>
    <w:rsid w:val="29923EAE"/>
    <w:rsid w:val="2993749F"/>
    <w:rsid w:val="299C31FE"/>
    <w:rsid w:val="29A749BD"/>
    <w:rsid w:val="29BA5130"/>
    <w:rsid w:val="29DD03DE"/>
    <w:rsid w:val="29E325E0"/>
    <w:rsid w:val="2A0E0598"/>
    <w:rsid w:val="2A104310"/>
    <w:rsid w:val="2A3A138D"/>
    <w:rsid w:val="2A3A6C70"/>
    <w:rsid w:val="2A3C6EB3"/>
    <w:rsid w:val="2A452503"/>
    <w:rsid w:val="2A4A05E8"/>
    <w:rsid w:val="2A510485"/>
    <w:rsid w:val="2A8F0B6E"/>
    <w:rsid w:val="2A92484F"/>
    <w:rsid w:val="2A9417B8"/>
    <w:rsid w:val="2A97058D"/>
    <w:rsid w:val="2A9A1E2C"/>
    <w:rsid w:val="2A9D6364"/>
    <w:rsid w:val="2A9F1490"/>
    <w:rsid w:val="2AA00035"/>
    <w:rsid w:val="2AAE0067"/>
    <w:rsid w:val="2AE43C8F"/>
    <w:rsid w:val="2AFB4FC0"/>
    <w:rsid w:val="2B053749"/>
    <w:rsid w:val="2B296D68"/>
    <w:rsid w:val="2B4D7FC2"/>
    <w:rsid w:val="2BA936A8"/>
    <w:rsid w:val="2BB57961"/>
    <w:rsid w:val="2BB86A0D"/>
    <w:rsid w:val="2BCC1D14"/>
    <w:rsid w:val="2BD122BC"/>
    <w:rsid w:val="2BE414A3"/>
    <w:rsid w:val="2C010E53"/>
    <w:rsid w:val="2C040426"/>
    <w:rsid w:val="2C17771E"/>
    <w:rsid w:val="2C310692"/>
    <w:rsid w:val="2C315A5A"/>
    <w:rsid w:val="2C4B1C25"/>
    <w:rsid w:val="2C4D058B"/>
    <w:rsid w:val="2C7217DF"/>
    <w:rsid w:val="2C783227"/>
    <w:rsid w:val="2C993EE8"/>
    <w:rsid w:val="2CAF7483"/>
    <w:rsid w:val="2CCB2EA9"/>
    <w:rsid w:val="2CCF6211"/>
    <w:rsid w:val="2CF021D7"/>
    <w:rsid w:val="2D2C101B"/>
    <w:rsid w:val="2D5544C3"/>
    <w:rsid w:val="2D5E3404"/>
    <w:rsid w:val="2D9E56F5"/>
    <w:rsid w:val="2DC5777C"/>
    <w:rsid w:val="2E157AA8"/>
    <w:rsid w:val="2E2F0CC0"/>
    <w:rsid w:val="2E667F96"/>
    <w:rsid w:val="2E80471D"/>
    <w:rsid w:val="2E8226AB"/>
    <w:rsid w:val="2E8855F1"/>
    <w:rsid w:val="2E8C411E"/>
    <w:rsid w:val="2E8F4F19"/>
    <w:rsid w:val="2E9516BB"/>
    <w:rsid w:val="2E9C4758"/>
    <w:rsid w:val="2EC90F31"/>
    <w:rsid w:val="2EF32DC2"/>
    <w:rsid w:val="2EF50675"/>
    <w:rsid w:val="2F150A5D"/>
    <w:rsid w:val="2F202241"/>
    <w:rsid w:val="2F4B5DEA"/>
    <w:rsid w:val="2F525BF4"/>
    <w:rsid w:val="2F5E78CC"/>
    <w:rsid w:val="2F892A05"/>
    <w:rsid w:val="2F966B4B"/>
    <w:rsid w:val="2FCF25FC"/>
    <w:rsid w:val="2FD065E6"/>
    <w:rsid w:val="2FD96870"/>
    <w:rsid w:val="2FE36023"/>
    <w:rsid w:val="2FEB5399"/>
    <w:rsid w:val="303845C1"/>
    <w:rsid w:val="30526B15"/>
    <w:rsid w:val="30574FAB"/>
    <w:rsid w:val="30580BC9"/>
    <w:rsid w:val="305B3E0B"/>
    <w:rsid w:val="3077309A"/>
    <w:rsid w:val="30890978"/>
    <w:rsid w:val="30967C99"/>
    <w:rsid w:val="309D6BE7"/>
    <w:rsid w:val="30AC7390"/>
    <w:rsid w:val="30CB05AE"/>
    <w:rsid w:val="30CE2F6B"/>
    <w:rsid w:val="30DF2C8E"/>
    <w:rsid w:val="30E57A62"/>
    <w:rsid w:val="30EE3BA2"/>
    <w:rsid w:val="30F3375D"/>
    <w:rsid w:val="30FF50DE"/>
    <w:rsid w:val="31067C7A"/>
    <w:rsid w:val="310C2C94"/>
    <w:rsid w:val="311E2ED7"/>
    <w:rsid w:val="3148438F"/>
    <w:rsid w:val="314F3DF8"/>
    <w:rsid w:val="315619EE"/>
    <w:rsid w:val="315C449C"/>
    <w:rsid w:val="31633AA7"/>
    <w:rsid w:val="316674AD"/>
    <w:rsid w:val="31667C7F"/>
    <w:rsid w:val="31784BB8"/>
    <w:rsid w:val="31811738"/>
    <w:rsid w:val="31A86DC5"/>
    <w:rsid w:val="31B00187"/>
    <w:rsid w:val="31B82709"/>
    <w:rsid w:val="31BF7C46"/>
    <w:rsid w:val="31D05482"/>
    <w:rsid w:val="31FC6CFC"/>
    <w:rsid w:val="321E38F9"/>
    <w:rsid w:val="322C2E4B"/>
    <w:rsid w:val="32400B34"/>
    <w:rsid w:val="325F4087"/>
    <w:rsid w:val="329E6876"/>
    <w:rsid w:val="32AE1A99"/>
    <w:rsid w:val="32B1065A"/>
    <w:rsid w:val="32B4319A"/>
    <w:rsid w:val="32CE2FBA"/>
    <w:rsid w:val="330342E3"/>
    <w:rsid w:val="330718F5"/>
    <w:rsid w:val="3312685B"/>
    <w:rsid w:val="33286719"/>
    <w:rsid w:val="332E637D"/>
    <w:rsid w:val="333015F2"/>
    <w:rsid w:val="334B6320"/>
    <w:rsid w:val="33B2575C"/>
    <w:rsid w:val="33B35127"/>
    <w:rsid w:val="33D934D4"/>
    <w:rsid w:val="33FE2F6A"/>
    <w:rsid w:val="340801E5"/>
    <w:rsid w:val="340E07E5"/>
    <w:rsid w:val="34196F1B"/>
    <w:rsid w:val="341F147F"/>
    <w:rsid w:val="34235BF7"/>
    <w:rsid w:val="342A4BFE"/>
    <w:rsid w:val="345961B9"/>
    <w:rsid w:val="346239BA"/>
    <w:rsid w:val="34806536"/>
    <w:rsid w:val="34E75156"/>
    <w:rsid w:val="34F211E2"/>
    <w:rsid w:val="35124493"/>
    <w:rsid w:val="3535115B"/>
    <w:rsid w:val="355670E1"/>
    <w:rsid w:val="35661288"/>
    <w:rsid w:val="358C5FA8"/>
    <w:rsid w:val="35926B54"/>
    <w:rsid w:val="35A617E1"/>
    <w:rsid w:val="35B36310"/>
    <w:rsid w:val="35BC456F"/>
    <w:rsid w:val="35C15DF1"/>
    <w:rsid w:val="35D5640E"/>
    <w:rsid w:val="36027DCB"/>
    <w:rsid w:val="36074A7F"/>
    <w:rsid w:val="36145188"/>
    <w:rsid w:val="361B51E8"/>
    <w:rsid w:val="362A675A"/>
    <w:rsid w:val="362F3D70"/>
    <w:rsid w:val="365E4BBF"/>
    <w:rsid w:val="36617CA1"/>
    <w:rsid w:val="366C3F8B"/>
    <w:rsid w:val="367D0F7F"/>
    <w:rsid w:val="3685055C"/>
    <w:rsid w:val="36923549"/>
    <w:rsid w:val="36985DB9"/>
    <w:rsid w:val="36B75FBF"/>
    <w:rsid w:val="36BD0C45"/>
    <w:rsid w:val="36BE50F4"/>
    <w:rsid w:val="36DB45ED"/>
    <w:rsid w:val="36EE7787"/>
    <w:rsid w:val="370A2028"/>
    <w:rsid w:val="376C7ABB"/>
    <w:rsid w:val="378D1801"/>
    <w:rsid w:val="378F37D2"/>
    <w:rsid w:val="37A3563C"/>
    <w:rsid w:val="37C80408"/>
    <w:rsid w:val="37D52906"/>
    <w:rsid w:val="37E00298"/>
    <w:rsid w:val="37F000F9"/>
    <w:rsid w:val="380A1C8E"/>
    <w:rsid w:val="381B27FE"/>
    <w:rsid w:val="3830161A"/>
    <w:rsid w:val="384D007E"/>
    <w:rsid w:val="38502905"/>
    <w:rsid w:val="38582D7A"/>
    <w:rsid w:val="38645252"/>
    <w:rsid w:val="38B302F9"/>
    <w:rsid w:val="38DA7142"/>
    <w:rsid w:val="38F12CD3"/>
    <w:rsid w:val="38F94775"/>
    <w:rsid w:val="38FE4457"/>
    <w:rsid w:val="39163663"/>
    <w:rsid w:val="39176838"/>
    <w:rsid w:val="39253C43"/>
    <w:rsid w:val="392971ED"/>
    <w:rsid w:val="39325651"/>
    <w:rsid w:val="393755D6"/>
    <w:rsid w:val="394878BA"/>
    <w:rsid w:val="39643D30"/>
    <w:rsid w:val="39B32F0A"/>
    <w:rsid w:val="39C649EB"/>
    <w:rsid w:val="3A386F87"/>
    <w:rsid w:val="3A397982"/>
    <w:rsid w:val="3A3A3AA9"/>
    <w:rsid w:val="3A3E0A25"/>
    <w:rsid w:val="3A4A4278"/>
    <w:rsid w:val="3A6E705A"/>
    <w:rsid w:val="3A7E70DB"/>
    <w:rsid w:val="3A806B3D"/>
    <w:rsid w:val="3A872856"/>
    <w:rsid w:val="3A8D5509"/>
    <w:rsid w:val="3A9471DC"/>
    <w:rsid w:val="3AA80595"/>
    <w:rsid w:val="3AB522A0"/>
    <w:rsid w:val="3AB970A9"/>
    <w:rsid w:val="3ABB3E24"/>
    <w:rsid w:val="3ADC0FF1"/>
    <w:rsid w:val="3AFD443D"/>
    <w:rsid w:val="3B343BD6"/>
    <w:rsid w:val="3B3763D1"/>
    <w:rsid w:val="3B4007CD"/>
    <w:rsid w:val="3B43631F"/>
    <w:rsid w:val="3B5659E1"/>
    <w:rsid w:val="3B712735"/>
    <w:rsid w:val="3B7A5A8D"/>
    <w:rsid w:val="3BA239D6"/>
    <w:rsid w:val="3BB17807"/>
    <w:rsid w:val="3BB80364"/>
    <w:rsid w:val="3BBA2E14"/>
    <w:rsid w:val="3BCD1DA8"/>
    <w:rsid w:val="3BE87F96"/>
    <w:rsid w:val="3BF21AC7"/>
    <w:rsid w:val="3BF515B8"/>
    <w:rsid w:val="3C002BD0"/>
    <w:rsid w:val="3C1A60F9"/>
    <w:rsid w:val="3C1B0ABE"/>
    <w:rsid w:val="3C2B7E55"/>
    <w:rsid w:val="3C2F6E1E"/>
    <w:rsid w:val="3C3D6ABB"/>
    <w:rsid w:val="3C4F64BA"/>
    <w:rsid w:val="3C6773B9"/>
    <w:rsid w:val="3C865233"/>
    <w:rsid w:val="3C8F0D40"/>
    <w:rsid w:val="3C9B7CC7"/>
    <w:rsid w:val="3CAD3C40"/>
    <w:rsid w:val="3CB40F8F"/>
    <w:rsid w:val="3CBC20D5"/>
    <w:rsid w:val="3CDA245A"/>
    <w:rsid w:val="3CEF27A8"/>
    <w:rsid w:val="3D1045F7"/>
    <w:rsid w:val="3D1E06B7"/>
    <w:rsid w:val="3D201A85"/>
    <w:rsid w:val="3D49551A"/>
    <w:rsid w:val="3D7A6EA2"/>
    <w:rsid w:val="3DA912E1"/>
    <w:rsid w:val="3DAD1CC3"/>
    <w:rsid w:val="3DED1848"/>
    <w:rsid w:val="3DEF219C"/>
    <w:rsid w:val="3DF24B5D"/>
    <w:rsid w:val="3E3068D7"/>
    <w:rsid w:val="3E381132"/>
    <w:rsid w:val="3E40274A"/>
    <w:rsid w:val="3E5977C8"/>
    <w:rsid w:val="3E9F14EA"/>
    <w:rsid w:val="3EA23C86"/>
    <w:rsid w:val="3EDA0523"/>
    <w:rsid w:val="3EE76488"/>
    <w:rsid w:val="3F0457E2"/>
    <w:rsid w:val="3F0F3B30"/>
    <w:rsid w:val="3F2A1578"/>
    <w:rsid w:val="3F4E1E62"/>
    <w:rsid w:val="3F4F1FFD"/>
    <w:rsid w:val="3F500617"/>
    <w:rsid w:val="3F560159"/>
    <w:rsid w:val="3F7171A7"/>
    <w:rsid w:val="3F8073EA"/>
    <w:rsid w:val="3F9E3CEA"/>
    <w:rsid w:val="3FA46429"/>
    <w:rsid w:val="3FB97668"/>
    <w:rsid w:val="3FBC0A56"/>
    <w:rsid w:val="3FE96D7A"/>
    <w:rsid w:val="3FF83425"/>
    <w:rsid w:val="400E64D7"/>
    <w:rsid w:val="404F6C7A"/>
    <w:rsid w:val="406B009A"/>
    <w:rsid w:val="4070350E"/>
    <w:rsid w:val="407A6407"/>
    <w:rsid w:val="408178BE"/>
    <w:rsid w:val="408B4D47"/>
    <w:rsid w:val="40980F08"/>
    <w:rsid w:val="40E014B2"/>
    <w:rsid w:val="40EA5463"/>
    <w:rsid w:val="40F10903"/>
    <w:rsid w:val="4146099C"/>
    <w:rsid w:val="414D1E51"/>
    <w:rsid w:val="415A0A7F"/>
    <w:rsid w:val="41700411"/>
    <w:rsid w:val="41926A85"/>
    <w:rsid w:val="41C04CFF"/>
    <w:rsid w:val="41FA16D6"/>
    <w:rsid w:val="4200449D"/>
    <w:rsid w:val="422E75D1"/>
    <w:rsid w:val="423A3BCC"/>
    <w:rsid w:val="424647A3"/>
    <w:rsid w:val="424E57D2"/>
    <w:rsid w:val="42507548"/>
    <w:rsid w:val="4258464E"/>
    <w:rsid w:val="428A6795"/>
    <w:rsid w:val="429661A9"/>
    <w:rsid w:val="42B26C49"/>
    <w:rsid w:val="42BE6E86"/>
    <w:rsid w:val="431037F1"/>
    <w:rsid w:val="43107051"/>
    <w:rsid w:val="43132CE0"/>
    <w:rsid w:val="432A1455"/>
    <w:rsid w:val="432D09BF"/>
    <w:rsid w:val="433A6FE6"/>
    <w:rsid w:val="43480868"/>
    <w:rsid w:val="4350713C"/>
    <w:rsid w:val="436653E0"/>
    <w:rsid w:val="43753CB1"/>
    <w:rsid w:val="43923D52"/>
    <w:rsid w:val="439416B6"/>
    <w:rsid w:val="439C52E2"/>
    <w:rsid w:val="43A3506B"/>
    <w:rsid w:val="43B600AD"/>
    <w:rsid w:val="43C4431A"/>
    <w:rsid w:val="43E4263E"/>
    <w:rsid w:val="44890DFE"/>
    <w:rsid w:val="448A3B75"/>
    <w:rsid w:val="44B45862"/>
    <w:rsid w:val="44B951CC"/>
    <w:rsid w:val="44BD5DCD"/>
    <w:rsid w:val="44CD14E0"/>
    <w:rsid w:val="44F178ED"/>
    <w:rsid w:val="44F20B0B"/>
    <w:rsid w:val="44F90A89"/>
    <w:rsid w:val="44FA379B"/>
    <w:rsid w:val="452E5F4C"/>
    <w:rsid w:val="45612018"/>
    <w:rsid w:val="45813AEA"/>
    <w:rsid w:val="45832D81"/>
    <w:rsid w:val="458946E9"/>
    <w:rsid w:val="45A47C0E"/>
    <w:rsid w:val="45A8769B"/>
    <w:rsid w:val="45A919CB"/>
    <w:rsid w:val="45D60C4F"/>
    <w:rsid w:val="45F779EB"/>
    <w:rsid w:val="462742C6"/>
    <w:rsid w:val="462C04DA"/>
    <w:rsid w:val="464F1BEA"/>
    <w:rsid w:val="4651388E"/>
    <w:rsid w:val="46577FD6"/>
    <w:rsid w:val="465A4859"/>
    <w:rsid w:val="469C211D"/>
    <w:rsid w:val="46A941B7"/>
    <w:rsid w:val="46B1432D"/>
    <w:rsid w:val="46BF6A4A"/>
    <w:rsid w:val="46D70238"/>
    <w:rsid w:val="46D955A7"/>
    <w:rsid w:val="46FB2452"/>
    <w:rsid w:val="47133957"/>
    <w:rsid w:val="47147534"/>
    <w:rsid w:val="471C32FD"/>
    <w:rsid w:val="47521707"/>
    <w:rsid w:val="47563DDB"/>
    <w:rsid w:val="475F338E"/>
    <w:rsid w:val="47777BE4"/>
    <w:rsid w:val="47876D9F"/>
    <w:rsid w:val="47941C85"/>
    <w:rsid w:val="47A07E0C"/>
    <w:rsid w:val="47BC567F"/>
    <w:rsid w:val="47D41743"/>
    <w:rsid w:val="47E0311C"/>
    <w:rsid w:val="480C6A6F"/>
    <w:rsid w:val="481D611E"/>
    <w:rsid w:val="482079BC"/>
    <w:rsid w:val="482D1AFC"/>
    <w:rsid w:val="483E60F2"/>
    <w:rsid w:val="48543F68"/>
    <w:rsid w:val="4870272E"/>
    <w:rsid w:val="4876582E"/>
    <w:rsid w:val="488D5C29"/>
    <w:rsid w:val="48D14F10"/>
    <w:rsid w:val="48E03714"/>
    <w:rsid w:val="48F055E1"/>
    <w:rsid w:val="490C265F"/>
    <w:rsid w:val="49542517"/>
    <w:rsid w:val="496D420F"/>
    <w:rsid w:val="4977360C"/>
    <w:rsid w:val="497A5674"/>
    <w:rsid w:val="497F206E"/>
    <w:rsid w:val="4992317E"/>
    <w:rsid w:val="49C17360"/>
    <w:rsid w:val="49C655D1"/>
    <w:rsid w:val="49D40A5E"/>
    <w:rsid w:val="49DC7715"/>
    <w:rsid w:val="49DC7913"/>
    <w:rsid w:val="49FA5FEB"/>
    <w:rsid w:val="4A023139"/>
    <w:rsid w:val="4A0F122D"/>
    <w:rsid w:val="4A3D7109"/>
    <w:rsid w:val="4A434155"/>
    <w:rsid w:val="4A5920FC"/>
    <w:rsid w:val="4A630034"/>
    <w:rsid w:val="4A654B7E"/>
    <w:rsid w:val="4A7B22F7"/>
    <w:rsid w:val="4A7B576F"/>
    <w:rsid w:val="4AC94036"/>
    <w:rsid w:val="4AD8069B"/>
    <w:rsid w:val="4AF561A9"/>
    <w:rsid w:val="4B2772B4"/>
    <w:rsid w:val="4B4200BD"/>
    <w:rsid w:val="4B4C0AC8"/>
    <w:rsid w:val="4B5B34A7"/>
    <w:rsid w:val="4B651125"/>
    <w:rsid w:val="4B7E5A76"/>
    <w:rsid w:val="4B7F6824"/>
    <w:rsid w:val="4B823BA6"/>
    <w:rsid w:val="4B9F6E66"/>
    <w:rsid w:val="4BB80216"/>
    <w:rsid w:val="4BB8393C"/>
    <w:rsid w:val="4BF0623D"/>
    <w:rsid w:val="4BFA32A7"/>
    <w:rsid w:val="4C050272"/>
    <w:rsid w:val="4C0F3FD0"/>
    <w:rsid w:val="4C3969B1"/>
    <w:rsid w:val="4C4A0649"/>
    <w:rsid w:val="4C5C2EA9"/>
    <w:rsid w:val="4C690B23"/>
    <w:rsid w:val="4C711F79"/>
    <w:rsid w:val="4C7E5ECA"/>
    <w:rsid w:val="4C876AA5"/>
    <w:rsid w:val="4C8F0A19"/>
    <w:rsid w:val="4CBB4158"/>
    <w:rsid w:val="4CBF5E41"/>
    <w:rsid w:val="4CF86426"/>
    <w:rsid w:val="4D0E00FB"/>
    <w:rsid w:val="4D176606"/>
    <w:rsid w:val="4D234BA1"/>
    <w:rsid w:val="4D4448F7"/>
    <w:rsid w:val="4D461C73"/>
    <w:rsid w:val="4D6C0A51"/>
    <w:rsid w:val="4D821592"/>
    <w:rsid w:val="4D884BDD"/>
    <w:rsid w:val="4D961444"/>
    <w:rsid w:val="4D970145"/>
    <w:rsid w:val="4D9A536B"/>
    <w:rsid w:val="4DA370C6"/>
    <w:rsid w:val="4DEC4FB0"/>
    <w:rsid w:val="4E075D8A"/>
    <w:rsid w:val="4E402E20"/>
    <w:rsid w:val="4E41243B"/>
    <w:rsid w:val="4E7F7B55"/>
    <w:rsid w:val="4E924C46"/>
    <w:rsid w:val="4E955B2B"/>
    <w:rsid w:val="4EB96475"/>
    <w:rsid w:val="4EC00FAD"/>
    <w:rsid w:val="4EEA7BC0"/>
    <w:rsid w:val="4F0175F5"/>
    <w:rsid w:val="4F0628EE"/>
    <w:rsid w:val="4F493C9D"/>
    <w:rsid w:val="4F5F526E"/>
    <w:rsid w:val="4F6C34E7"/>
    <w:rsid w:val="4F9843DC"/>
    <w:rsid w:val="4FBA715D"/>
    <w:rsid w:val="4FC62A8C"/>
    <w:rsid w:val="4FE20F0D"/>
    <w:rsid w:val="4FE51552"/>
    <w:rsid w:val="500D0826"/>
    <w:rsid w:val="50193849"/>
    <w:rsid w:val="502D7F04"/>
    <w:rsid w:val="50504C4B"/>
    <w:rsid w:val="50697F57"/>
    <w:rsid w:val="50781911"/>
    <w:rsid w:val="50970C03"/>
    <w:rsid w:val="509C6E7C"/>
    <w:rsid w:val="50A15412"/>
    <w:rsid w:val="50D96F75"/>
    <w:rsid w:val="51002483"/>
    <w:rsid w:val="51054DDD"/>
    <w:rsid w:val="511E5BD0"/>
    <w:rsid w:val="513C0D0A"/>
    <w:rsid w:val="513E2C61"/>
    <w:rsid w:val="515C5909"/>
    <w:rsid w:val="5162104E"/>
    <w:rsid w:val="51C723F6"/>
    <w:rsid w:val="51DC45B9"/>
    <w:rsid w:val="51DC5282"/>
    <w:rsid w:val="51FE0D6E"/>
    <w:rsid w:val="520C2DDB"/>
    <w:rsid w:val="52204DB5"/>
    <w:rsid w:val="52316BE6"/>
    <w:rsid w:val="525D0267"/>
    <w:rsid w:val="52630BD1"/>
    <w:rsid w:val="527600FA"/>
    <w:rsid w:val="527F0AC9"/>
    <w:rsid w:val="528A21FE"/>
    <w:rsid w:val="5294522F"/>
    <w:rsid w:val="52C37FD4"/>
    <w:rsid w:val="52CF6145"/>
    <w:rsid w:val="52E964FA"/>
    <w:rsid w:val="52F30152"/>
    <w:rsid w:val="530103EA"/>
    <w:rsid w:val="537E3882"/>
    <w:rsid w:val="5396277D"/>
    <w:rsid w:val="53A039CC"/>
    <w:rsid w:val="53A1505A"/>
    <w:rsid w:val="53E144A4"/>
    <w:rsid w:val="54063E08"/>
    <w:rsid w:val="540F5D09"/>
    <w:rsid w:val="543437E8"/>
    <w:rsid w:val="54440F37"/>
    <w:rsid w:val="5445799A"/>
    <w:rsid w:val="544762D1"/>
    <w:rsid w:val="545509EE"/>
    <w:rsid w:val="54676409"/>
    <w:rsid w:val="54695C38"/>
    <w:rsid w:val="54754BEC"/>
    <w:rsid w:val="548351B9"/>
    <w:rsid w:val="54BF57E1"/>
    <w:rsid w:val="54C87F4D"/>
    <w:rsid w:val="54CA1FB3"/>
    <w:rsid w:val="54F73313"/>
    <w:rsid w:val="54F80955"/>
    <w:rsid w:val="54FA3343"/>
    <w:rsid w:val="55254864"/>
    <w:rsid w:val="553208B2"/>
    <w:rsid w:val="553329B9"/>
    <w:rsid w:val="554C6E14"/>
    <w:rsid w:val="554D558C"/>
    <w:rsid w:val="555170A7"/>
    <w:rsid w:val="557B26D6"/>
    <w:rsid w:val="5585116B"/>
    <w:rsid w:val="5587536D"/>
    <w:rsid w:val="558C043F"/>
    <w:rsid w:val="559B174B"/>
    <w:rsid w:val="55AC0AE1"/>
    <w:rsid w:val="55AC1D47"/>
    <w:rsid w:val="55B05A05"/>
    <w:rsid w:val="55CE0CF4"/>
    <w:rsid w:val="55E520EB"/>
    <w:rsid w:val="5614733E"/>
    <w:rsid w:val="561E35FB"/>
    <w:rsid w:val="56226FF5"/>
    <w:rsid w:val="562409E5"/>
    <w:rsid w:val="56341695"/>
    <w:rsid w:val="56357F16"/>
    <w:rsid w:val="56375477"/>
    <w:rsid w:val="56513437"/>
    <w:rsid w:val="565C4A9E"/>
    <w:rsid w:val="565E57F8"/>
    <w:rsid w:val="56A65D5D"/>
    <w:rsid w:val="56B22A9C"/>
    <w:rsid w:val="56CB143B"/>
    <w:rsid w:val="56CE3AA9"/>
    <w:rsid w:val="56D02258"/>
    <w:rsid w:val="56D46032"/>
    <w:rsid w:val="56DC53F6"/>
    <w:rsid w:val="574C257C"/>
    <w:rsid w:val="57603354"/>
    <w:rsid w:val="578060C1"/>
    <w:rsid w:val="57A012EE"/>
    <w:rsid w:val="57B61CC6"/>
    <w:rsid w:val="57B72A76"/>
    <w:rsid w:val="57C3426C"/>
    <w:rsid w:val="57CE1F93"/>
    <w:rsid w:val="57D050B8"/>
    <w:rsid w:val="57E149B0"/>
    <w:rsid w:val="58115D79"/>
    <w:rsid w:val="58315521"/>
    <w:rsid w:val="584A56E5"/>
    <w:rsid w:val="58676496"/>
    <w:rsid w:val="587D6765"/>
    <w:rsid w:val="588743D1"/>
    <w:rsid w:val="5887701A"/>
    <w:rsid w:val="588875E4"/>
    <w:rsid w:val="5889510A"/>
    <w:rsid w:val="589743CF"/>
    <w:rsid w:val="58C82435"/>
    <w:rsid w:val="58DC4114"/>
    <w:rsid w:val="591B0CB2"/>
    <w:rsid w:val="59353E55"/>
    <w:rsid w:val="59575208"/>
    <w:rsid w:val="596C0A0A"/>
    <w:rsid w:val="596D4FAD"/>
    <w:rsid w:val="596F73A7"/>
    <w:rsid w:val="598F57AE"/>
    <w:rsid w:val="599C2C1B"/>
    <w:rsid w:val="59B33F60"/>
    <w:rsid w:val="59B63863"/>
    <w:rsid w:val="59C0439F"/>
    <w:rsid w:val="59C04B5B"/>
    <w:rsid w:val="59F82547"/>
    <w:rsid w:val="5A1A7A49"/>
    <w:rsid w:val="5A32467E"/>
    <w:rsid w:val="5A427419"/>
    <w:rsid w:val="5A665EAB"/>
    <w:rsid w:val="5A7E2F29"/>
    <w:rsid w:val="5AAC561D"/>
    <w:rsid w:val="5AAE71CA"/>
    <w:rsid w:val="5ABE2233"/>
    <w:rsid w:val="5ADF54B5"/>
    <w:rsid w:val="5AF93BF7"/>
    <w:rsid w:val="5B125EE8"/>
    <w:rsid w:val="5B384339"/>
    <w:rsid w:val="5B4D241F"/>
    <w:rsid w:val="5B4E6197"/>
    <w:rsid w:val="5B7260BB"/>
    <w:rsid w:val="5B754D06"/>
    <w:rsid w:val="5B9F733C"/>
    <w:rsid w:val="5BC57894"/>
    <w:rsid w:val="5BDF5D95"/>
    <w:rsid w:val="5BE82147"/>
    <w:rsid w:val="5BF75CD2"/>
    <w:rsid w:val="5BFE7528"/>
    <w:rsid w:val="5C245548"/>
    <w:rsid w:val="5C2C48F8"/>
    <w:rsid w:val="5C5F68BA"/>
    <w:rsid w:val="5C6820A3"/>
    <w:rsid w:val="5C87710B"/>
    <w:rsid w:val="5C95316C"/>
    <w:rsid w:val="5CA27D26"/>
    <w:rsid w:val="5CB86E0F"/>
    <w:rsid w:val="5CD86465"/>
    <w:rsid w:val="5CDD77D2"/>
    <w:rsid w:val="5D944335"/>
    <w:rsid w:val="5D9B71A7"/>
    <w:rsid w:val="5DD76917"/>
    <w:rsid w:val="5DEF3829"/>
    <w:rsid w:val="5E13213F"/>
    <w:rsid w:val="5E2467F1"/>
    <w:rsid w:val="5E3179E3"/>
    <w:rsid w:val="5E335697"/>
    <w:rsid w:val="5E4A0CE0"/>
    <w:rsid w:val="5E6E102A"/>
    <w:rsid w:val="5E8C14B0"/>
    <w:rsid w:val="5EA84D38"/>
    <w:rsid w:val="5EBE53E1"/>
    <w:rsid w:val="5EC0322C"/>
    <w:rsid w:val="5EC209FA"/>
    <w:rsid w:val="5EF17565"/>
    <w:rsid w:val="5EF552A7"/>
    <w:rsid w:val="5F0664AA"/>
    <w:rsid w:val="5F0C537D"/>
    <w:rsid w:val="5F1A2B43"/>
    <w:rsid w:val="5F63647E"/>
    <w:rsid w:val="5F9754E6"/>
    <w:rsid w:val="5F97635E"/>
    <w:rsid w:val="5FAA4512"/>
    <w:rsid w:val="5FB707AE"/>
    <w:rsid w:val="5FB837BB"/>
    <w:rsid w:val="5FC41AEF"/>
    <w:rsid w:val="5FCF189D"/>
    <w:rsid w:val="5FCF2B18"/>
    <w:rsid w:val="5FE315A4"/>
    <w:rsid w:val="600B10AA"/>
    <w:rsid w:val="6014544D"/>
    <w:rsid w:val="602C309B"/>
    <w:rsid w:val="604638E0"/>
    <w:rsid w:val="6054424F"/>
    <w:rsid w:val="605E553B"/>
    <w:rsid w:val="60675E1D"/>
    <w:rsid w:val="607246D5"/>
    <w:rsid w:val="60817C9C"/>
    <w:rsid w:val="60926EBC"/>
    <w:rsid w:val="60B03285"/>
    <w:rsid w:val="60BE580F"/>
    <w:rsid w:val="60C50938"/>
    <w:rsid w:val="60CC405A"/>
    <w:rsid w:val="60E87493"/>
    <w:rsid w:val="60E9256B"/>
    <w:rsid w:val="60EC623D"/>
    <w:rsid w:val="61593D89"/>
    <w:rsid w:val="61616C24"/>
    <w:rsid w:val="617D050E"/>
    <w:rsid w:val="61A30FEA"/>
    <w:rsid w:val="61B0000C"/>
    <w:rsid w:val="61B1017A"/>
    <w:rsid w:val="61B31BDD"/>
    <w:rsid w:val="61C40D4B"/>
    <w:rsid w:val="61E215D8"/>
    <w:rsid w:val="61F32904"/>
    <w:rsid w:val="61F7015D"/>
    <w:rsid w:val="621B3775"/>
    <w:rsid w:val="62364782"/>
    <w:rsid w:val="6242096F"/>
    <w:rsid w:val="62680443"/>
    <w:rsid w:val="627E48A2"/>
    <w:rsid w:val="62AC3ECF"/>
    <w:rsid w:val="62B42831"/>
    <w:rsid w:val="62CF1633"/>
    <w:rsid w:val="630E4B89"/>
    <w:rsid w:val="631C5FCA"/>
    <w:rsid w:val="632779F9"/>
    <w:rsid w:val="63367C3C"/>
    <w:rsid w:val="637A5D7B"/>
    <w:rsid w:val="637B5BB8"/>
    <w:rsid w:val="639220CD"/>
    <w:rsid w:val="6394356A"/>
    <w:rsid w:val="63B01778"/>
    <w:rsid w:val="63C15C2D"/>
    <w:rsid w:val="63C61B2C"/>
    <w:rsid w:val="63D40BE9"/>
    <w:rsid w:val="63DF2082"/>
    <w:rsid w:val="64102431"/>
    <w:rsid w:val="64367BDD"/>
    <w:rsid w:val="644324EE"/>
    <w:rsid w:val="64676C66"/>
    <w:rsid w:val="64A5243A"/>
    <w:rsid w:val="64B21544"/>
    <w:rsid w:val="64C25C2B"/>
    <w:rsid w:val="64CC1694"/>
    <w:rsid w:val="64D2669F"/>
    <w:rsid w:val="64F531DE"/>
    <w:rsid w:val="6523039D"/>
    <w:rsid w:val="65373578"/>
    <w:rsid w:val="658646E3"/>
    <w:rsid w:val="658E4D60"/>
    <w:rsid w:val="65A1330E"/>
    <w:rsid w:val="65A65228"/>
    <w:rsid w:val="65C270DF"/>
    <w:rsid w:val="65C65DFC"/>
    <w:rsid w:val="65D87927"/>
    <w:rsid w:val="65E144D8"/>
    <w:rsid w:val="65EB11B2"/>
    <w:rsid w:val="65EC0A86"/>
    <w:rsid w:val="65F23FFE"/>
    <w:rsid w:val="660A52C5"/>
    <w:rsid w:val="660D514E"/>
    <w:rsid w:val="6647649F"/>
    <w:rsid w:val="6662597E"/>
    <w:rsid w:val="666F7143"/>
    <w:rsid w:val="668A7CFF"/>
    <w:rsid w:val="66974E96"/>
    <w:rsid w:val="669E4476"/>
    <w:rsid w:val="66A60AB1"/>
    <w:rsid w:val="66BF3844"/>
    <w:rsid w:val="66C764AB"/>
    <w:rsid w:val="66D74547"/>
    <w:rsid w:val="66DD5F97"/>
    <w:rsid w:val="66FE3167"/>
    <w:rsid w:val="67003A25"/>
    <w:rsid w:val="671F124A"/>
    <w:rsid w:val="67203CC7"/>
    <w:rsid w:val="67286144"/>
    <w:rsid w:val="672B51D0"/>
    <w:rsid w:val="67303B1F"/>
    <w:rsid w:val="67495941"/>
    <w:rsid w:val="67692481"/>
    <w:rsid w:val="677A33C6"/>
    <w:rsid w:val="67AB18F9"/>
    <w:rsid w:val="67B11F87"/>
    <w:rsid w:val="67EB3CE9"/>
    <w:rsid w:val="68134F6F"/>
    <w:rsid w:val="681D54B0"/>
    <w:rsid w:val="681F6961"/>
    <w:rsid w:val="682269E1"/>
    <w:rsid w:val="683926A8"/>
    <w:rsid w:val="683C6350"/>
    <w:rsid w:val="68404286"/>
    <w:rsid w:val="6853762F"/>
    <w:rsid w:val="68610A2F"/>
    <w:rsid w:val="68805514"/>
    <w:rsid w:val="68830403"/>
    <w:rsid w:val="68991648"/>
    <w:rsid w:val="68996CA3"/>
    <w:rsid w:val="68997004"/>
    <w:rsid w:val="68BE670A"/>
    <w:rsid w:val="68C62630"/>
    <w:rsid w:val="68D36EDC"/>
    <w:rsid w:val="68EC3CBA"/>
    <w:rsid w:val="690B268E"/>
    <w:rsid w:val="69173345"/>
    <w:rsid w:val="69316E2F"/>
    <w:rsid w:val="69450BD9"/>
    <w:rsid w:val="694E2071"/>
    <w:rsid w:val="69525BB5"/>
    <w:rsid w:val="69653029"/>
    <w:rsid w:val="697549BE"/>
    <w:rsid w:val="69766163"/>
    <w:rsid w:val="697A3B33"/>
    <w:rsid w:val="69912070"/>
    <w:rsid w:val="69D44760"/>
    <w:rsid w:val="69EE1271"/>
    <w:rsid w:val="69FD3359"/>
    <w:rsid w:val="69FD5CD9"/>
    <w:rsid w:val="6A00650A"/>
    <w:rsid w:val="6A4F2DA4"/>
    <w:rsid w:val="6A4F793B"/>
    <w:rsid w:val="6A520EC7"/>
    <w:rsid w:val="6A636614"/>
    <w:rsid w:val="6A741F20"/>
    <w:rsid w:val="6A9A6D03"/>
    <w:rsid w:val="6A9D03B5"/>
    <w:rsid w:val="6AC10BC2"/>
    <w:rsid w:val="6AC85A5C"/>
    <w:rsid w:val="6AE0505D"/>
    <w:rsid w:val="6AEB6D81"/>
    <w:rsid w:val="6AF87E20"/>
    <w:rsid w:val="6B1A36FF"/>
    <w:rsid w:val="6B301415"/>
    <w:rsid w:val="6B322639"/>
    <w:rsid w:val="6B371AA7"/>
    <w:rsid w:val="6B6D4417"/>
    <w:rsid w:val="6B7C41BC"/>
    <w:rsid w:val="6C24541E"/>
    <w:rsid w:val="6C636C38"/>
    <w:rsid w:val="6C6F6D76"/>
    <w:rsid w:val="6C7D068A"/>
    <w:rsid w:val="6CFC1EF7"/>
    <w:rsid w:val="6D0F4126"/>
    <w:rsid w:val="6D192AA9"/>
    <w:rsid w:val="6D1D0F17"/>
    <w:rsid w:val="6D36587A"/>
    <w:rsid w:val="6D63684A"/>
    <w:rsid w:val="6D891A42"/>
    <w:rsid w:val="6DB3203C"/>
    <w:rsid w:val="6DB34098"/>
    <w:rsid w:val="6DB545B6"/>
    <w:rsid w:val="6DCF4F15"/>
    <w:rsid w:val="6DD4449B"/>
    <w:rsid w:val="6DE02FB4"/>
    <w:rsid w:val="6DE36C13"/>
    <w:rsid w:val="6DEF3809"/>
    <w:rsid w:val="6DFB76B8"/>
    <w:rsid w:val="6E027099"/>
    <w:rsid w:val="6E361A42"/>
    <w:rsid w:val="6E514CED"/>
    <w:rsid w:val="6E5241C8"/>
    <w:rsid w:val="6E557FB3"/>
    <w:rsid w:val="6EB563D5"/>
    <w:rsid w:val="6EB92251"/>
    <w:rsid w:val="6EBB79A1"/>
    <w:rsid w:val="6ED92677"/>
    <w:rsid w:val="6EE175F6"/>
    <w:rsid w:val="6EF1107D"/>
    <w:rsid w:val="6EFA06B8"/>
    <w:rsid w:val="6F085918"/>
    <w:rsid w:val="6F0964F7"/>
    <w:rsid w:val="6F225983"/>
    <w:rsid w:val="6F2D5E12"/>
    <w:rsid w:val="6F346713"/>
    <w:rsid w:val="6F377216"/>
    <w:rsid w:val="6F3C3AC3"/>
    <w:rsid w:val="6F423BD7"/>
    <w:rsid w:val="6F437969"/>
    <w:rsid w:val="6F5D3936"/>
    <w:rsid w:val="6F6F1D4A"/>
    <w:rsid w:val="6F80296B"/>
    <w:rsid w:val="6F8561D3"/>
    <w:rsid w:val="6FD25C5F"/>
    <w:rsid w:val="6FDD7E76"/>
    <w:rsid w:val="6FE51919"/>
    <w:rsid w:val="6FEF1DEF"/>
    <w:rsid w:val="6FFC5590"/>
    <w:rsid w:val="70141305"/>
    <w:rsid w:val="70457711"/>
    <w:rsid w:val="706D1DD0"/>
    <w:rsid w:val="707F591D"/>
    <w:rsid w:val="70856B87"/>
    <w:rsid w:val="708E6BD5"/>
    <w:rsid w:val="70D35292"/>
    <w:rsid w:val="70D527EE"/>
    <w:rsid w:val="70DE2A6C"/>
    <w:rsid w:val="70DF36C1"/>
    <w:rsid w:val="70E83D79"/>
    <w:rsid w:val="70F27D7B"/>
    <w:rsid w:val="710D46D2"/>
    <w:rsid w:val="71311888"/>
    <w:rsid w:val="714464DD"/>
    <w:rsid w:val="71517382"/>
    <w:rsid w:val="715B5300"/>
    <w:rsid w:val="716E7335"/>
    <w:rsid w:val="718F3339"/>
    <w:rsid w:val="71A843FB"/>
    <w:rsid w:val="71C3351D"/>
    <w:rsid w:val="71D27F8A"/>
    <w:rsid w:val="71E44170"/>
    <w:rsid w:val="71F23274"/>
    <w:rsid w:val="720538B3"/>
    <w:rsid w:val="720800E7"/>
    <w:rsid w:val="72402885"/>
    <w:rsid w:val="72553024"/>
    <w:rsid w:val="727442DD"/>
    <w:rsid w:val="7275022C"/>
    <w:rsid w:val="727F51DE"/>
    <w:rsid w:val="729B22F4"/>
    <w:rsid w:val="729F01E5"/>
    <w:rsid w:val="72AB1D56"/>
    <w:rsid w:val="72B172DF"/>
    <w:rsid w:val="72C769E7"/>
    <w:rsid w:val="72CB0A9C"/>
    <w:rsid w:val="72DA4D08"/>
    <w:rsid w:val="73027B3B"/>
    <w:rsid w:val="73122968"/>
    <w:rsid w:val="731329B4"/>
    <w:rsid w:val="731F5D5E"/>
    <w:rsid w:val="7322144E"/>
    <w:rsid w:val="7323118B"/>
    <w:rsid w:val="732D105C"/>
    <w:rsid w:val="733E3781"/>
    <w:rsid w:val="735F51FD"/>
    <w:rsid w:val="739F35DC"/>
    <w:rsid w:val="73C51AD5"/>
    <w:rsid w:val="73DE1B39"/>
    <w:rsid w:val="73E159A2"/>
    <w:rsid w:val="73E7745D"/>
    <w:rsid w:val="73ED4C48"/>
    <w:rsid w:val="73F11E46"/>
    <w:rsid w:val="741E793C"/>
    <w:rsid w:val="74207A08"/>
    <w:rsid w:val="74332BE9"/>
    <w:rsid w:val="744B6EC5"/>
    <w:rsid w:val="745E3944"/>
    <w:rsid w:val="749710DC"/>
    <w:rsid w:val="749D2A6C"/>
    <w:rsid w:val="749F11BE"/>
    <w:rsid w:val="74D10EE0"/>
    <w:rsid w:val="75100625"/>
    <w:rsid w:val="751054B0"/>
    <w:rsid w:val="7541494A"/>
    <w:rsid w:val="75EA6D90"/>
    <w:rsid w:val="75FA5CC1"/>
    <w:rsid w:val="76082C27"/>
    <w:rsid w:val="7635099D"/>
    <w:rsid w:val="764C5C54"/>
    <w:rsid w:val="764C7A4B"/>
    <w:rsid w:val="764E34A4"/>
    <w:rsid w:val="76545287"/>
    <w:rsid w:val="765A0255"/>
    <w:rsid w:val="76811BBD"/>
    <w:rsid w:val="76A60CC9"/>
    <w:rsid w:val="76B72BAF"/>
    <w:rsid w:val="76BA3D3B"/>
    <w:rsid w:val="76D74096"/>
    <w:rsid w:val="77046723"/>
    <w:rsid w:val="7715336A"/>
    <w:rsid w:val="77286593"/>
    <w:rsid w:val="77376912"/>
    <w:rsid w:val="77470212"/>
    <w:rsid w:val="774B0837"/>
    <w:rsid w:val="774D535A"/>
    <w:rsid w:val="77762421"/>
    <w:rsid w:val="7797321E"/>
    <w:rsid w:val="77A31369"/>
    <w:rsid w:val="77B56B1F"/>
    <w:rsid w:val="780659D7"/>
    <w:rsid w:val="780F09F4"/>
    <w:rsid w:val="781F6CA4"/>
    <w:rsid w:val="78335C43"/>
    <w:rsid w:val="785B251B"/>
    <w:rsid w:val="785C63A1"/>
    <w:rsid w:val="78707927"/>
    <w:rsid w:val="789E2F30"/>
    <w:rsid w:val="78A90480"/>
    <w:rsid w:val="78CF6711"/>
    <w:rsid w:val="78E421BD"/>
    <w:rsid w:val="78E67E61"/>
    <w:rsid w:val="78F9553C"/>
    <w:rsid w:val="79066F17"/>
    <w:rsid w:val="790928B0"/>
    <w:rsid w:val="79181E66"/>
    <w:rsid w:val="797B36BC"/>
    <w:rsid w:val="797D7A85"/>
    <w:rsid w:val="79AF0361"/>
    <w:rsid w:val="79B121CD"/>
    <w:rsid w:val="79D30A0F"/>
    <w:rsid w:val="7A004B6F"/>
    <w:rsid w:val="7A1B1B50"/>
    <w:rsid w:val="7A354C08"/>
    <w:rsid w:val="7A364017"/>
    <w:rsid w:val="7A6C06BC"/>
    <w:rsid w:val="7A805F7B"/>
    <w:rsid w:val="7A8265E1"/>
    <w:rsid w:val="7A835A05"/>
    <w:rsid w:val="7AA1145D"/>
    <w:rsid w:val="7ABE47ED"/>
    <w:rsid w:val="7AC50EAE"/>
    <w:rsid w:val="7AE94A7D"/>
    <w:rsid w:val="7B09415C"/>
    <w:rsid w:val="7B0B61D5"/>
    <w:rsid w:val="7B1F6CAD"/>
    <w:rsid w:val="7B2A5E81"/>
    <w:rsid w:val="7B395567"/>
    <w:rsid w:val="7B686D42"/>
    <w:rsid w:val="7B7001B0"/>
    <w:rsid w:val="7B841746"/>
    <w:rsid w:val="7BA615A2"/>
    <w:rsid w:val="7BD619FA"/>
    <w:rsid w:val="7BF52BC3"/>
    <w:rsid w:val="7C342761"/>
    <w:rsid w:val="7C477650"/>
    <w:rsid w:val="7C6C5AC7"/>
    <w:rsid w:val="7CAF663E"/>
    <w:rsid w:val="7CC61874"/>
    <w:rsid w:val="7CC6544B"/>
    <w:rsid w:val="7CC77E2B"/>
    <w:rsid w:val="7CE0713F"/>
    <w:rsid w:val="7CFE75C5"/>
    <w:rsid w:val="7D0239FF"/>
    <w:rsid w:val="7D0C387F"/>
    <w:rsid w:val="7D131EFA"/>
    <w:rsid w:val="7D5771AB"/>
    <w:rsid w:val="7D5E40CD"/>
    <w:rsid w:val="7D6E3615"/>
    <w:rsid w:val="7D755AD9"/>
    <w:rsid w:val="7DB0182A"/>
    <w:rsid w:val="7DCD56F2"/>
    <w:rsid w:val="7DDE5692"/>
    <w:rsid w:val="7DE30B7C"/>
    <w:rsid w:val="7E481517"/>
    <w:rsid w:val="7E5A6A7D"/>
    <w:rsid w:val="7EB443DF"/>
    <w:rsid w:val="7EB73ECF"/>
    <w:rsid w:val="7EBB3BCB"/>
    <w:rsid w:val="7EBB62D6"/>
    <w:rsid w:val="7EC42C97"/>
    <w:rsid w:val="7EC860DC"/>
    <w:rsid w:val="7EDA0D31"/>
    <w:rsid w:val="7EF23159"/>
    <w:rsid w:val="7F001CE7"/>
    <w:rsid w:val="7F050090"/>
    <w:rsid w:val="7F11728A"/>
    <w:rsid w:val="7F286B7B"/>
    <w:rsid w:val="7F2E2CCE"/>
    <w:rsid w:val="7F451334"/>
    <w:rsid w:val="7F4B6E66"/>
    <w:rsid w:val="7F540F74"/>
    <w:rsid w:val="7F761695"/>
    <w:rsid w:val="7F7F0632"/>
    <w:rsid w:val="7F8B501A"/>
    <w:rsid w:val="7FC00B62"/>
    <w:rsid w:val="7FD05249"/>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ocked="1"/>
    <w:lsdException w:qFormat="1"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iPriority="99"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99"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4"/>
    <w:link w:val="45"/>
    <w:qFormat/>
    <w:locked/>
    <w:uiPriority w:val="0"/>
    <w:pPr>
      <w:keepNext/>
      <w:keepLines/>
      <w:spacing w:before="260" w:after="260" w:line="416" w:lineRule="auto"/>
      <w:outlineLvl w:val="1"/>
    </w:pPr>
    <w:rPr>
      <w:rFonts w:ascii="Cambria" w:hAnsi="Cambria"/>
      <w:b/>
      <w:bCs/>
      <w:sz w:val="32"/>
      <w:szCs w:val="32"/>
    </w:rPr>
  </w:style>
  <w:style w:type="paragraph" w:styleId="5">
    <w:name w:val="heading 3"/>
    <w:basedOn w:val="1"/>
    <w:next w:val="1"/>
    <w:link w:val="47"/>
    <w:qFormat/>
    <w:locked/>
    <w:uiPriority w:val="0"/>
    <w:pPr>
      <w:keepNext/>
      <w:keepLines/>
      <w:spacing w:line="360" w:lineRule="auto"/>
      <w:outlineLvl w:val="2"/>
    </w:pPr>
    <w:rPr>
      <w:rFonts w:eastAsia="黑体"/>
    </w:rPr>
  </w:style>
  <w:style w:type="paragraph" w:styleId="6">
    <w:name w:val="heading 4"/>
    <w:basedOn w:val="1"/>
    <w:next w:val="1"/>
    <w:qFormat/>
    <w:locked/>
    <w:uiPriority w:val="0"/>
    <w:pPr>
      <w:spacing w:line="360" w:lineRule="auto"/>
      <w:jc w:val="left"/>
      <w:outlineLvl w:val="3"/>
    </w:pPr>
    <w:rPr>
      <w:rFonts w:eastAsia="黑体"/>
      <w:bCs/>
      <w:szCs w:val="26"/>
    </w:rPr>
  </w:style>
  <w:style w:type="paragraph" w:styleId="7">
    <w:name w:val="heading 5"/>
    <w:basedOn w:val="1"/>
    <w:next w:val="1"/>
    <w:qFormat/>
    <w:locked/>
    <w:uiPriority w:val="0"/>
    <w:pPr>
      <w:keepNext/>
      <w:keepLines/>
      <w:adjustRightInd w:val="0"/>
      <w:snapToGrid w:val="0"/>
      <w:spacing w:line="360" w:lineRule="auto"/>
      <w:outlineLvl w:val="4"/>
    </w:pPr>
    <w:rPr>
      <w:b/>
      <w:bCs/>
      <w:kern w:val="0"/>
      <w:sz w:val="24"/>
      <w:szCs w:val="28"/>
    </w:rPr>
  </w:style>
  <w:style w:type="character" w:default="1" w:styleId="37">
    <w:name w:val="Default Paragraph Font"/>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link w:val="46"/>
    <w:qFormat/>
    <w:locked/>
    <w:uiPriority w:val="0"/>
    <w:pPr>
      <w:adjustRightInd w:val="0"/>
      <w:spacing w:line="312" w:lineRule="atLeast"/>
      <w:ind w:firstLine="425"/>
    </w:pPr>
    <w:rPr>
      <w:rFonts w:hint="eastAsia" w:ascii="宋体" w:hAnsi="宋体"/>
      <w:szCs w:val="20"/>
    </w:rPr>
  </w:style>
  <w:style w:type="paragraph" w:styleId="8">
    <w:name w:val="caption"/>
    <w:basedOn w:val="1"/>
    <w:next w:val="1"/>
    <w:unhideWhenUsed/>
    <w:qFormat/>
    <w:locked/>
    <w:uiPriority w:val="0"/>
    <w:rPr>
      <w:rFonts w:ascii="Calibri Light" w:hAnsi="Calibri Light" w:eastAsia="黑体"/>
      <w:sz w:val="20"/>
      <w:szCs w:val="20"/>
    </w:rPr>
  </w:style>
  <w:style w:type="paragraph" w:styleId="9">
    <w:name w:val="Document Map"/>
    <w:basedOn w:val="1"/>
    <w:semiHidden/>
    <w:qFormat/>
    <w:locked/>
    <w:uiPriority w:val="0"/>
    <w:pPr>
      <w:shd w:val="clear" w:color="auto" w:fill="000080"/>
    </w:pPr>
  </w:style>
  <w:style w:type="paragraph" w:styleId="10">
    <w:name w:val="toa heading"/>
    <w:basedOn w:val="1"/>
    <w:next w:val="1"/>
    <w:unhideWhenUsed/>
    <w:qFormat/>
    <w:locked/>
    <w:uiPriority w:val="99"/>
    <w:pPr>
      <w:spacing w:before="120"/>
    </w:pPr>
    <w:rPr>
      <w:rFonts w:ascii="Cambria" w:hAnsi="Cambria"/>
      <w:sz w:val="24"/>
    </w:rPr>
  </w:style>
  <w:style w:type="paragraph" w:styleId="11">
    <w:name w:val="annotation text"/>
    <w:basedOn w:val="1"/>
    <w:link w:val="48"/>
    <w:qFormat/>
    <w:uiPriority w:val="99"/>
    <w:pPr>
      <w:jc w:val="left"/>
    </w:pPr>
    <w:rPr>
      <w:kern w:val="0"/>
      <w:sz w:val="24"/>
      <w:szCs w:val="20"/>
    </w:rPr>
  </w:style>
  <w:style w:type="paragraph" w:styleId="12">
    <w:name w:val="Salutation"/>
    <w:basedOn w:val="1"/>
    <w:next w:val="1"/>
    <w:qFormat/>
    <w:locked/>
    <w:uiPriority w:val="0"/>
    <w:pPr>
      <w:widowControl/>
      <w:jc w:val="left"/>
    </w:pPr>
    <w:rPr>
      <w:rFonts w:ascii="Calibri" w:hAnsi="Calibri"/>
      <w:kern w:val="0"/>
      <w:sz w:val="24"/>
    </w:rPr>
  </w:style>
  <w:style w:type="paragraph" w:styleId="13">
    <w:name w:val="Body Text"/>
    <w:basedOn w:val="1"/>
    <w:link w:val="49"/>
    <w:qFormat/>
    <w:uiPriority w:val="0"/>
    <w:pPr>
      <w:widowControl/>
      <w:snapToGrid w:val="0"/>
      <w:spacing w:before="60" w:after="160" w:line="259" w:lineRule="auto"/>
      <w:ind w:right="113"/>
    </w:pPr>
    <w:rPr>
      <w:kern w:val="0"/>
      <w:sz w:val="18"/>
      <w:szCs w:val="20"/>
    </w:rPr>
  </w:style>
  <w:style w:type="paragraph" w:styleId="14">
    <w:name w:val="Body Text Indent"/>
    <w:basedOn w:val="1"/>
    <w:next w:val="15"/>
    <w:link w:val="50"/>
    <w:qFormat/>
    <w:uiPriority w:val="0"/>
    <w:pPr>
      <w:spacing w:after="120"/>
      <w:ind w:left="420" w:leftChars="200"/>
    </w:pPr>
    <w:rPr>
      <w:kern w:val="0"/>
      <w:sz w:val="24"/>
      <w:szCs w:val="20"/>
    </w:rPr>
  </w:style>
  <w:style w:type="paragraph" w:customStyle="1" w:styleId="15">
    <w:name w:val="Default"/>
    <w:basedOn w:val="16"/>
    <w:link w:val="51"/>
    <w:qFormat/>
    <w:uiPriority w:val="0"/>
    <w:pPr>
      <w:autoSpaceDE w:val="0"/>
      <w:autoSpaceDN w:val="0"/>
      <w:spacing w:line="360" w:lineRule="auto"/>
    </w:pPr>
    <w:rPr>
      <w:rFonts w:ascii="方正仿宋_GBK" w:hAnsi="方正仿宋_GBK" w:eastAsia="方正仿宋_GBK"/>
      <w:color w:val="000000"/>
      <w:sz w:val="24"/>
    </w:rPr>
  </w:style>
  <w:style w:type="paragraph" w:customStyle="1" w:styleId="16">
    <w:name w:val="纯文本1"/>
    <w:basedOn w:val="1"/>
    <w:qFormat/>
    <w:uiPriority w:val="0"/>
    <w:pPr>
      <w:adjustRightInd w:val="0"/>
    </w:pPr>
    <w:rPr>
      <w:rFonts w:hAnsi="Courier New"/>
      <w:szCs w:val="20"/>
    </w:rPr>
  </w:style>
  <w:style w:type="paragraph" w:styleId="17">
    <w:name w:val="Block Text"/>
    <w:basedOn w:val="1"/>
    <w:qFormat/>
    <w:locked/>
    <w:uiPriority w:val="0"/>
    <w:pPr>
      <w:spacing w:after="120"/>
      <w:ind w:left="1440" w:leftChars="700" w:right="700" w:rightChars="700"/>
    </w:pPr>
  </w:style>
  <w:style w:type="paragraph" w:styleId="18">
    <w:name w:val="Plain Text"/>
    <w:basedOn w:val="1"/>
    <w:next w:val="1"/>
    <w:link w:val="44"/>
    <w:qFormat/>
    <w:locked/>
    <w:uiPriority w:val="0"/>
    <w:pPr>
      <w:spacing w:line="240" w:lineRule="atLeast"/>
    </w:pPr>
    <w:rPr>
      <w:rFonts w:ascii="宋体" w:hAnsi="Courier New"/>
      <w:sz w:val="28"/>
      <w:szCs w:val="21"/>
    </w:rPr>
  </w:style>
  <w:style w:type="paragraph" w:styleId="19">
    <w:name w:val="Date"/>
    <w:basedOn w:val="1"/>
    <w:next w:val="1"/>
    <w:link w:val="52"/>
    <w:qFormat/>
    <w:uiPriority w:val="0"/>
    <w:pPr>
      <w:ind w:left="100" w:leftChars="2500"/>
    </w:pPr>
    <w:rPr>
      <w:kern w:val="0"/>
      <w:sz w:val="24"/>
      <w:szCs w:val="20"/>
    </w:rPr>
  </w:style>
  <w:style w:type="paragraph" w:styleId="20">
    <w:name w:val="Body Text Indent 2"/>
    <w:basedOn w:val="1"/>
    <w:qFormat/>
    <w:locked/>
    <w:uiPriority w:val="0"/>
    <w:pPr>
      <w:spacing w:before="156" w:beforeLines="50"/>
      <w:ind w:firstLine="600"/>
    </w:pPr>
    <w:rPr>
      <w:rFonts w:eastAsia="仿宋_GB2312"/>
      <w:kern w:val="0"/>
    </w:rPr>
  </w:style>
  <w:style w:type="paragraph" w:styleId="21">
    <w:name w:val="Balloon Text"/>
    <w:basedOn w:val="1"/>
    <w:link w:val="53"/>
    <w:semiHidden/>
    <w:qFormat/>
    <w:uiPriority w:val="0"/>
    <w:rPr>
      <w:kern w:val="0"/>
      <w:sz w:val="18"/>
      <w:szCs w:val="20"/>
    </w:rPr>
  </w:style>
  <w:style w:type="paragraph" w:styleId="22">
    <w:name w:val="footer"/>
    <w:basedOn w:val="1"/>
    <w:link w:val="54"/>
    <w:qFormat/>
    <w:uiPriority w:val="99"/>
    <w:pPr>
      <w:tabs>
        <w:tab w:val="center" w:pos="4153"/>
        <w:tab w:val="right" w:pos="8306"/>
      </w:tabs>
      <w:snapToGrid w:val="0"/>
      <w:jc w:val="left"/>
    </w:pPr>
    <w:rPr>
      <w:kern w:val="0"/>
      <w:sz w:val="18"/>
      <w:szCs w:val="20"/>
    </w:rPr>
  </w:style>
  <w:style w:type="paragraph" w:styleId="23">
    <w:name w:val="header"/>
    <w:basedOn w:val="1"/>
    <w:next w:val="24"/>
    <w:link w:val="55"/>
    <w:qFormat/>
    <w:uiPriority w:val="99"/>
    <w:pPr>
      <w:pBdr>
        <w:bottom w:val="single" w:color="auto" w:sz="6" w:space="1"/>
      </w:pBdr>
      <w:tabs>
        <w:tab w:val="center" w:pos="4153"/>
        <w:tab w:val="right" w:pos="8306"/>
      </w:tabs>
      <w:snapToGrid w:val="0"/>
      <w:jc w:val="center"/>
    </w:pPr>
    <w:rPr>
      <w:kern w:val="0"/>
      <w:sz w:val="18"/>
      <w:szCs w:val="20"/>
    </w:rPr>
  </w:style>
  <w:style w:type="paragraph" w:customStyle="1" w:styleId="24">
    <w:name w:val="正文1"/>
    <w:next w:val="1"/>
    <w:qFormat/>
    <w:uiPriority w:val="0"/>
    <w:pPr>
      <w:jc w:val="both"/>
    </w:pPr>
    <w:rPr>
      <w:rFonts w:ascii="Calibri" w:hAnsi="Calibri" w:eastAsia="宋体" w:cs="宋体"/>
      <w:kern w:val="2"/>
      <w:sz w:val="21"/>
      <w:szCs w:val="21"/>
      <w:lang w:val="en-US" w:eastAsia="zh-CN" w:bidi="ar-SA"/>
    </w:rPr>
  </w:style>
  <w:style w:type="paragraph" w:styleId="25">
    <w:name w:val="toc 1"/>
    <w:basedOn w:val="1"/>
    <w:next w:val="1"/>
    <w:qFormat/>
    <w:locked/>
    <w:uiPriority w:val="39"/>
  </w:style>
  <w:style w:type="paragraph" w:styleId="26">
    <w:name w:val="index heading"/>
    <w:basedOn w:val="1"/>
    <w:next w:val="27"/>
    <w:qFormat/>
    <w:locked/>
    <w:uiPriority w:val="0"/>
    <w:rPr>
      <w:rFonts w:ascii="Arial" w:hAnsi="Arial"/>
      <w:b/>
    </w:rPr>
  </w:style>
  <w:style w:type="paragraph" w:styleId="27">
    <w:name w:val="index 1"/>
    <w:basedOn w:val="1"/>
    <w:next w:val="1"/>
    <w:qFormat/>
    <w:locked/>
    <w:uiPriority w:val="0"/>
    <w:pPr>
      <w:jc w:val="left"/>
    </w:pPr>
    <w:rPr>
      <w:sz w:val="20"/>
      <w:szCs w:val="20"/>
    </w:rPr>
  </w:style>
  <w:style w:type="paragraph" w:styleId="28">
    <w:name w:val="List"/>
    <w:basedOn w:val="1"/>
    <w:next w:val="1"/>
    <w:qFormat/>
    <w:locked/>
    <w:uiPriority w:val="0"/>
    <w:pPr>
      <w:ind w:left="200" w:hanging="200" w:hangingChars="200"/>
    </w:pPr>
    <w:rPr>
      <w:szCs w:val="20"/>
    </w:rPr>
  </w:style>
  <w:style w:type="paragraph" w:styleId="29">
    <w:name w:val="Body Text 2"/>
    <w:basedOn w:val="1"/>
    <w:link w:val="56"/>
    <w:qFormat/>
    <w:locked/>
    <w:uiPriority w:val="0"/>
    <w:pPr>
      <w:spacing w:after="120" w:line="480" w:lineRule="auto"/>
    </w:pPr>
  </w:style>
  <w:style w:type="paragraph" w:styleId="30">
    <w:name w:val="HTML Preformatted"/>
    <w:basedOn w:val="1"/>
    <w:qFormat/>
    <w:locked/>
    <w:uiPriority w:val="0"/>
    <w:pPr>
      <w:widowControl/>
      <w:jc w:val="left"/>
    </w:pPr>
    <w:rPr>
      <w:rFonts w:ascii="宋体" w:hAnsi="宋体" w:cs="宋体"/>
      <w:kern w:val="0"/>
      <w:sz w:val="24"/>
    </w:rPr>
  </w:style>
  <w:style w:type="paragraph" w:styleId="31">
    <w:name w:val="Normal (Web)"/>
    <w:basedOn w:val="1"/>
    <w:link w:val="57"/>
    <w:qFormat/>
    <w:uiPriority w:val="0"/>
    <w:pPr>
      <w:widowControl/>
      <w:spacing w:before="100" w:beforeAutospacing="1" w:after="100" w:afterAutospacing="1"/>
      <w:jc w:val="left"/>
    </w:pPr>
    <w:rPr>
      <w:rFonts w:ascii="宋体" w:hAnsi="宋体"/>
      <w:kern w:val="0"/>
      <w:sz w:val="24"/>
      <w:szCs w:val="20"/>
    </w:rPr>
  </w:style>
  <w:style w:type="paragraph" w:styleId="32">
    <w:name w:val="annotation subject"/>
    <w:basedOn w:val="11"/>
    <w:next w:val="11"/>
    <w:link w:val="58"/>
    <w:semiHidden/>
    <w:qFormat/>
    <w:uiPriority w:val="0"/>
    <w:rPr>
      <w:b/>
    </w:rPr>
  </w:style>
  <w:style w:type="paragraph" w:styleId="33">
    <w:name w:val="Body Text First Indent"/>
    <w:basedOn w:val="13"/>
    <w:qFormat/>
    <w:locked/>
    <w:uiPriority w:val="0"/>
    <w:pPr>
      <w:spacing w:line="360" w:lineRule="auto"/>
      <w:ind w:firstLine="600" w:firstLineChars="200"/>
    </w:pPr>
    <w:rPr>
      <w:rFonts w:ascii="宋体" w:hAnsi="宋体"/>
    </w:rPr>
  </w:style>
  <w:style w:type="paragraph" w:styleId="34">
    <w:name w:val="Body Text First Indent 2"/>
    <w:basedOn w:val="1"/>
    <w:next w:val="33"/>
    <w:qFormat/>
    <w:locked/>
    <w:uiPriority w:val="0"/>
    <w:pPr>
      <w:ind w:firstLine="420" w:firstLineChars="200"/>
    </w:pPr>
    <w:rPr>
      <w:rFonts w:hint="eastAsia"/>
    </w:rPr>
  </w:style>
  <w:style w:type="table" w:styleId="36">
    <w:name w:val="Table Grid"/>
    <w:basedOn w:val="3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locked/>
    <w:uiPriority w:val="0"/>
    <w:rPr>
      <w:b/>
    </w:rPr>
  </w:style>
  <w:style w:type="character" w:styleId="39">
    <w:name w:val="page number"/>
    <w:qFormat/>
    <w:locked/>
    <w:uiPriority w:val="0"/>
  </w:style>
  <w:style w:type="character" w:styleId="40">
    <w:name w:val="FollowedHyperlink"/>
    <w:basedOn w:val="37"/>
    <w:qFormat/>
    <w:locked/>
    <w:uiPriority w:val="0"/>
    <w:rPr>
      <w:color w:val="954F72"/>
      <w:u w:val="single"/>
    </w:rPr>
  </w:style>
  <w:style w:type="character" w:styleId="41">
    <w:name w:val="Hyperlink"/>
    <w:qFormat/>
    <w:locked/>
    <w:uiPriority w:val="99"/>
    <w:rPr>
      <w:color w:val="261CDC"/>
      <w:u w:val="single"/>
    </w:rPr>
  </w:style>
  <w:style w:type="character" w:styleId="42">
    <w:name w:val="annotation reference"/>
    <w:semiHidden/>
    <w:qFormat/>
    <w:uiPriority w:val="0"/>
    <w:rPr>
      <w:sz w:val="21"/>
    </w:rPr>
  </w:style>
  <w:style w:type="paragraph" w:customStyle="1" w:styleId="43">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character" w:customStyle="1" w:styleId="44">
    <w:name w:val="纯文本 字符"/>
    <w:link w:val="18"/>
    <w:qFormat/>
    <w:uiPriority w:val="0"/>
    <w:rPr>
      <w:rFonts w:ascii="宋体" w:hAnsi="Courier New"/>
      <w:kern w:val="2"/>
      <w:sz w:val="28"/>
      <w:szCs w:val="21"/>
    </w:rPr>
  </w:style>
  <w:style w:type="character" w:customStyle="1" w:styleId="45">
    <w:name w:val="标题 2 字符"/>
    <w:link w:val="3"/>
    <w:semiHidden/>
    <w:qFormat/>
    <w:uiPriority w:val="0"/>
    <w:rPr>
      <w:rFonts w:ascii="Cambria" w:hAnsi="Cambria" w:eastAsia="宋体" w:cs="Times New Roman"/>
      <w:b/>
      <w:bCs/>
      <w:kern w:val="2"/>
      <w:sz w:val="32"/>
      <w:szCs w:val="32"/>
    </w:rPr>
  </w:style>
  <w:style w:type="character" w:customStyle="1" w:styleId="46">
    <w:name w:val="正文缩进 字符"/>
    <w:link w:val="4"/>
    <w:qFormat/>
    <w:uiPriority w:val="0"/>
    <w:rPr>
      <w:rFonts w:ascii="宋体" w:hAnsi="宋体"/>
      <w:kern w:val="2"/>
      <w:sz w:val="21"/>
    </w:rPr>
  </w:style>
  <w:style w:type="character" w:customStyle="1" w:styleId="47">
    <w:name w:val="标题 3 字符"/>
    <w:link w:val="5"/>
    <w:qFormat/>
    <w:uiPriority w:val="9"/>
    <w:rPr>
      <w:rFonts w:ascii="Times New Roman" w:hAnsi="Times New Roman" w:eastAsia="黑体"/>
    </w:rPr>
  </w:style>
  <w:style w:type="character" w:customStyle="1" w:styleId="48">
    <w:name w:val="批注文字 字符"/>
    <w:link w:val="11"/>
    <w:qFormat/>
    <w:locked/>
    <w:uiPriority w:val="99"/>
    <w:rPr>
      <w:rFonts w:ascii="Times New Roman" w:hAnsi="Times New Roman" w:eastAsia="宋体"/>
      <w:sz w:val="24"/>
    </w:rPr>
  </w:style>
  <w:style w:type="character" w:customStyle="1" w:styleId="49">
    <w:name w:val="正文文本 字符"/>
    <w:link w:val="13"/>
    <w:qFormat/>
    <w:locked/>
    <w:uiPriority w:val="0"/>
    <w:rPr>
      <w:sz w:val="18"/>
    </w:rPr>
  </w:style>
  <w:style w:type="character" w:customStyle="1" w:styleId="50">
    <w:name w:val="正文文本缩进 字符"/>
    <w:link w:val="14"/>
    <w:semiHidden/>
    <w:qFormat/>
    <w:locked/>
    <w:uiPriority w:val="0"/>
    <w:rPr>
      <w:rFonts w:ascii="Times New Roman" w:hAnsi="Times New Roman" w:eastAsia="宋体"/>
      <w:sz w:val="24"/>
    </w:rPr>
  </w:style>
  <w:style w:type="character" w:customStyle="1" w:styleId="51">
    <w:name w:val="Default Char Char"/>
    <w:link w:val="15"/>
    <w:qFormat/>
    <w:uiPriority w:val="0"/>
    <w:rPr>
      <w:rFonts w:ascii="方正仿宋_GBK" w:hAnsi="方正仿宋_GBK" w:eastAsia="方正仿宋_GBK"/>
      <w:color w:val="000000"/>
      <w:kern w:val="2"/>
      <w:sz w:val="24"/>
      <w:szCs w:val="24"/>
    </w:rPr>
  </w:style>
  <w:style w:type="character" w:customStyle="1" w:styleId="52">
    <w:name w:val="日期 字符1"/>
    <w:link w:val="19"/>
    <w:qFormat/>
    <w:locked/>
    <w:uiPriority w:val="0"/>
    <w:rPr>
      <w:rFonts w:ascii="Times New Roman" w:hAnsi="Times New Roman" w:eastAsia="宋体"/>
      <w:sz w:val="24"/>
    </w:rPr>
  </w:style>
  <w:style w:type="character" w:customStyle="1" w:styleId="53">
    <w:name w:val="批注框文本 字符"/>
    <w:link w:val="21"/>
    <w:semiHidden/>
    <w:qFormat/>
    <w:locked/>
    <w:uiPriority w:val="0"/>
    <w:rPr>
      <w:rFonts w:ascii="Times New Roman" w:hAnsi="Times New Roman" w:eastAsia="宋体"/>
      <w:sz w:val="18"/>
    </w:rPr>
  </w:style>
  <w:style w:type="character" w:customStyle="1" w:styleId="54">
    <w:name w:val="页脚 字符1"/>
    <w:link w:val="22"/>
    <w:qFormat/>
    <w:locked/>
    <w:uiPriority w:val="99"/>
    <w:rPr>
      <w:sz w:val="18"/>
    </w:rPr>
  </w:style>
  <w:style w:type="character" w:customStyle="1" w:styleId="55">
    <w:name w:val="页眉 字符1"/>
    <w:link w:val="23"/>
    <w:qFormat/>
    <w:locked/>
    <w:uiPriority w:val="99"/>
    <w:rPr>
      <w:sz w:val="18"/>
    </w:rPr>
  </w:style>
  <w:style w:type="character" w:customStyle="1" w:styleId="56">
    <w:name w:val="正文文本 2 字符"/>
    <w:link w:val="29"/>
    <w:qFormat/>
    <w:uiPriority w:val="0"/>
    <w:rPr>
      <w:kern w:val="2"/>
      <w:sz w:val="21"/>
      <w:szCs w:val="24"/>
    </w:rPr>
  </w:style>
  <w:style w:type="character" w:customStyle="1" w:styleId="57">
    <w:name w:val="普通(网站) 字符"/>
    <w:link w:val="31"/>
    <w:qFormat/>
    <w:locked/>
    <w:uiPriority w:val="0"/>
    <w:rPr>
      <w:rFonts w:ascii="宋体" w:hAnsi="宋体" w:eastAsia="宋体"/>
      <w:sz w:val="24"/>
    </w:rPr>
  </w:style>
  <w:style w:type="character" w:customStyle="1" w:styleId="58">
    <w:name w:val="批注主题 字符"/>
    <w:link w:val="32"/>
    <w:semiHidden/>
    <w:qFormat/>
    <w:locked/>
    <w:uiPriority w:val="0"/>
    <w:rPr>
      <w:rFonts w:ascii="Times New Roman" w:hAnsi="Times New Roman" w:eastAsia="宋体"/>
      <w:b/>
      <w:kern w:val="2"/>
      <w:sz w:val="24"/>
    </w:rPr>
  </w:style>
  <w:style w:type="paragraph" w:customStyle="1" w:styleId="59">
    <w:name w:val="批注文字1"/>
    <w:basedOn w:val="1"/>
    <w:next w:val="11"/>
    <w:unhideWhenUsed/>
    <w:qFormat/>
    <w:uiPriority w:val="99"/>
    <w:rPr>
      <w:rFonts w:ascii="Calibri" w:hAnsi="Calibri"/>
    </w:rPr>
  </w:style>
  <w:style w:type="character" w:customStyle="1" w:styleId="60">
    <w:name w:val="正文（首行缩进两字） Char"/>
    <w:qFormat/>
    <w:uiPriority w:val="0"/>
    <w:rPr>
      <w:rFonts w:ascii="Times New Roman" w:hAnsi="Times New Roman" w:eastAsia="宋体"/>
      <w:kern w:val="2"/>
      <w:sz w:val="24"/>
      <w:lang w:val="en-US" w:eastAsia="zh-CN"/>
    </w:rPr>
  </w:style>
  <w:style w:type="character" w:customStyle="1" w:styleId="61">
    <w:name w:val="font41"/>
    <w:basedOn w:val="37"/>
    <w:qFormat/>
    <w:uiPriority w:val="0"/>
    <w:rPr>
      <w:rFonts w:hint="default" w:ascii="Times New Roman" w:hAnsi="Times New Roman" w:cs="Times New Roman"/>
      <w:color w:val="0000FF"/>
      <w:sz w:val="18"/>
      <w:szCs w:val="18"/>
      <w:u w:val="none"/>
    </w:rPr>
  </w:style>
  <w:style w:type="character" w:customStyle="1" w:styleId="62">
    <w:name w:val="页脚 字符"/>
    <w:qFormat/>
    <w:uiPriority w:val="99"/>
  </w:style>
  <w:style w:type="character" w:customStyle="1" w:styleId="63">
    <w:name w:val="页眉 字符"/>
    <w:basedOn w:val="37"/>
    <w:qFormat/>
    <w:uiPriority w:val="0"/>
    <w:rPr>
      <w:rFonts w:hint="default" w:ascii="Arial Unicode MS" w:hAnsi="Arial Unicode MS" w:eastAsia="Arial Unicode MS" w:cs="Arial Unicode MS"/>
    </w:rPr>
  </w:style>
  <w:style w:type="character" w:customStyle="1" w:styleId="64">
    <w:name w:val="正文文本 字符1"/>
    <w:semiHidden/>
    <w:qFormat/>
    <w:uiPriority w:val="0"/>
    <w:rPr>
      <w:rFonts w:ascii="Times New Roman" w:hAnsi="Times New Roman" w:eastAsia="宋体"/>
      <w:sz w:val="24"/>
    </w:rPr>
  </w:style>
  <w:style w:type="character" w:customStyle="1" w:styleId="65">
    <w:name w:val="logtext"/>
    <w:basedOn w:val="37"/>
    <w:qFormat/>
    <w:uiPriority w:val="0"/>
  </w:style>
  <w:style w:type="character" w:customStyle="1" w:styleId="66">
    <w:name w:val="日期 字符"/>
    <w:semiHidden/>
    <w:qFormat/>
    <w:uiPriority w:val="0"/>
    <w:rPr>
      <w:rFonts w:ascii="Times New Roman" w:hAnsi="Times New Roman" w:eastAsia="宋体"/>
      <w:sz w:val="24"/>
    </w:rPr>
  </w:style>
  <w:style w:type="character" w:customStyle="1" w:styleId="67">
    <w:name w:val="fontstyle01"/>
    <w:qFormat/>
    <w:uiPriority w:val="0"/>
    <w:rPr>
      <w:rFonts w:ascii="宋体" w:hAnsi="宋体" w:eastAsia="宋体" w:cs="宋体"/>
      <w:color w:val="000000"/>
      <w:sz w:val="24"/>
      <w:szCs w:val="24"/>
    </w:rPr>
  </w:style>
  <w:style w:type="character" w:customStyle="1" w:styleId="68">
    <w:name w:val="批注文字 字符1"/>
    <w:semiHidden/>
    <w:qFormat/>
    <w:uiPriority w:val="0"/>
    <w:rPr>
      <w:rFonts w:ascii="Times New Roman" w:hAnsi="Times New Roman" w:eastAsia="宋体"/>
      <w:sz w:val="24"/>
    </w:rPr>
  </w:style>
  <w:style w:type="character" w:customStyle="1" w:styleId="69">
    <w:name w:val="fontstyle21"/>
    <w:qFormat/>
    <w:uiPriority w:val="0"/>
    <w:rPr>
      <w:rFonts w:ascii="TimesNewRomanPSMT" w:hAnsi="TimesNewRomanPSMT" w:eastAsia="TimesNewRomanPSMT" w:cs="TimesNewRomanPSMT"/>
      <w:color w:val="000000"/>
      <w:sz w:val="24"/>
      <w:szCs w:val="24"/>
    </w:rPr>
  </w:style>
  <w:style w:type="character" w:customStyle="1" w:styleId="70">
    <w:name w:val="表格 Char"/>
    <w:link w:val="71"/>
    <w:qFormat/>
    <w:locked/>
    <w:uiPriority w:val="0"/>
    <w:rPr>
      <w:rFonts w:ascii="宋体"/>
      <w:sz w:val="21"/>
    </w:rPr>
  </w:style>
  <w:style w:type="paragraph" w:customStyle="1" w:styleId="71">
    <w:name w:val="表格"/>
    <w:basedOn w:val="4"/>
    <w:link w:val="70"/>
    <w:qFormat/>
    <w:uiPriority w:val="0"/>
    <w:pPr>
      <w:snapToGrid w:val="0"/>
      <w:spacing w:beforeLines="10" w:afterLines="10" w:line="259" w:lineRule="auto"/>
      <w:jc w:val="center"/>
    </w:pPr>
    <w:rPr>
      <w:kern w:val="0"/>
    </w:rPr>
  </w:style>
  <w:style w:type="paragraph" w:customStyle="1" w:styleId="72">
    <w:name w:val="列表1"/>
    <w:basedOn w:val="1"/>
    <w:qFormat/>
    <w:uiPriority w:val="0"/>
    <w:pPr>
      <w:spacing w:before="100" w:beforeAutospacing="1" w:after="100" w:afterAutospacing="1"/>
      <w:ind w:left="420" w:hanging="420"/>
    </w:pPr>
    <w:rPr>
      <w:sz w:val="24"/>
    </w:rPr>
  </w:style>
  <w:style w:type="character" w:customStyle="1" w:styleId="73">
    <w:name w:val="样式 表中文字 + 小四 Char"/>
    <w:link w:val="74"/>
    <w:qFormat/>
    <w:uiPriority w:val="0"/>
    <w:rPr>
      <w:rFonts w:ascii="宋体" w:hAnsi="宋体" w:cs="宋体"/>
      <w:sz w:val="21"/>
      <w:szCs w:val="21"/>
    </w:rPr>
  </w:style>
  <w:style w:type="paragraph" w:customStyle="1" w:styleId="74">
    <w:name w:val="样式 表中文字 + 小四"/>
    <w:basedOn w:val="1"/>
    <w:link w:val="73"/>
    <w:qFormat/>
    <w:uiPriority w:val="0"/>
    <w:pPr>
      <w:widowControl/>
      <w:jc w:val="center"/>
    </w:pPr>
    <w:rPr>
      <w:rFonts w:ascii="宋体" w:hAnsi="宋体" w:cs="宋体"/>
      <w:kern w:val="0"/>
      <w:szCs w:val="21"/>
    </w:rPr>
  </w:style>
  <w:style w:type="character" w:customStyle="1" w:styleId="75">
    <w:name w:val="我的正文 字符"/>
    <w:link w:val="76"/>
    <w:qFormat/>
    <w:uiPriority w:val="0"/>
    <w:rPr>
      <w:kern w:val="2"/>
      <w:sz w:val="24"/>
      <w:szCs w:val="24"/>
    </w:rPr>
  </w:style>
  <w:style w:type="paragraph" w:customStyle="1" w:styleId="76">
    <w:name w:val="我的正文"/>
    <w:basedOn w:val="1"/>
    <w:link w:val="75"/>
    <w:qFormat/>
    <w:uiPriority w:val="0"/>
    <w:pPr>
      <w:widowControl/>
      <w:overflowPunct w:val="0"/>
      <w:autoSpaceDE w:val="0"/>
      <w:autoSpaceDN w:val="0"/>
      <w:spacing w:line="360" w:lineRule="auto"/>
      <w:ind w:firstLine="200" w:firstLineChars="200"/>
    </w:pPr>
    <w:rPr>
      <w:sz w:val="24"/>
    </w:rPr>
  </w:style>
  <w:style w:type="character" w:customStyle="1" w:styleId="77">
    <w:name w:val="管线标题2 Char"/>
    <w:link w:val="78"/>
    <w:qFormat/>
    <w:uiPriority w:val="0"/>
    <w:rPr>
      <w:b/>
      <w:sz w:val="24"/>
      <w:szCs w:val="24"/>
    </w:rPr>
  </w:style>
  <w:style w:type="paragraph" w:customStyle="1" w:styleId="78">
    <w:name w:val="管线标题2"/>
    <w:basedOn w:val="1"/>
    <w:link w:val="77"/>
    <w:qFormat/>
    <w:uiPriority w:val="0"/>
    <w:pPr>
      <w:widowControl/>
      <w:adjustRightInd w:val="0"/>
      <w:snapToGrid w:val="0"/>
      <w:spacing w:beforeLines="50" w:line="360" w:lineRule="auto"/>
      <w:ind w:firstLine="472" w:firstLineChars="196"/>
      <w:jc w:val="left"/>
    </w:pPr>
    <w:rPr>
      <w:b/>
      <w:kern w:val="0"/>
      <w:sz w:val="24"/>
    </w:rPr>
  </w:style>
  <w:style w:type="character" w:customStyle="1" w:styleId="79">
    <w:name w:val="环评正文 Char"/>
    <w:link w:val="80"/>
    <w:qFormat/>
    <w:locked/>
    <w:uiPriority w:val="0"/>
    <w:rPr>
      <w:rFonts w:ascii="宋体" w:hAnsi="宋体"/>
      <w:sz w:val="24"/>
      <w:szCs w:val="24"/>
    </w:rPr>
  </w:style>
  <w:style w:type="paragraph" w:customStyle="1" w:styleId="80">
    <w:name w:val="环评正文"/>
    <w:basedOn w:val="1"/>
    <w:link w:val="79"/>
    <w:qFormat/>
    <w:uiPriority w:val="0"/>
    <w:pPr>
      <w:spacing w:line="360" w:lineRule="auto"/>
      <w:ind w:firstLine="530" w:firstLineChars="221"/>
    </w:pPr>
    <w:rPr>
      <w:rFonts w:ascii="宋体" w:hAnsi="宋体"/>
      <w:kern w:val="0"/>
      <w:sz w:val="24"/>
    </w:rPr>
  </w:style>
  <w:style w:type="character" w:customStyle="1" w:styleId="81">
    <w:name w:val="font31"/>
    <w:basedOn w:val="37"/>
    <w:qFormat/>
    <w:uiPriority w:val="0"/>
    <w:rPr>
      <w:rFonts w:hint="default" w:ascii="Times New Roman" w:hAnsi="Times New Roman" w:cs="Times New Roman"/>
      <w:color w:val="0000FF"/>
      <w:sz w:val="18"/>
      <w:szCs w:val="18"/>
      <w:u w:val="none"/>
      <w:vertAlign w:val="superscript"/>
    </w:rPr>
  </w:style>
  <w:style w:type="character" w:customStyle="1" w:styleId="82">
    <w:name w:val="font11"/>
    <w:basedOn w:val="37"/>
    <w:qFormat/>
    <w:uiPriority w:val="0"/>
    <w:rPr>
      <w:rFonts w:hint="default" w:ascii="Times New Roman" w:hAnsi="Times New Roman" w:cs="Times New Roman"/>
      <w:color w:val="0000FF"/>
      <w:sz w:val="18"/>
      <w:szCs w:val="18"/>
      <w:u w:val="none"/>
    </w:rPr>
  </w:style>
  <w:style w:type="character" w:customStyle="1" w:styleId="83">
    <w:name w:val="font21"/>
    <w:basedOn w:val="37"/>
    <w:qFormat/>
    <w:uiPriority w:val="0"/>
    <w:rPr>
      <w:rFonts w:hint="eastAsia" w:ascii="宋体" w:hAnsi="宋体" w:eastAsia="宋体" w:cs="宋体"/>
      <w:color w:val="0000FF"/>
      <w:sz w:val="18"/>
      <w:szCs w:val="18"/>
      <w:u w:val="none"/>
    </w:rPr>
  </w:style>
  <w:style w:type="character" w:customStyle="1" w:styleId="84">
    <w:name w:val="font71"/>
    <w:basedOn w:val="37"/>
    <w:qFormat/>
    <w:uiPriority w:val="0"/>
    <w:rPr>
      <w:rFonts w:hint="default" w:ascii="Times New Roman" w:hAnsi="Times New Roman" w:cs="Times New Roman"/>
      <w:color w:val="000000"/>
      <w:sz w:val="21"/>
      <w:szCs w:val="21"/>
      <w:u w:val="none"/>
    </w:rPr>
  </w:style>
  <w:style w:type="character" w:customStyle="1" w:styleId="85">
    <w:name w:val="font51"/>
    <w:basedOn w:val="37"/>
    <w:qFormat/>
    <w:uiPriority w:val="0"/>
    <w:rPr>
      <w:rFonts w:hint="default" w:ascii="Times New Roman" w:hAnsi="Times New Roman" w:cs="Times New Roman"/>
      <w:color w:val="FF0000"/>
      <w:sz w:val="21"/>
      <w:szCs w:val="21"/>
      <w:u w:val="none"/>
    </w:rPr>
  </w:style>
  <w:style w:type="character" w:customStyle="1" w:styleId="86">
    <w:name w:val="font61"/>
    <w:basedOn w:val="37"/>
    <w:qFormat/>
    <w:uiPriority w:val="0"/>
    <w:rPr>
      <w:rFonts w:hint="eastAsia" w:ascii="宋体" w:hAnsi="宋体" w:eastAsia="宋体" w:cs="宋体"/>
      <w:color w:val="FF0000"/>
      <w:sz w:val="21"/>
      <w:szCs w:val="21"/>
      <w:u w:val="none"/>
    </w:rPr>
  </w:style>
  <w:style w:type="paragraph" w:customStyle="1" w:styleId="87">
    <w:name w:val="txtBox Char"/>
    <w:basedOn w:val="1"/>
    <w:qFormat/>
    <w:uiPriority w:val="0"/>
    <w:pPr>
      <w:jc w:val="center"/>
    </w:pPr>
  </w:style>
  <w:style w:type="paragraph" w:customStyle="1" w:styleId="88">
    <w:name w:val="zx正文"/>
    <w:basedOn w:val="1"/>
    <w:qFormat/>
    <w:uiPriority w:val="0"/>
    <w:pPr>
      <w:spacing w:line="360" w:lineRule="auto"/>
      <w:ind w:firstLine="200" w:firstLineChars="200"/>
      <w:jc w:val="left"/>
    </w:pPr>
    <w:rPr>
      <w:kern w:val="0"/>
      <w:sz w:val="24"/>
      <w:szCs w:val="28"/>
    </w:rPr>
  </w:style>
  <w:style w:type="paragraph" w:customStyle="1" w:styleId="89">
    <w:name w:val="0正文"/>
    <w:basedOn w:val="14"/>
    <w:qFormat/>
    <w:uiPriority w:val="0"/>
    <w:pPr>
      <w:spacing w:after="0" w:line="360" w:lineRule="auto"/>
      <w:ind w:left="0" w:leftChars="0" w:firstLine="200" w:firstLineChars="200"/>
    </w:pPr>
    <w:rPr>
      <w:rFonts w:cs="宋体"/>
    </w:rPr>
  </w:style>
  <w:style w:type="paragraph" w:customStyle="1" w:styleId="9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1">
    <w:name w:val="正文_16"/>
    <w:qFormat/>
    <w:uiPriority w:val="0"/>
    <w:pPr>
      <w:widowControl w:val="0"/>
      <w:jc w:val="both"/>
    </w:pPr>
    <w:rPr>
      <w:rFonts w:ascii="等线" w:hAnsi="等线" w:eastAsia="等线" w:cs="Times New Roman"/>
      <w:kern w:val="2"/>
      <w:sz w:val="21"/>
      <w:szCs w:val="22"/>
      <w:lang w:val="en-US" w:eastAsia="zh-CN" w:bidi="ar-SA"/>
    </w:rPr>
  </w:style>
  <w:style w:type="paragraph" w:customStyle="1" w:styleId="92">
    <w:name w:val="中文报告书"/>
    <w:basedOn w:val="1"/>
    <w:qFormat/>
    <w:uiPriority w:val="0"/>
    <w:pPr>
      <w:adjustRightInd w:val="0"/>
      <w:spacing w:after="80" w:line="420" w:lineRule="atLeast"/>
      <w:jc w:val="left"/>
      <w:textAlignment w:val="baseline"/>
    </w:pPr>
    <w:rPr>
      <w:kern w:val="0"/>
      <w:sz w:val="24"/>
      <w:szCs w:val="20"/>
    </w:rPr>
  </w:style>
  <w:style w:type="paragraph" w:customStyle="1" w:styleId="93">
    <w:name w:val="表格头"/>
    <w:basedOn w:val="1"/>
    <w:qFormat/>
    <w:uiPriority w:val="0"/>
    <w:pPr>
      <w:snapToGrid w:val="0"/>
      <w:ind w:left="105" w:leftChars="50" w:right="105" w:rightChars="50"/>
      <w:jc w:val="center"/>
    </w:pPr>
    <w:rPr>
      <w:b/>
      <w:sz w:val="24"/>
    </w:rPr>
  </w:style>
  <w:style w:type="paragraph" w:customStyle="1" w:styleId="94">
    <w:name w:val="样式 正文文本缩进 + 行距: 1.5 倍行距"/>
    <w:basedOn w:val="14"/>
    <w:qFormat/>
    <w:uiPriority w:val="0"/>
    <w:pPr>
      <w:spacing w:line="360" w:lineRule="auto"/>
      <w:ind w:left="90" w:leftChars="32" w:firstLine="560" w:firstLineChars="200"/>
    </w:pPr>
    <w:rPr>
      <w:rFonts w:cs="宋体"/>
    </w:rPr>
  </w:style>
  <w:style w:type="paragraph" w:customStyle="1" w:styleId="95">
    <w:name w:val="xl27"/>
    <w:basedOn w:val="1"/>
    <w:qFormat/>
    <w:uiPriority w:val="99"/>
    <w:pPr>
      <w:widowControl/>
      <w:pBdr>
        <w:left w:val="single" w:color="auto" w:sz="8" w:space="0"/>
        <w:bottom w:val="single" w:color="auto" w:sz="4" w:space="0"/>
        <w:right w:val="single" w:color="auto" w:sz="4" w:space="0"/>
      </w:pBdr>
      <w:spacing w:before="100" w:beforeAutospacing="1" w:after="100" w:afterAutospacing="1"/>
      <w:jc w:val="center"/>
    </w:pPr>
    <w:rPr>
      <w:rFonts w:eastAsia="Arial Unicode MS"/>
      <w:kern w:val="0"/>
      <w:sz w:val="24"/>
    </w:rPr>
  </w:style>
  <w:style w:type="paragraph" w:customStyle="1" w:styleId="96">
    <w:name w:val="样式 宋体 加粗 首行缩进:  0.99 厘米 行距: 1.5 倍行距"/>
    <w:basedOn w:val="1"/>
    <w:qFormat/>
    <w:uiPriority w:val="0"/>
    <w:pPr>
      <w:adjustRightInd w:val="0"/>
      <w:snapToGrid w:val="0"/>
      <w:spacing w:line="360" w:lineRule="auto"/>
      <w:ind w:firstLine="480" w:firstLineChars="200"/>
    </w:pPr>
    <w:rPr>
      <w:rFonts w:ascii="宋体" w:hAnsi="宋体" w:cs="宋体"/>
      <w:b/>
      <w:bCs/>
      <w:sz w:val="24"/>
    </w:rPr>
  </w:style>
  <w:style w:type="paragraph" w:customStyle="1" w:styleId="9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98">
    <w:name w:val="主标题"/>
    <w:basedOn w:val="31"/>
    <w:qFormat/>
    <w:uiPriority w:val="0"/>
    <w:rPr>
      <w:rFonts w:eastAsia="黑体"/>
      <w:sz w:val="30"/>
    </w:rPr>
  </w:style>
  <w:style w:type="paragraph" w:customStyle="1" w:styleId="99">
    <w:name w:val="_Style 98"/>
    <w:basedOn w:val="2"/>
    <w:next w:val="1"/>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100">
    <w:name w:val="正文123456"/>
    <w:basedOn w:val="1"/>
    <w:qFormat/>
    <w:uiPriority w:val="0"/>
    <w:pPr>
      <w:spacing w:line="360" w:lineRule="auto"/>
      <w:ind w:firstLine="200" w:firstLineChars="200"/>
    </w:pPr>
    <w:rPr>
      <w:rFonts w:cs="宋体"/>
      <w:sz w:val="24"/>
    </w:rPr>
  </w:style>
  <w:style w:type="paragraph" w:customStyle="1" w:styleId="101">
    <w:name w:val="表格000"/>
    <w:basedOn w:val="1"/>
    <w:next w:val="1"/>
    <w:qFormat/>
    <w:uiPriority w:val="0"/>
    <w:pPr>
      <w:jc w:val="center"/>
    </w:pPr>
    <w:rPr>
      <w:rFonts w:ascii="宋体" w:hAnsi="宋体"/>
      <w:szCs w:val="20"/>
    </w:rPr>
  </w:style>
  <w:style w:type="paragraph" w:customStyle="1" w:styleId="102">
    <w:name w:val="报告正文"/>
    <w:basedOn w:val="1"/>
    <w:qFormat/>
    <w:uiPriority w:val="0"/>
    <w:pPr>
      <w:spacing w:line="360" w:lineRule="auto"/>
      <w:ind w:firstLine="200" w:firstLineChars="200"/>
    </w:pPr>
    <w:rPr>
      <w:rFonts w:ascii="Calibri" w:hAnsi="Calibri"/>
    </w:rPr>
  </w:style>
  <w:style w:type="paragraph" w:customStyle="1" w:styleId="103">
    <w:name w:val="正缩1"/>
    <w:basedOn w:val="1"/>
    <w:qFormat/>
    <w:uiPriority w:val="99"/>
    <w:pPr>
      <w:adjustRightInd w:val="0"/>
      <w:snapToGrid w:val="0"/>
      <w:spacing w:line="500" w:lineRule="exact"/>
      <w:ind w:firstLine="567"/>
    </w:pPr>
    <w:rPr>
      <w:rFonts w:eastAsia="仿宋_GB2312"/>
      <w:color w:val="000000"/>
      <w:sz w:val="28"/>
      <w:szCs w:val="20"/>
    </w:rPr>
  </w:style>
  <w:style w:type="paragraph" w:customStyle="1" w:styleId="104">
    <w:name w:val="Table Paragraph"/>
    <w:basedOn w:val="1"/>
    <w:qFormat/>
    <w:uiPriority w:val="1"/>
    <w:pPr>
      <w:jc w:val="left"/>
    </w:pPr>
    <w:rPr>
      <w:rFonts w:ascii="等线" w:hAnsi="等线" w:eastAsia="等线"/>
      <w:kern w:val="0"/>
      <w:sz w:val="22"/>
      <w:lang w:eastAsia="en-US"/>
    </w:rPr>
  </w:style>
  <w:style w:type="paragraph" w:customStyle="1" w:styleId="105">
    <w:name w:val="Normal Indent1"/>
    <w:basedOn w:val="1"/>
    <w:qFormat/>
    <w:uiPriority w:val="0"/>
    <w:pPr>
      <w:ind w:firstLine="420" w:firstLineChars="200"/>
    </w:pPr>
  </w:style>
  <w:style w:type="paragraph" w:customStyle="1" w:styleId="106">
    <w:name w:val="【正文】"/>
    <w:qFormat/>
    <w:uiPriority w:val="0"/>
    <w:pPr>
      <w:widowControl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107">
    <w:name w:val="1jw正文"/>
    <w:qFormat/>
    <w:uiPriority w:val="0"/>
    <w:pPr>
      <w:spacing w:beforeLines="50" w:afterLines="50" w:line="360" w:lineRule="auto"/>
      <w:ind w:firstLine="200" w:firstLineChars="200"/>
    </w:pPr>
    <w:rPr>
      <w:rFonts w:ascii="Times New Roman" w:hAnsi="Times New Roman" w:eastAsia="宋体" w:cs="宋体"/>
      <w:sz w:val="24"/>
      <w:szCs w:val="24"/>
      <w:lang w:val="en-US" w:eastAsia="zh-CN" w:bidi="ar-SA"/>
    </w:rPr>
  </w:style>
  <w:style w:type="paragraph" w:customStyle="1" w:styleId="108">
    <w:name w:val="样式 标题 1 + 四号 段前: 0 磅 段后: 0 磅 行距: 1.5 倍行距"/>
    <w:basedOn w:val="109"/>
    <w:next w:val="110"/>
    <w:qFormat/>
    <w:uiPriority w:val="0"/>
    <w:pPr>
      <w:spacing w:line="360" w:lineRule="auto"/>
      <w:jc w:val="center"/>
    </w:pPr>
    <w:rPr>
      <w:sz w:val="28"/>
    </w:rPr>
  </w:style>
  <w:style w:type="paragraph" w:customStyle="1" w:styleId="109">
    <w:name w:val="报告表正文"/>
    <w:basedOn w:val="1"/>
    <w:autoRedefine/>
    <w:qFormat/>
    <w:uiPriority w:val="0"/>
    <w:pPr>
      <w:adjustRightInd w:val="0"/>
      <w:spacing w:line="300" w:lineRule="auto"/>
      <w:ind w:left="113" w:right="113" w:firstLine="0" w:firstLineChars="0"/>
      <w:textAlignment w:val="baseline"/>
    </w:pPr>
    <w:rPr>
      <w:rFonts w:ascii="Calibri" w:hAnsi="Calibri" w:cs="Times New Roman"/>
      <w:kern w:val="0"/>
    </w:rPr>
  </w:style>
  <w:style w:type="paragraph" w:customStyle="1" w:styleId="110">
    <w:name w:val="文本正文"/>
    <w:basedOn w:val="1"/>
    <w:qFormat/>
    <w:uiPriority w:val="0"/>
    <w:pPr>
      <w:snapToGrid w:val="0"/>
      <w:spacing w:line="360" w:lineRule="auto"/>
      <w:ind w:firstLine="510"/>
      <w:jc w:val="left"/>
    </w:pPr>
    <w:rPr>
      <w:spacing w:val="4"/>
      <w:kern w:val="24"/>
      <w:lang w:val="zh-CN"/>
    </w:rPr>
  </w:style>
  <w:style w:type="paragraph" w:customStyle="1" w:styleId="111">
    <w:name w:val="表头"/>
    <w:basedOn w:val="8"/>
    <w:qFormat/>
    <w:uiPriority w:val="0"/>
    <w:rPr>
      <w:b/>
      <w:bCs/>
      <w:sz w:val="28"/>
      <w:szCs w:val="28"/>
    </w:rPr>
  </w:style>
  <w:style w:type="paragraph" w:customStyle="1" w:styleId="112">
    <w:name w:val="表格1"/>
    <w:basedOn w:val="71"/>
    <w:qFormat/>
    <w:uiPriority w:val="0"/>
    <w:pPr>
      <w:spacing w:line="240" w:lineRule="auto"/>
    </w:pPr>
    <w:rPr>
      <w:rFonts w:ascii="Calibri Light" w:hAnsi="Calibri Light" w:eastAsia="楷体"/>
    </w:rPr>
  </w:style>
  <w:style w:type="paragraph" w:customStyle="1" w:styleId="113">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114">
    <w:name w:val="标题4"/>
    <w:basedOn w:val="1"/>
    <w:qFormat/>
    <w:uiPriority w:val="0"/>
    <w:pPr>
      <w:outlineLvl w:val="3"/>
    </w:pPr>
    <w:rPr>
      <w:b/>
      <w:sz w:val="24"/>
    </w:rPr>
  </w:style>
  <w:style w:type="character" w:customStyle="1" w:styleId="115">
    <w:name w:val="font91"/>
    <w:qFormat/>
    <w:uiPriority w:val="0"/>
    <w:rPr>
      <w:rFonts w:hint="default" w:ascii="Times New Roman" w:hAnsi="Times New Roman" w:cs="Times New Roman"/>
      <w:color w:val="000000"/>
      <w:sz w:val="18"/>
      <w:szCs w:val="18"/>
      <w:u w:val="none"/>
      <w:vertAlign w:val="superscript"/>
    </w:rPr>
  </w:style>
  <w:style w:type="paragraph" w:customStyle="1" w:styleId="116">
    <w:name w:val="无间隔1"/>
    <w:basedOn w:val="1"/>
    <w:qFormat/>
    <w:uiPriority w:val="0"/>
    <w:pPr>
      <w:jc w:val="center"/>
    </w:pPr>
    <w:rPr>
      <w:rFonts w:cs="黑体"/>
      <w:sz w:val="22"/>
      <w:szCs w:val="22"/>
    </w:rPr>
  </w:style>
  <w:style w:type="character" w:customStyle="1" w:styleId="117">
    <w:name w:val="font01"/>
    <w:qFormat/>
    <w:uiPriority w:val="0"/>
    <w:rPr>
      <w:rFonts w:hint="default" w:ascii="Times New Roman" w:hAnsi="Times New Roman" w:cs="Times New Roman"/>
      <w:color w:val="000000"/>
      <w:sz w:val="21"/>
      <w:szCs w:val="21"/>
      <w:u w:val="none"/>
      <w:vertAlign w:val="subscript"/>
    </w:rPr>
  </w:style>
  <w:style w:type="paragraph" w:customStyle="1" w:styleId="118">
    <w:name w:val="p0"/>
    <w:basedOn w:val="1"/>
    <w:qFormat/>
    <w:uiPriority w:val="99"/>
    <w:pPr>
      <w:widowControl/>
    </w:pPr>
    <w:rPr>
      <w:rFonts w:ascii="Calibri" w:hAnsi="Calibri"/>
      <w:kern w:val="0"/>
      <w:szCs w:val="21"/>
    </w:rPr>
  </w:style>
  <w:style w:type="paragraph" w:customStyle="1" w:styleId="119">
    <w:name w:val="正文文本缩进 21"/>
    <w:basedOn w:val="1"/>
    <w:qFormat/>
    <w:uiPriority w:val="0"/>
    <w:pPr>
      <w:adjustRightInd w:val="0"/>
      <w:spacing w:line="460" w:lineRule="exact"/>
      <w:ind w:firstLine="480"/>
      <w:textAlignment w:val="baseline"/>
    </w:pPr>
    <w:rPr>
      <w:sz w:val="24"/>
      <w:szCs w:val="20"/>
    </w:rPr>
  </w:style>
  <w:style w:type="paragraph" w:customStyle="1" w:styleId="120">
    <w:name w:val="表格文字"/>
    <w:basedOn w:val="121"/>
    <w:next w:val="1"/>
    <w:qFormat/>
    <w:uiPriority w:val="0"/>
    <w:pPr>
      <w:spacing w:after="0" w:line="240" w:lineRule="auto"/>
    </w:pPr>
    <w:rPr>
      <w:rFonts w:ascii="宋体" w:hAnsi="宋体" w:eastAsia="宋体"/>
      <w:color w:val="0000FF"/>
    </w:rPr>
  </w:style>
  <w:style w:type="paragraph" w:customStyle="1" w:styleId="121">
    <w:name w:val="样式1"/>
    <w:basedOn w:val="29"/>
    <w:qFormat/>
    <w:uiPriority w:val="0"/>
    <w:pPr>
      <w:spacing w:after="40" w:line="300" w:lineRule="atLeast"/>
      <w:ind w:firstLine="600" w:firstLineChars="200"/>
      <w:jc w:val="center"/>
      <w:outlineLvl w:val="2"/>
    </w:pPr>
    <w:rPr>
      <w:rFonts w:eastAsia="楷体_GB2312"/>
      <w:sz w:val="24"/>
      <w:szCs w:val="20"/>
    </w:rPr>
  </w:style>
  <w:style w:type="paragraph" w:customStyle="1" w:styleId="122">
    <w:name w:val="魏秀珍   正文"/>
    <w:basedOn w:val="4"/>
    <w:qFormat/>
    <w:uiPriority w:val="0"/>
    <w:pPr>
      <w:snapToGrid w:val="0"/>
      <w:spacing w:line="360" w:lineRule="auto"/>
      <w:ind w:firstLine="200"/>
      <w:jc w:val="left"/>
    </w:pPr>
    <w:rPr>
      <w:kern w:val="0"/>
      <w:sz w:val="20"/>
      <w:lang w:val="en-GB"/>
    </w:rPr>
  </w:style>
  <w:style w:type="paragraph" w:styleId="123">
    <w:name w:val="No Spacing"/>
    <w:qFormat/>
    <w:uiPriority w:val="1"/>
    <w:pPr>
      <w:widowControl w:val="0"/>
      <w:spacing w:line="360" w:lineRule="auto"/>
      <w:jc w:val="center"/>
    </w:pPr>
    <w:rPr>
      <w:rFonts w:ascii="Times New Roman" w:hAnsi="Times New Roman" w:eastAsia="宋体" w:cs="Times New Roman"/>
      <w:b/>
      <w:kern w:val="2"/>
      <w:sz w:val="21"/>
      <w:szCs w:val="22"/>
      <w:lang w:val="en-US" w:eastAsia="zh-CN" w:bidi="ar-SA"/>
    </w:rPr>
  </w:style>
  <w:style w:type="paragraph" w:customStyle="1" w:styleId="124">
    <w:name w:val="正文文字"/>
    <w:basedOn w:val="1"/>
    <w:qFormat/>
    <w:uiPriority w:val="0"/>
    <w:pPr>
      <w:widowControl/>
      <w:spacing w:line="360" w:lineRule="auto"/>
      <w:ind w:firstLine="480" w:firstLineChars="200"/>
      <w:jc w:val="left"/>
    </w:pPr>
    <w:rPr>
      <w:bCs/>
      <w:color w:val="FF0000"/>
      <w:kern w:val="0"/>
      <w:sz w:val="24"/>
    </w:rPr>
  </w:style>
  <w:style w:type="paragraph" w:customStyle="1" w:styleId="125">
    <w:name w:val="表格内容"/>
    <w:basedOn w:val="1"/>
    <w:qFormat/>
    <w:uiPriority w:val="0"/>
    <w:pPr>
      <w:adjustRightInd w:val="0"/>
      <w:snapToGrid w:val="0"/>
      <w:jc w:val="center"/>
    </w:pPr>
    <w:rPr>
      <w:kern w:val="0"/>
    </w:rPr>
  </w:style>
  <w:style w:type="paragraph" w:customStyle="1" w:styleId="126">
    <w:name w:val="表格文字LTT"/>
    <w:basedOn w:val="1"/>
    <w:next w:val="1"/>
    <w:qFormat/>
    <w:uiPriority w:val="0"/>
    <w:pPr>
      <w:spacing w:before="40" w:after="40"/>
      <w:jc w:val="center"/>
    </w:pPr>
  </w:style>
  <w:style w:type="paragraph" w:customStyle="1" w:styleId="127">
    <w:name w:val="zxj正文z"/>
    <w:basedOn w:val="1"/>
    <w:autoRedefine/>
    <w:qFormat/>
    <w:uiPriority w:val="0"/>
    <w:pPr>
      <w:keepNext w:val="0"/>
      <w:wordWrap/>
      <w:spacing w:line="360" w:lineRule="auto"/>
      <w:ind w:firstLine="420" w:firstLineChars="200"/>
      <w:textAlignment w:val="top"/>
    </w:pPr>
    <w:rPr>
      <w:rFonts w:ascii="Times New Roman" w:hAnsi="Times New Roman" w:eastAsia="宋体"/>
      <w:sz w:val="24"/>
    </w:rPr>
  </w:style>
  <w:style w:type="table" w:customStyle="1" w:styleId="128">
    <w:name w:val="Table Normal"/>
    <w:autoRedefine/>
    <w:unhideWhenUsed/>
    <w:qFormat/>
    <w:uiPriority w:val="0"/>
    <w:rPr>
      <w:lang w:val="en-US" w:eastAsia="zh-CN"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5.png"/><Relationship Id="rId31" Type="http://schemas.openxmlformats.org/officeDocument/2006/relationships/image" Target="media/image14.jpe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wmf"/><Relationship Id="rId27" Type="http://schemas.openxmlformats.org/officeDocument/2006/relationships/oleObject" Target="embeddings/oleObject4.bin"/><Relationship Id="rId26" Type="http://schemas.openxmlformats.org/officeDocument/2006/relationships/image" Target="media/image10.png"/><Relationship Id="rId25" Type="http://schemas.openxmlformats.org/officeDocument/2006/relationships/image" Target="media/image9.emf"/><Relationship Id="rId24" Type="http://schemas.openxmlformats.org/officeDocument/2006/relationships/oleObject" Target="embeddings/Microsoft_Visio_2003-2010___5.vsd"/><Relationship Id="rId23" Type="http://schemas.openxmlformats.org/officeDocument/2006/relationships/image" Target="media/image8.emf"/><Relationship Id="rId22" Type="http://schemas.openxmlformats.org/officeDocument/2006/relationships/oleObject" Target="embeddings/Microsoft_Visio_2003-2010___4.vsd"/><Relationship Id="rId21" Type="http://schemas.openxmlformats.org/officeDocument/2006/relationships/image" Target="media/image7.emf"/><Relationship Id="rId20" Type="http://schemas.openxmlformats.org/officeDocument/2006/relationships/oleObject" Target="embeddings/Microsoft_Visio_2003-2010___3.vsd"/><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Microsoft_Visio_2003-2010___2.vsd"/><Relationship Id="rId17" Type="http://schemas.openxmlformats.org/officeDocument/2006/relationships/image" Target="media/image5.emf"/><Relationship Id="rId16" Type="http://schemas.openxmlformats.org/officeDocument/2006/relationships/oleObject" Target="embeddings/Microsoft_Visio_2003-2010___1.vsd"/><Relationship Id="rId15" Type="http://schemas.openxmlformats.org/officeDocument/2006/relationships/image" Target="media/image4.emf"/><Relationship Id="rId14" Type="http://schemas.openxmlformats.org/officeDocument/2006/relationships/oleObject" Target="embeddings/oleObject3.bin"/><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107</Pages>
  <Words>4600</Words>
  <Characters>4852</Characters>
  <Lines>661</Lines>
  <Paragraphs>186</Paragraphs>
  <TotalTime>98</TotalTime>
  <ScaleCrop>false</ScaleCrop>
  <LinksUpToDate>false</LinksUpToDate>
  <CharactersWithSpaces>4915</CharactersWithSpaces>
  <Application>WPS Office_12.8.2.17838_F1E327BC-269C-435d-A152-05C5408002CA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2021-04-07T09:34:00Z</dcterms:created>
  <dc:creator>lhj</dc:creator>
  <cp:lastModifiedBy>Administrator</cp:lastModifiedBy>
  <cp:lastPrinted>2021-05-10T00:43:00Z</cp:lastPrinted>
  <dcterms:modified xsi:type="dcterms:W3CDTF">2026-02-11T06:37:47Z</dcterms:modified>
  <dc:title>附件2</dc:title>
  <cp:revision>170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2052-12.8.2.17838</vt:lpwstr>
  </property>
  <property fmtid="{D5CDD505-2E9C-101B-9397-08002B2CF9AE}" pid="3" name="ICV">
    <vt:lpwstr>D839BE7772484C098475C64D20240886_13</vt:lpwstr>
  </property>
  <property fmtid="{D5CDD505-2E9C-101B-9397-08002B2CF9AE}" pid="4" name="KSOTemplateDocerSaveRecord">
    <vt:lpwstr>eyJoZGlkIjoiZDUxMGQ4NjdlMjIyNjc4MmRlMTc2NTcwMGZhMTAxZjEiLCJ1c2VySWQiOiI1NjEzMDU4ODkifQ==</vt:lpwstr>
  </property>
</Properties>
</file>