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47E0">
      <w:pPr>
        <w:keepNext w:val="0"/>
        <w:keepLines w:val="0"/>
        <w:pageBreakBefore w:val="0"/>
        <w:widowControl/>
        <w:kinsoku/>
        <w:wordWrap/>
        <w:overflowPunct/>
        <w:topLinePunct w:val="0"/>
        <w:autoSpaceDE/>
        <w:autoSpaceDN/>
        <w:bidi w:val="0"/>
        <w:adjustRightInd w:val="0"/>
        <w:snapToGrid w:val="0"/>
        <w:spacing w:line="554" w:lineRule="exact"/>
        <w:ind w:left="0" w:leftChars="0" w:firstLine="0" w:firstLineChars="0"/>
        <w:jc w:val="center"/>
        <w:textAlignment w:val="auto"/>
        <w:rPr>
          <w:rFonts w:hint="default" w:ascii="Times New Roman" w:hAnsi="Times New Roman" w:eastAsia="方正小标宋_GBK" w:cs="Times New Roman"/>
          <w:b w:val="0"/>
          <w:bCs w:val="0"/>
          <w:color w:val="auto"/>
          <w:sz w:val="44"/>
          <w:szCs w:val="44"/>
          <w:lang w:val="en-US" w:eastAsia="zh-CN"/>
        </w:rPr>
      </w:pPr>
      <w:r>
        <w:rPr>
          <w:rFonts w:hint="eastAsia" w:ascii="Times New Roman" w:hAnsi="Times New Roman" w:eastAsia="方正小标宋_GBK" w:cs="Times New Roman"/>
          <w:b w:val="0"/>
          <w:bCs w:val="0"/>
          <w:color w:val="auto"/>
          <w:sz w:val="44"/>
          <w:szCs w:val="44"/>
          <w:lang w:val="en-US" w:eastAsia="zh-CN"/>
        </w:rPr>
        <w:t>玉溪市</w:t>
      </w:r>
      <w:r>
        <w:rPr>
          <w:rFonts w:hint="default" w:ascii="Times New Roman" w:hAnsi="Times New Roman" w:eastAsia="方正小标宋_GBK" w:cs="Times New Roman"/>
          <w:b w:val="0"/>
          <w:bCs w:val="0"/>
          <w:color w:val="auto"/>
          <w:sz w:val="44"/>
          <w:szCs w:val="44"/>
          <w:lang w:val="en-US" w:eastAsia="zh-CN"/>
        </w:rPr>
        <w:t>建立长期护理保险制度实施方案</w:t>
      </w:r>
    </w:p>
    <w:p w14:paraId="1C65592A">
      <w:pPr>
        <w:keepNext w:val="0"/>
        <w:keepLines w:val="0"/>
        <w:pageBreakBefore w:val="0"/>
        <w:kinsoku/>
        <w:wordWrap/>
        <w:overflowPunct/>
        <w:topLinePunct w:val="0"/>
        <w:autoSpaceDE/>
        <w:autoSpaceDN/>
        <w:bidi w:val="0"/>
        <w:spacing w:line="554"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（征求意见稿）</w:t>
      </w:r>
    </w:p>
    <w:p w14:paraId="01A642A0">
      <w:pPr>
        <w:keepNext w:val="0"/>
        <w:keepLines w:val="0"/>
        <w:pageBreakBefore w:val="0"/>
        <w:widowControl/>
        <w:suppressLineNumbers w:val="0"/>
        <w:kinsoku/>
        <w:wordWrap/>
        <w:topLinePunct w:val="0"/>
        <w:autoSpaceDN/>
        <w:bidi w:val="0"/>
        <w:spacing w:line="554" w:lineRule="exact"/>
        <w:ind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
        </w:rPr>
      </w:pPr>
    </w:p>
    <w:p w14:paraId="5CE27A5C">
      <w:pPr>
        <w:keepNext w:val="0"/>
        <w:keepLines w:val="0"/>
        <w:pageBreakBefore w:val="0"/>
        <w:widowControl/>
        <w:suppressLineNumbers w:val="0"/>
        <w:kinsoku/>
        <w:wordWrap/>
        <w:topLinePunct w:val="0"/>
        <w:autoSpaceDN/>
        <w:bidi w:val="0"/>
        <w:spacing w:line="554"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color w:val="auto"/>
          <w:kern w:val="2"/>
          <w:sz w:val="32"/>
          <w:szCs w:val="32"/>
          <w:u w:val="none"/>
          <w:lang w:val="en-US" w:eastAsia="zh-CN" w:bidi="ar"/>
        </w:rPr>
        <w:t>为</w:t>
      </w:r>
      <w:r>
        <w:rPr>
          <w:rFonts w:hint="default" w:ascii="Times New Roman" w:hAnsi="Times New Roman" w:eastAsia="方正仿宋_GBK" w:cs="Times New Roman"/>
          <w:sz w:val="32"/>
          <w:szCs w:val="32"/>
          <w:lang w:val="en-US" w:eastAsia="zh-CN"/>
        </w:rPr>
        <w:t>加快建立长期护理保险制度，</w:t>
      </w:r>
      <w:r>
        <w:rPr>
          <w:rFonts w:hint="default" w:ascii="Times New Roman" w:hAnsi="Times New Roman" w:eastAsia="方正仿宋_GBK" w:cs="Times New Roman"/>
          <w:color w:val="auto"/>
          <w:kern w:val="2"/>
          <w:sz w:val="32"/>
          <w:szCs w:val="32"/>
          <w:u w:val="none"/>
          <w:lang w:val="en-US" w:eastAsia="zh-CN" w:bidi="ar"/>
        </w:rPr>
        <w:t>推动解决失能人员长期护理基本保障需求，按照国家、省关于加快建立长期护理保险制度的工作部署，</w:t>
      </w:r>
      <w:r>
        <w:rPr>
          <w:rFonts w:hint="default" w:ascii="Times New Roman" w:hAnsi="Times New Roman" w:eastAsia="方正仿宋_GBK" w:cs="Times New Roman"/>
          <w:b w:val="0"/>
          <w:bCs w:val="0"/>
          <w:color w:val="auto"/>
          <w:kern w:val="2"/>
          <w:sz w:val="32"/>
          <w:szCs w:val="32"/>
          <w:lang w:val="en-US" w:eastAsia="zh-CN"/>
        </w:rPr>
        <w:t>根据</w:t>
      </w:r>
      <w:r>
        <w:rPr>
          <w:rFonts w:hint="eastAsia" w:ascii="Times New Roman" w:hAnsi="Times New Roman" w:eastAsia="方正仿宋_GBK" w:cs="Times New Roman"/>
          <w:b w:val="0"/>
          <w:bCs w:val="0"/>
          <w:color w:val="auto"/>
          <w:kern w:val="2"/>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rPr>
        <w:t>中共中央办公厅国务院办公厅关于加快建立长期护理保险制度的意见</w:t>
      </w:r>
      <w:r>
        <w:rPr>
          <w:rFonts w:hint="eastAsia" w:ascii="Times New Roman" w:hAnsi="Times New Roman" w:eastAsia="方正仿宋_GBK" w:cs="Times New Roman"/>
          <w:b w:val="0"/>
          <w:bCs w:val="0"/>
          <w:color w:val="auto"/>
          <w:kern w:val="2"/>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rPr>
        <w:t>厅字〔2025〕19号</w:t>
      </w:r>
      <w:r>
        <w:rPr>
          <w:rFonts w:hint="eastAsia" w:ascii="Times New Roman" w:hAnsi="Times New Roman" w:eastAsia="方正仿宋_GBK" w:cs="Times New Roman"/>
          <w:b w:val="0"/>
          <w:bCs w:val="0"/>
          <w:color w:val="auto"/>
          <w:kern w:val="2"/>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rPr>
        <w:t>《</w:t>
      </w:r>
      <w:r>
        <w:rPr>
          <w:rStyle w:val="5"/>
          <w:rFonts w:hint="default" w:ascii="Times New Roman" w:hAnsi="Times New Roman" w:eastAsia="方正仿宋_GBK" w:cs="Times New Roman"/>
          <w:b w:val="0"/>
          <w:bCs w:val="0"/>
          <w:color w:val="auto"/>
          <w:sz w:val="32"/>
          <w:szCs w:val="32"/>
        </w:rPr>
        <w:t>云南省人民政府办公厅关于印发</w:t>
      </w:r>
      <w:r>
        <w:rPr>
          <w:rStyle w:val="5"/>
          <w:rFonts w:hint="default" w:ascii="Times New Roman" w:hAnsi="Times New Roman" w:eastAsia="方正仿宋_GBK" w:cs="Times New Roman"/>
          <w:b w:val="0"/>
          <w:bCs w:val="0"/>
          <w:color w:val="auto"/>
          <w:sz w:val="32"/>
          <w:szCs w:val="32"/>
          <w:lang w:val="en-US" w:eastAsia="zh-CN"/>
        </w:rPr>
        <w:t>&lt;</w:t>
      </w:r>
      <w:r>
        <w:rPr>
          <w:rStyle w:val="5"/>
          <w:rFonts w:hint="default" w:ascii="Times New Roman" w:hAnsi="Times New Roman" w:eastAsia="方正仿宋_GBK" w:cs="Times New Roman"/>
          <w:b w:val="0"/>
          <w:bCs w:val="0"/>
          <w:color w:val="auto"/>
          <w:sz w:val="32"/>
          <w:szCs w:val="32"/>
        </w:rPr>
        <w:t>云南省建立长期护理保险制度实施方案</w:t>
      </w:r>
      <w:r>
        <w:rPr>
          <w:rStyle w:val="5"/>
          <w:rFonts w:hint="default" w:ascii="Times New Roman" w:hAnsi="Times New Roman" w:eastAsia="方正仿宋_GBK" w:cs="Times New Roman"/>
          <w:b w:val="0"/>
          <w:bCs w:val="0"/>
          <w:color w:val="auto"/>
          <w:sz w:val="32"/>
          <w:szCs w:val="32"/>
          <w:lang w:val="en-US" w:eastAsia="zh-CN"/>
        </w:rPr>
        <w:t>&gt;</w:t>
      </w:r>
      <w:r>
        <w:rPr>
          <w:rStyle w:val="5"/>
          <w:rFonts w:hint="default" w:ascii="Times New Roman" w:hAnsi="Times New Roman" w:eastAsia="方正仿宋_GBK" w:cs="Times New Roman"/>
          <w:b w:val="0"/>
          <w:bCs w:val="0"/>
          <w:color w:val="auto"/>
          <w:sz w:val="32"/>
          <w:szCs w:val="32"/>
        </w:rPr>
        <w:t>的通知</w:t>
      </w:r>
      <w:r>
        <w:rPr>
          <w:rFonts w:hint="default" w:ascii="Times New Roman" w:hAnsi="Times New Roman" w:eastAsia="方正仿宋_GBK" w:cs="Times New Roman"/>
          <w:b w:val="0"/>
          <w:bCs w:val="0"/>
          <w:color w:val="auto"/>
          <w:kern w:val="2"/>
          <w:sz w:val="32"/>
          <w:szCs w:val="32"/>
          <w:lang w:val="en-US" w:eastAsia="zh-CN"/>
        </w:rPr>
        <w:t>》（</w:t>
      </w:r>
      <w:r>
        <w:rPr>
          <w:rFonts w:hint="default" w:ascii="Times New Roman" w:hAnsi="Times New Roman" w:eastAsia="方正仿宋_GBK" w:cs="Times New Roman"/>
          <w:b w:val="0"/>
          <w:bCs w:val="0"/>
          <w:color w:val="auto"/>
          <w:kern w:val="0"/>
          <w:sz w:val="32"/>
          <w:szCs w:val="32"/>
          <w:lang w:val="en-US" w:eastAsia="zh-CN" w:bidi="ar"/>
        </w:rPr>
        <w:t>云政办规</w:t>
      </w:r>
      <w:r>
        <w:rPr>
          <w:rFonts w:hint="default" w:ascii="Times New Roman" w:hAnsi="Times New Roman" w:eastAsia="方正仿宋_GBK" w:cs="Times New Roman"/>
          <w:b w:val="0"/>
          <w:bCs w:val="0"/>
          <w:color w:val="auto"/>
          <w:kern w:val="2"/>
          <w:sz w:val="32"/>
          <w:szCs w:val="32"/>
          <w:lang w:val="en-US" w:eastAsia="zh-CN"/>
        </w:rPr>
        <w:t>〔2025〕</w:t>
      </w:r>
      <w:r>
        <w:rPr>
          <w:rFonts w:hint="default" w:ascii="Times New Roman" w:hAnsi="Times New Roman" w:eastAsia="方正仿宋_GBK" w:cs="Times New Roman"/>
          <w:b w:val="0"/>
          <w:bCs w:val="0"/>
          <w:color w:val="auto"/>
          <w:kern w:val="0"/>
          <w:sz w:val="32"/>
          <w:szCs w:val="32"/>
          <w:lang w:val="en-US" w:eastAsia="zh-CN" w:bidi="ar"/>
        </w:rPr>
        <w:t>9号</w:t>
      </w:r>
      <w:r>
        <w:rPr>
          <w:rFonts w:hint="default" w:ascii="Times New Roman" w:hAnsi="Times New Roman" w:eastAsia="方正仿宋_GBK" w:cs="Times New Roman"/>
          <w:b w:val="0"/>
          <w:bCs w:val="0"/>
          <w:color w:val="auto"/>
          <w:kern w:val="2"/>
          <w:sz w:val="32"/>
          <w:szCs w:val="32"/>
          <w:lang w:val="en-US" w:eastAsia="zh-CN"/>
        </w:rPr>
        <w:t>）</w:t>
      </w:r>
      <w:r>
        <w:rPr>
          <w:rFonts w:hint="eastAsia" w:ascii="Times New Roman" w:hAnsi="Times New Roman" w:eastAsia="方正仿宋_GBK" w:cs="Times New Roman"/>
          <w:b w:val="0"/>
          <w:bCs w:val="0"/>
          <w:color w:val="auto"/>
          <w:kern w:val="2"/>
          <w:sz w:val="32"/>
          <w:szCs w:val="32"/>
          <w:lang w:val="en-US" w:eastAsia="zh-CN"/>
        </w:rPr>
        <w:t>精神</w:t>
      </w:r>
      <w:r>
        <w:rPr>
          <w:rFonts w:hint="default" w:ascii="Times New Roman" w:hAnsi="Times New Roman" w:eastAsia="方正仿宋_GBK" w:cs="Times New Roman"/>
          <w:b w:val="0"/>
          <w:bCs w:val="0"/>
          <w:color w:val="auto"/>
          <w:kern w:val="2"/>
          <w:sz w:val="32"/>
          <w:szCs w:val="32"/>
          <w:lang w:val="en-US" w:eastAsia="zh-CN"/>
        </w:rPr>
        <w:t>，结合</w:t>
      </w:r>
      <w:r>
        <w:rPr>
          <w:rFonts w:hint="eastAsia" w:ascii="Times New Roman" w:hAnsi="Times New Roman" w:eastAsia="方正仿宋_GBK" w:cs="Times New Roman"/>
          <w:b w:val="0"/>
          <w:bCs w:val="0"/>
          <w:color w:val="auto"/>
          <w:kern w:val="2"/>
          <w:sz w:val="32"/>
          <w:szCs w:val="32"/>
          <w:lang w:val="en-US" w:eastAsia="zh-CN"/>
        </w:rPr>
        <w:t>玉溪市</w:t>
      </w:r>
      <w:r>
        <w:rPr>
          <w:rFonts w:hint="default" w:ascii="Times New Roman" w:hAnsi="Times New Roman" w:eastAsia="方正仿宋_GBK" w:cs="Times New Roman"/>
          <w:b w:val="0"/>
          <w:bCs w:val="0"/>
          <w:color w:val="auto"/>
          <w:kern w:val="2"/>
          <w:sz w:val="32"/>
          <w:szCs w:val="32"/>
          <w:lang w:val="en-US" w:eastAsia="zh-CN"/>
        </w:rPr>
        <w:t>实际，制定本实施方案。</w:t>
      </w:r>
    </w:p>
    <w:p w14:paraId="518DDA70">
      <w:pPr>
        <w:keepNext w:val="0"/>
        <w:keepLines w:val="0"/>
        <w:pageBreakBefore w:val="0"/>
        <w:widowControl/>
        <w:suppressLineNumbers w:val="0"/>
        <w:kinsoku/>
        <w:wordWrap/>
        <w:topLinePunct w:val="0"/>
        <w:autoSpaceDN/>
        <w:bidi w:val="0"/>
        <w:spacing w:line="554" w:lineRule="exact"/>
        <w:ind w:leftChars="0" w:firstLine="640" w:firstLineChars="200"/>
        <w:jc w:val="both"/>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黑体_GBK" w:cs="Times New Roman"/>
          <w:b w:val="0"/>
          <w:bCs w:val="0"/>
          <w:color w:val="auto"/>
          <w:kern w:val="2"/>
          <w:sz w:val="32"/>
          <w:szCs w:val="32"/>
          <w:lang w:val="en-US" w:eastAsia="zh-CN" w:bidi="ar-SA"/>
        </w:rPr>
        <w:t>一、目标</w:t>
      </w:r>
      <w:r>
        <w:rPr>
          <w:rFonts w:hint="eastAsia" w:ascii="Times New Roman" w:hAnsi="Times New Roman" w:eastAsia="方正黑体_GBK" w:cs="Times New Roman"/>
          <w:b w:val="0"/>
          <w:bCs w:val="0"/>
          <w:color w:val="auto"/>
          <w:kern w:val="2"/>
          <w:sz w:val="32"/>
          <w:szCs w:val="32"/>
          <w:lang w:val="en-US" w:eastAsia="zh-CN" w:bidi="ar-SA"/>
        </w:rPr>
        <w:t>要求</w:t>
      </w:r>
    </w:p>
    <w:p w14:paraId="1B2E6C40">
      <w:pPr>
        <w:pStyle w:val="2"/>
        <w:keepNext w:val="0"/>
        <w:keepLines w:val="0"/>
        <w:widowControl/>
        <w:suppressLineNumbers w:val="0"/>
        <w:shd w:val="clear" w:fill="FFFFFF"/>
        <w:spacing w:before="240" w:beforeAutospacing="0" w:after="240" w:afterAutospacing="0"/>
        <w:ind w:left="0" w:right="0"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坚持</w:t>
      </w:r>
      <w:r>
        <w:rPr>
          <w:rFonts w:hint="default" w:ascii="Times New Roman" w:hAnsi="Times New Roman" w:eastAsia="方正仿宋_GBK" w:cs="Times New Roman"/>
          <w:b w:val="0"/>
          <w:bCs w:val="0"/>
          <w:color w:val="auto"/>
          <w:kern w:val="2"/>
          <w:sz w:val="32"/>
          <w:szCs w:val="32"/>
          <w:lang w:val="en-US" w:eastAsia="zh-CN" w:bidi="ar-SA"/>
        </w:rPr>
        <w:t>以习近平新时代中国特色社会主义思想为指导，深入贯彻落实党的二十大和二十届历次全会精神，</w:t>
      </w:r>
      <w:r>
        <w:rPr>
          <w:rFonts w:hint="eastAsia" w:ascii="Times New Roman" w:hAnsi="Times New Roman" w:eastAsia="方正仿宋_GBK" w:cs="Times New Roman"/>
          <w:b w:val="0"/>
          <w:bCs w:val="0"/>
          <w:color w:val="auto"/>
          <w:kern w:val="2"/>
          <w:sz w:val="32"/>
          <w:szCs w:val="32"/>
          <w:lang w:val="en-US" w:eastAsia="zh-CN" w:bidi="ar-SA"/>
        </w:rPr>
        <w:t>坚持党的领导，</w:t>
      </w:r>
      <w:r>
        <w:rPr>
          <w:rFonts w:hint="default" w:ascii="Times New Roman" w:hAnsi="Times New Roman" w:eastAsia="方正仿宋_GBK" w:cs="Times New Roman"/>
          <w:b w:val="0"/>
          <w:bCs w:val="0"/>
          <w:color w:val="auto"/>
          <w:kern w:val="2"/>
          <w:sz w:val="32"/>
          <w:szCs w:val="32"/>
          <w:lang w:val="en-US" w:eastAsia="zh-CN" w:bidi="ar-SA"/>
        </w:rPr>
        <w:t>坚持以人民为中心</w:t>
      </w:r>
      <w:r>
        <w:rPr>
          <w:rFonts w:hint="eastAsia" w:ascii="Times New Roman" w:hAnsi="Times New Roman" w:eastAsia="方正仿宋_GBK" w:cs="Times New Roman"/>
          <w:b w:val="0"/>
          <w:bCs w:val="0"/>
          <w:color w:val="auto"/>
          <w:kern w:val="2"/>
          <w:sz w:val="32"/>
          <w:szCs w:val="32"/>
          <w:lang w:val="en-US" w:eastAsia="zh-CN" w:bidi="ar-SA"/>
        </w:rPr>
        <w:t>的发展思想</w:t>
      </w:r>
      <w:r>
        <w:rPr>
          <w:rFonts w:hint="default" w:ascii="Times New Roman" w:hAnsi="Times New Roman" w:eastAsia="方正仿宋_GBK" w:cs="Times New Roman"/>
          <w:b w:val="0"/>
          <w:bCs w:val="0"/>
          <w:color w:val="auto"/>
          <w:kern w:val="2"/>
          <w:sz w:val="32"/>
          <w:szCs w:val="32"/>
          <w:lang w:val="en-US" w:eastAsia="zh-CN" w:bidi="ar-SA"/>
        </w:rPr>
        <w:t>，坚持稳中求进工作总基调，遵循公平适度、保障基本、统筹有序</w:t>
      </w:r>
      <w:r>
        <w:rPr>
          <w:rFonts w:hint="eastAsia" w:ascii="Times New Roman" w:hAnsi="Times New Roman" w:eastAsia="方正仿宋_GBK" w:cs="Times New Roman"/>
          <w:b w:val="0"/>
          <w:bCs w:val="0"/>
          <w:color w:val="auto"/>
          <w:kern w:val="2"/>
          <w:sz w:val="32"/>
          <w:szCs w:val="32"/>
          <w:lang w:val="en-US" w:eastAsia="zh-CN" w:bidi="ar-SA"/>
        </w:rPr>
        <w:t>的原则</w:t>
      </w:r>
      <w:r>
        <w:rPr>
          <w:rFonts w:hint="default" w:ascii="Times New Roman" w:hAnsi="Times New Roman" w:eastAsia="方正仿宋_GBK" w:cs="Times New Roman"/>
          <w:b w:val="0"/>
          <w:bCs w:val="0"/>
          <w:color w:val="auto"/>
          <w:kern w:val="2"/>
          <w:sz w:val="32"/>
          <w:szCs w:val="32"/>
          <w:lang w:val="en-US" w:eastAsia="zh-CN" w:bidi="ar-SA"/>
        </w:rPr>
        <w:t>，用3年左右时间建立符合</w:t>
      </w:r>
      <w:r>
        <w:rPr>
          <w:rFonts w:hint="eastAsia" w:ascii="Times New Roman" w:hAnsi="Times New Roman" w:eastAsia="方正仿宋_GBK" w:cs="Times New Roman"/>
          <w:b w:val="0"/>
          <w:bCs w:val="0"/>
          <w:color w:val="auto"/>
          <w:kern w:val="2"/>
          <w:sz w:val="32"/>
          <w:szCs w:val="32"/>
          <w:lang w:val="en-US" w:eastAsia="zh-CN" w:bidi="ar-SA"/>
        </w:rPr>
        <w:t>玉溪市</w:t>
      </w:r>
      <w:r>
        <w:rPr>
          <w:rFonts w:hint="default" w:ascii="Times New Roman" w:hAnsi="Times New Roman" w:eastAsia="方正仿宋_GBK" w:cs="Times New Roman"/>
          <w:b w:val="0"/>
          <w:bCs w:val="0"/>
          <w:color w:val="auto"/>
          <w:kern w:val="2"/>
          <w:sz w:val="32"/>
          <w:szCs w:val="32"/>
          <w:lang w:val="en-US" w:eastAsia="zh-CN" w:bidi="ar-SA"/>
        </w:rPr>
        <w:t>实际，覆盖全民、统筹城乡、公平统一、安全规范、可持续的长期护理保险制度，有效减轻失能人员家庭照护负担和经济压力，促进长期护理服务体系建设，不断增强人民群众的获得感、幸福感、安全感。</w:t>
      </w:r>
    </w:p>
    <w:p w14:paraId="5F3C1180">
      <w:pPr>
        <w:keepNext w:val="0"/>
        <w:keepLines w:val="0"/>
        <w:pageBreakBefore w:val="0"/>
        <w:widowControl/>
        <w:suppressLineNumbers w:val="0"/>
        <w:kinsoku/>
        <w:wordWrap/>
        <w:topLinePunct w:val="0"/>
        <w:autoSpaceDN/>
        <w:bidi w:val="0"/>
        <w:spacing w:line="554" w:lineRule="exact"/>
        <w:ind w:leftChars="0" w:firstLine="640" w:firstLineChars="200"/>
        <w:jc w:val="both"/>
        <w:textAlignment w:val="auto"/>
        <w:rPr>
          <w:rFonts w:hint="default" w:ascii="Times New Roman" w:hAnsi="Times New Roman" w:eastAsia="方正仿宋_GBK" w:cs="Times New Roman"/>
          <w:i w:val="0"/>
          <w:iCs w:val="0"/>
          <w:color w:val="auto"/>
          <w:spacing w:val="0"/>
          <w:sz w:val="32"/>
          <w:szCs w:val="32"/>
          <w:shd w:val="clear" w:fill="FFFFFF"/>
          <w:lang w:val="en-US" w:eastAsia="zh-CN"/>
        </w:rPr>
      </w:pPr>
      <w:r>
        <w:rPr>
          <w:rFonts w:hint="default" w:ascii="Times New Roman" w:hAnsi="Times New Roman" w:eastAsia="方正黑体_GBK" w:cs="Times New Roman"/>
          <w:b w:val="0"/>
          <w:bCs w:val="0"/>
          <w:color w:val="auto"/>
          <w:kern w:val="2"/>
          <w:sz w:val="32"/>
          <w:szCs w:val="32"/>
          <w:lang w:val="en-US" w:eastAsia="zh-CN" w:bidi="ar-SA"/>
        </w:rPr>
        <w:t>二、</w:t>
      </w:r>
      <w:r>
        <w:rPr>
          <w:rFonts w:hint="eastAsia" w:ascii="Times New Roman" w:hAnsi="Times New Roman" w:eastAsia="方正黑体_GBK" w:cs="Times New Roman"/>
          <w:b w:val="0"/>
          <w:bCs w:val="0"/>
          <w:color w:val="auto"/>
          <w:kern w:val="2"/>
          <w:sz w:val="32"/>
          <w:szCs w:val="32"/>
          <w:lang w:val="en-US" w:eastAsia="zh-CN" w:bidi="ar-SA"/>
        </w:rPr>
        <w:t>基本原则</w:t>
      </w:r>
    </w:p>
    <w:p w14:paraId="2D99D1DE">
      <w:pPr>
        <w:keepNext w:val="0"/>
        <w:keepLines w:val="0"/>
        <w:pageBreakBefore w:val="0"/>
        <w:widowControl/>
        <w:suppressLineNumbers w:val="0"/>
        <w:kinsoku/>
        <w:wordWrap/>
        <w:topLinePunct w:val="0"/>
        <w:autoSpaceDN/>
        <w:bidi w:val="0"/>
        <w:spacing w:line="554" w:lineRule="exact"/>
        <w:ind w:leftChars="0"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w:t>
      </w:r>
      <w:r>
        <w:rPr>
          <w:rFonts w:hint="eastAsia" w:ascii="Times New Roman" w:hAnsi="Times New Roman" w:eastAsia="方正楷体_GBK" w:cs="Times New Roman"/>
          <w:b w:val="0"/>
          <w:bCs w:val="0"/>
          <w:color w:val="auto"/>
          <w:kern w:val="2"/>
          <w:sz w:val="32"/>
          <w:szCs w:val="32"/>
          <w:lang w:val="en-US" w:eastAsia="zh-CN" w:bidi="ar-SA"/>
        </w:rPr>
        <w:t>一</w:t>
      </w:r>
      <w:r>
        <w:rPr>
          <w:rFonts w:hint="default" w:ascii="Times New Roman" w:hAnsi="Times New Roman" w:eastAsia="方正楷体_GBK" w:cs="Times New Roman"/>
          <w:b w:val="0"/>
          <w:bCs w:val="0"/>
          <w:color w:val="auto"/>
          <w:kern w:val="2"/>
          <w:sz w:val="32"/>
          <w:szCs w:val="32"/>
          <w:lang w:val="en-US" w:eastAsia="zh-CN" w:bidi="ar-SA"/>
        </w:rPr>
        <w:t>）市级统筹，分级负责。</w:t>
      </w:r>
      <w:r>
        <w:rPr>
          <w:rFonts w:hint="default" w:ascii="Times New Roman" w:hAnsi="Times New Roman" w:eastAsia="方正仿宋_GBK" w:cs="Times New Roman"/>
          <w:b w:val="0"/>
          <w:bCs w:val="0"/>
          <w:color w:val="auto"/>
          <w:kern w:val="2"/>
          <w:sz w:val="32"/>
          <w:szCs w:val="32"/>
          <w:lang w:val="en-US" w:eastAsia="zh-CN" w:bidi="ar-SA"/>
        </w:rPr>
        <w:t>全市制度政策统一、基金统收统支。按照属地管理原则，市、县分级负责，做好长期护理保险业务管理与服务供给管理，实现管理服务一体化。</w:t>
      </w:r>
    </w:p>
    <w:p w14:paraId="38A3B513">
      <w:pPr>
        <w:keepNext w:val="0"/>
        <w:keepLines w:val="0"/>
        <w:pageBreakBefore w:val="0"/>
        <w:widowControl/>
        <w:suppressLineNumbers w:val="0"/>
        <w:kinsoku/>
        <w:wordWrap/>
        <w:topLinePunct w:val="0"/>
        <w:autoSpaceDN/>
        <w:bidi w:val="0"/>
        <w:spacing w:line="554"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w:t>
      </w:r>
      <w:r>
        <w:rPr>
          <w:rFonts w:hint="eastAsia" w:ascii="Times New Roman" w:hAnsi="Times New Roman" w:eastAsia="方正楷体_GBK" w:cs="Times New Roman"/>
          <w:b w:val="0"/>
          <w:bCs w:val="0"/>
          <w:color w:val="auto"/>
          <w:kern w:val="2"/>
          <w:sz w:val="32"/>
          <w:szCs w:val="32"/>
          <w:lang w:val="en-US" w:eastAsia="zh-CN" w:bidi="ar-SA"/>
        </w:rPr>
        <w:t>二</w:t>
      </w:r>
      <w:r>
        <w:rPr>
          <w:rFonts w:hint="default" w:ascii="Times New Roman" w:hAnsi="Times New Roman" w:eastAsia="方正楷体_GBK" w:cs="Times New Roman"/>
          <w:b w:val="0"/>
          <w:bCs w:val="0"/>
          <w:color w:val="auto"/>
          <w:kern w:val="2"/>
          <w:sz w:val="32"/>
          <w:szCs w:val="32"/>
          <w:lang w:val="en-US" w:eastAsia="zh-CN" w:bidi="ar-SA"/>
        </w:rPr>
        <w:t>）多元筹资，</w:t>
      </w:r>
      <w:r>
        <w:rPr>
          <w:rFonts w:hint="eastAsia" w:eastAsia="方正楷体_GBK" w:cs="Times New Roman"/>
          <w:b w:val="0"/>
          <w:bCs w:val="0"/>
          <w:color w:val="auto"/>
          <w:kern w:val="2"/>
          <w:sz w:val="32"/>
          <w:szCs w:val="32"/>
          <w:lang w:val="en-US" w:eastAsia="zh-CN" w:bidi="ar-SA"/>
        </w:rPr>
        <w:t>统筹使用</w:t>
      </w:r>
      <w:r>
        <w:rPr>
          <w:rFonts w:hint="default" w:ascii="Times New Roman" w:hAnsi="Times New Roman" w:eastAsia="方正楷体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建</w:t>
      </w:r>
      <w:r>
        <w:rPr>
          <w:rFonts w:hint="default" w:ascii="Times New Roman" w:hAnsi="Times New Roman" w:eastAsia="方正仿宋_GBK" w:cs="Times New Roman"/>
          <w:i w:val="0"/>
          <w:iCs w:val="0"/>
          <w:color w:val="auto"/>
          <w:spacing w:val="0"/>
          <w:sz w:val="32"/>
          <w:szCs w:val="32"/>
          <w:shd w:val="clear" w:fill="FFFFFF"/>
          <w:lang w:val="en-US" w:eastAsia="zh-CN"/>
        </w:rPr>
        <w:t>立完善单位、个人、政府、社会等多元筹资渠道，</w:t>
      </w:r>
      <w:r>
        <w:rPr>
          <w:rFonts w:hint="default" w:ascii="Times New Roman" w:hAnsi="Times New Roman" w:eastAsia="方正仿宋_GBK" w:cs="Times New Roman"/>
          <w:b w:val="0"/>
          <w:bCs w:val="0"/>
          <w:color w:val="auto"/>
          <w:kern w:val="2"/>
          <w:sz w:val="32"/>
          <w:szCs w:val="32"/>
          <w:lang w:val="en-US" w:eastAsia="zh-CN" w:bidi="ar-SA"/>
        </w:rPr>
        <w:t>执行全省统一的筹资标准和分担机制，落实困难群体资助参保。</w:t>
      </w:r>
    </w:p>
    <w:p w14:paraId="34E886D1">
      <w:pPr>
        <w:keepNext w:val="0"/>
        <w:keepLines w:val="0"/>
        <w:pageBreakBefore w:val="0"/>
        <w:widowControl/>
        <w:suppressLineNumbers w:val="0"/>
        <w:kinsoku/>
        <w:wordWrap/>
        <w:topLinePunct w:val="0"/>
        <w:autoSpaceDN/>
        <w:bidi w:val="0"/>
        <w:spacing w:line="554" w:lineRule="exact"/>
        <w:ind w:leftChars="0" w:firstLine="640" w:firstLineChars="200"/>
        <w:jc w:val="both"/>
        <w:textAlignment w:val="auto"/>
        <w:rPr>
          <w:rFonts w:hint="default" w:ascii="Times New Roman" w:hAnsi="Times New Roman" w:eastAsia="方正仿宋_GBK" w:cs="Times New Roman"/>
          <w:i w:val="0"/>
          <w:iCs w:val="0"/>
          <w:color w:val="auto"/>
          <w:spacing w:val="0"/>
          <w:sz w:val="32"/>
          <w:szCs w:val="32"/>
          <w:shd w:val="clear" w:fill="FFFFFF"/>
        </w:rPr>
      </w:pPr>
      <w:r>
        <w:rPr>
          <w:rFonts w:hint="default" w:ascii="Times New Roman" w:hAnsi="Times New Roman" w:eastAsia="方正楷体_GBK" w:cs="Times New Roman"/>
          <w:b w:val="0"/>
          <w:bCs w:val="0"/>
          <w:color w:val="auto"/>
          <w:kern w:val="2"/>
          <w:sz w:val="32"/>
          <w:szCs w:val="32"/>
          <w:lang w:val="en-US" w:eastAsia="zh-CN" w:bidi="ar-SA"/>
        </w:rPr>
        <w:t>（</w:t>
      </w:r>
      <w:r>
        <w:rPr>
          <w:rFonts w:hint="eastAsia" w:ascii="Times New Roman" w:hAnsi="Times New Roman" w:eastAsia="方正楷体_GBK" w:cs="Times New Roman"/>
          <w:b w:val="0"/>
          <w:bCs w:val="0"/>
          <w:color w:val="auto"/>
          <w:kern w:val="2"/>
          <w:sz w:val="32"/>
          <w:szCs w:val="32"/>
          <w:lang w:val="en-US" w:eastAsia="zh-CN" w:bidi="ar-SA"/>
        </w:rPr>
        <w:t>三</w:t>
      </w:r>
      <w:r>
        <w:rPr>
          <w:rFonts w:hint="default" w:ascii="Times New Roman" w:hAnsi="Times New Roman" w:eastAsia="方正楷体_GBK" w:cs="Times New Roman"/>
          <w:b w:val="0"/>
          <w:bCs w:val="0"/>
          <w:color w:val="auto"/>
          <w:kern w:val="2"/>
          <w:sz w:val="32"/>
          <w:szCs w:val="32"/>
          <w:lang w:val="en-US" w:eastAsia="zh-CN" w:bidi="ar-SA"/>
        </w:rPr>
        <w:t>）</w:t>
      </w:r>
      <w:r>
        <w:rPr>
          <w:rFonts w:hint="eastAsia" w:ascii="Times New Roman" w:hAnsi="Times New Roman" w:eastAsia="方正楷体_GBK" w:cs="Times New Roman"/>
          <w:b w:val="0"/>
          <w:bCs w:val="0"/>
          <w:color w:val="auto"/>
          <w:kern w:val="2"/>
          <w:sz w:val="32"/>
          <w:szCs w:val="32"/>
          <w:lang w:val="en-US" w:eastAsia="zh-CN" w:bidi="ar-SA"/>
        </w:rPr>
        <w:t>收支平衡</w:t>
      </w:r>
      <w:r>
        <w:rPr>
          <w:rFonts w:hint="default" w:ascii="Times New Roman" w:hAnsi="Times New Roman" w:eastAsia="方正楷体_GBK" w:cs="Times New Roman"/>
          <w:b w:val="0"/>
          <w:bCs w:val="0"/>
          <w:color w:val="auto"/>
          <w:kern w:val="2"/>
          <w:sz w:val="32"/>
          <w:szCs w:val="32"/>
          <w:lang w:val="en-US" w:eastAsia="zh-CN" w:bidi="ar-SA"/>
        </w:rPr>
        <w:t>，</w:t>
      </w:r>
      <w:r>
        <w:rPr>
          <w:rFonts w:hint="eastAsia" w:ascii="Times New Roman" w:hAnsi="Times New Roman" w:eastAsia="方正楷体_GBK" w:cs="Times New Roman"/>
          <w:b w:val="0"/>
          <w:bCs w:val="0"/>
          <w:color w:val="auto"/>
          <w:kern w:val="2"/>
          <w:sz w:val="32"/>
          <w:szCs w:val="32"/>
          <w:lang w:val="en-US" w:eastAsia="zh-CN" w:bidi="ar-SA"/>
        </w:rPr>
        <w:t>保障</w:t>
      </w:r>
      <w:r>
        <w:rPr>
          <w:rFonts w:hint="default" w:ascii="Times New Roman" w:hAnsi="Times New Roman" w:eastAsia="方正楷体_GBK" w:cs="Times New Roman"/>
          <w:b w:val="0"/>
          <w:bCs w:val="0"/>
          <w:color w:val="auto"/>
          <w:kern w:val="2"/>
          <w:sz w:val="32"/>
          <w:szCs w:val="32"/>
          <w:lang w:val="en-US" w:eastAsia="zh-CN" w:bidi="ar-SA"/>
        </w:rPr>
        <w:t>适度。</w:t>
      </w:r>
      <w:r>
        <w:rPr>
          <w:rFonts w:hint="default" w:ascii="Times New Roman" w:hAnsi="Times New Roman" w:eastAsia="方正仿宋_GBK" w:cs="Times New Roman"/>
          <w:b w:val="0"/>
          <w:bCs w:val="0"/>
          <w:color w:val="auto"/>
          <w:kern w:val="2"/>
          <w:sz w:val="32"/>
          <w:szCs w:val="32"/>
          <w:lang w:val="en-US" w:eastAsia="zh-CN" w:bidi="ar-SA"/>
        </w:rPr>
        <w:t>按照</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以收定支、收支平衡</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的原则，合理确定保障范围和待遇水平，</w:t>
      </w:r>
      <w:r>
        <w:rPr>
          <w:rFonts w:hint="default" w:ascii="Times New Roman" w:hAnsi="Times New Roman" w:eastAsia="方正仿宋_GBK" w:cs="Times New Roman"/>
          <w:i w:val="0"/>
          <w:iCs w:val="0"/>
          <w:color w:val="auto"/>
          <w:spacing w:val="0"/>
          <w:sz w:val="32"/>
          <w:szCs w:val="32"/>
          <w:shd w:val="clear" w:fill="FFFFFF"/>
          <w:lang w:val="en-US" w:eastAsia="zh-CN"/>
        </w:rPr>
        <w:t>增强制度可持续性，提升制度保障效能</w:t>
      </w:r>
      <w:r>
        <w:rPr>
          <w:rFonts w:hint="default" w:ascii="Times New Roman" w:hAnsi="Times New Roman" w:eastAsia="仿宋_GB2312" w:cs="Times New Roman"/>
          <w:b w:val="0"/>
          <w:bCs w:val="0"/>
          <w:i w:val="0"/>
          <w:iCs w:val="0"/>
          <w:caps w:val="0"/>
          <w:color w:val="auto"/>
          <w:spacing w:val="0"/>
          <w:sz w:val="31"/>
          <w:szCs w:val="31"/>
          <w:shd w:val="clear" w:fill="FFFFFF"/>
          <w:vertAlign w:val="baseline"/>
          <w:lang w:eastAsia="zh-CN"/>
        </w:rPr>
        <w:t>。</w:t>
      </w:r>
    </w:p>
    <w:p w14:paraId="4F6E41AB">
      <w:pPr>
        <w:keepNext w:val="0"/>
        <w:keepLines w:val="0"/>
        <w:pageBreakBefore w:val="0"/>
        <w:widowControl/>
        <w:suppressLineNumbers w:val="0"/>
        <w:kinsoku/>
        <w:wordWrap/>
        <w:topLinePunct w:val="0"/>
        <w:autoSpaceDN/>
        <w:bidi w:val="0"/>
        <w:spacing w:line="554" w:lineRule="exact"/>
        <w:ind w:leftChars="0" w:firstLine="640" w:firstLineChars="200"/>
        <w:jc w:val="both"/>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w:t>
      </w:r>
      <w:r>
        <w:rPr>
          <w:rFonts w:hint="eastAsia" w:ascii="Times New Roman" w:hAnsi="Times New Roman" w:eastAsia="方正楷体_GBK" w:cs="Times New Roman"/>
          <w:b w:val="0"/>
          <w:bCs w:val="0"/>
          <w:color w:val="auto"/>
          <w:kern w:val="2"/>
          <w:sz w:val="32"/>
          <w:szCs w:val="32"/>
          <w:lang w:val="en-US" w:eastAsia="zh-CN" w:bidi="ar-SA"/>
        </w:rPr>
        <w:t>四</w:t>
      </w:r>
      <w:r>
        <w:rPr>
          <w:rFonts w:hint="default" w:ascii="Times New Roman" w:hAnsi="Times New Roman" w:eastAsia="方正楷体_GBK" w:cs="Times New Roman"/>
          <w:b w:val="0"/>
          <w:bCs w:val="0"/>
          <w:color w:val="auto"/>
          <w:kern w:val="2"/>
          <w:sz w:val="32"/>
          <w:szCs w:val="32"/>
          <w:lang w:val="en-US" w:eastAsia="zh-CN" w:bidi="ar-SA"/>
        </w:rPr>
        <w:t>）</w:t>
      </w:r>
      <w:r>
        <w:rPr>
          <w:rFonts w:hint="eastAsia" w:ascii="Times New Roman" w:hAnsi="Times New Roman" w:eastAsia="方正楷体_GBK" w:cs="Times New Roman"/>
          <w:b w:val="0"/>
          <w:bCs w:val="0"/>
          <w:color w:val="auto"/>
          <w:kern w:val="2"/>
          <w:sz w:val="32"/>
          <w:szCs w:val="32"/>
          <w:lang w:val="en-US" w:eastAsia="zh-CN" w:bidi="ar-SA"/>
        </w:rPr>
        <w:t>协同</w:t>
      </w:r>
      <w:r>
        <w:rPr>
          <w:rFonts w:hint="default" w:ascii="Times New Roman" w:hAnsi="Times New Roman" w:eastAsia="方正楷体_GBK" w:cs="Times New Roman"/>
          <w:b w:val="0"/>
          <w:bCs w:val="0"/>
          <w:color w:val="auto"/>
          <w:kern w:val="2"/>
          <w:sz w:val="32"/>
          <w:szCs w:val="32"/>
          <w:lang w:val="en-US" w:eastAsia="zh-CN" w:bidi="ar-SA"/>
        </w:rPr>
        <w:t>联动，长效发展。</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统筹做好长期护理保险与经济困难高龄</w:t>
      </w:r>
      <w:r>
        <w:rPr>
          <w:rFonts w:hint="eastAsia"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失能老年人补贴、重度残疾人护理补贴等相关政策</w:t>
      </w:r>
      <w:r>
        <w:rPr>
          <w:rFonts w:hint="eastAsia"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及</w:t>
      </w:r>
      <w:r>
        <w:rPr>
          <w:rFonts w:hint="default" w:ascii="Times New Roman" w:hAnsi="Times New Roman" w:eastAsia="方正仿宋_GBK" w:cs="Times New Roman"/>
          <w:i w:val="0"/>
          <w:iCs w:val="0"/>
          <w:color w:val="auto"/>
          <w:spacing w:val="0"/>
          <w:sz w:val="32"/>
          <w:szCs w:val="32"/>
          <w:shd w:val="clear" w:fill="FFFFFF"/>
          <w:lang w:eastAsia="zh-CN"/>
        </w:rPr>
        <w:t>商业保险</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衔接</w:t>
      </w:r>
      <w:r>
        <w:rPr>
          <w:rFonts w:hint="eastAsia"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i w:val="0"/>
          <w:iCs w:val="0"/>
          <w:color w:val="auto"/>
          <w:spacing w:val="0"/>
          <w:sz w:val="32"/>
          <w:szCs w:val="32"/>
          <w:shd w:val="clear" w:fill="FFFFFF"/>
          <w:lang w:eastAsia="zh-CN"/>
        </w:rPr>
        <w:t>培育壮大长期护理保险服务市场，协同推动相关产业高质量发展。</w:t>
      </w:r>
    </w:p>
    <w:p w14:paraId="5AF239F7">
      <w:pPr>
        <w:pStyle w:val="2"/>
        <w:keepNext w:val="0"/>
        <w:keepLines w:val="0"/>
        <w:widowControl/>
        <w:suppressLineNumbers w:val="0"/>
        <w:shd w:val="clear" w:fill="FFFFFF"/>
        <w:spacing w:before="240" w:beforeAutospacing="0" w:after="240" w:afterAutospacing="0"/>
        <w:ind w:left="0" w:right="0" w:firstLine="640" w:firstLineChars="200"/>
        <w:rPr>
          <w:rFonts w:hint="default" w:ascii="Times New Roman" w:hAnsi="Times New Roman" w:eastAsia="方正黑体_GBK" w:cs="Times New Roman"/>
          <w:b w:val="0"/>
          <w:bCs w:val="0"/>
          <w:color w:val="auto"/>
          <w:kern w:val="2"/>
          <w:sz w:val="32"/>
          <w:szCs w:val="32"/>
          <w:lang w:val="en-US" w:eastAsia="zh-CN" w:bidi="ar-SA"/>
        </w:rPr>
      </w:pPr>
      <w:r>
        <w:rPr>
          <w:rFonts w:hint="eastAsia" w:ascii="Times New Roman" w:hAnsi="Times New Roman" w:eastAsia="方正黑体_GBK" w:cs="Times New Roman"/>
          <w:b w:val="0"/>
          <w:bCs w:val="0"/>
          <w:color w:val="auto"/>
          <w:kern w:val="2"/>
          <w:sz w:val="32"/>
          <w:szCs w:val="32"/>
          <w:lang w:val="en-US" w:eastAsia="zh-CN" w:bidi="ar-SA"/>
        </w:rPr>
        <w:t>三、</w:t>
      </w:r>
      <w:r>
        <w:rPr>
          <w:rFonts w:hint="default" w:ascii="Times New Roman" w:hAnsi="Times New Roman" w:eastAsia="方正黑体_GBK" w:cs="Times New Roman"/>
          <w:b w:val="0"/>
          <w:bCs w:val="0"/>
          <w:color w:val="auto"/>
          <w:kern w:val="2"/>
          <w:sz w:val="32"/>
          <w:szCs w:val="32"/>
          <w:lang w:val="en-US" w:eastAsia="zh-CN" w:bidi="ar-SA"/>
        </w:rPr>
        <w:t>推进步骤</w:t>
      </w:r>
    </w:p>
    <w:p w14:paraId="6406FF14">
      <w:pPr>
        <w:pStyle w:val="2"/>
        <w:keepNext w:val="0"/>
        <w:keepLines w:val="0"/>
        <w:widowControl/>
        <w:suppressLineNumbers w:val="0"/>
        <w:shd w:val="clear" w:fill="FFFFFF"/>
        <w:spacing w:before="240" w:beforeAutospacing="0" w:after="240" w:afterAutospacing="0"/>
        <w:ind w:left="0" w:right="0" w:firstLine="640" w:firstLineChars="200"/>
        <w:rPr>
          <w:rFonts w:hint="eastAsia"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综合考虑基金运行可持续性、护理服务市场培育状况及参保群体承受能力，按照</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分步实施、稳妥推进</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的原则，分两个阶段推进长期护理保险制度建设</w:t>
      </w:r>
      <w:r>
        <w:rPr>
          <w:rFonts w:hint="eastAsia" w:ascii="Times New Roman" w:hAnsi="Times New Roman" w:eastAsia="方正仿宋_GBK" w:cs="Times New Roman"/>
          <w:b w:val="0"/>
          <w:bCs w:val="0"/>
          <w:color w:val="auto"/>
          <w:kern w:val="2"/>
          <w:sz w:val="32"/>
          <w:szCs w:val="32"/>
          <w:lang w:val="en-US" w:eastAsia="zh-CN" w:bidi="ar-SA"/>
        </w:rPr>
        <w:t>。</w:t>
      </w:r>
    </w:p>
    <w:p w14:paraId="75CCD335">
      <w:pPr>
        <w:pStyle w:val="2"/>
        <w:keepNext w:val="0"/>
        <w:keepLines w:val="0"/>
        <w:widowControl/>
        <w:suppressLineNumbers w:val="0"/>
        <w:shd w:val="clear" w:fill="FFFFFF"/>
        <w:spacing w:before="240" w:beforeAutospacing="0" w:after="240" w:afterAutospacing="0"/>
        <w:ind w:left="0" w:right="0"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第一阶段（启动职工，2026—2027年）</w:t>
      </w:r>
    </w:p>
    <w:p w14:paraId="78BF34A2">
      <w:pPr>
        <w:pStyle w:val="2"/>
        <w:keepNext w:val="0"/>
        <w:keepLines w:val="0"/>
        <w:widowControl/>
        <w:suppressLineNumbers w:val="0"/>
        <w:shd w:val="clear" w:fill="FFFFFF"/>
        <w:spacing w:before="240" w:beforeAutospacing="0" w:after="240" w:afterAutospacing="0"/>
        <w:ind w:left="0" w:right="0"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2026年</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完成政策体系制定、委托经办机构招标、信息系统改造、服务网络建设、人员培训及宣传动员等各项准备工作。自2026年9月起，启动城镇职工（含在职职工、退休人员、参加职工医保的灵活就业人员）长期护理保险费征收工作。</w:t>
      </w:r>
      <w:r>
        <w:rPr>
          <w:rFonts w:hint="eastAsia" w:ascii="Times New Roman" w:hAnsi="Times New Roman" w:eastAsia="方正仿宋_GBK" w:cs="Times New Roman"/>
          <w:b w:val="0"/>
          <w:bCs w:val="0"/>
          <w:color w:val="auto"/>
          <w:kern w:val="2"/>
          <w:sz w:val="32"/>
          <w:szCs w:val="32"/>
          <w:lang w:val="en-US" w:eastAsia="zh-CN" w:bidi="ar-SA"/>
        </w:rPr>
        <w:t>2026年</w:t>
      </w:r>
      <w:r>
        <w:rPr>
          <w:rFonts w:hint="eastAsia" w:ascii="Times New Roman" w:hAnsi="Times New Roman" w:eastAsia="方正仿宋_GBK" w:cs="Times New Roman"/>
          <w:kern w:val="2"/>
          <w:sz w:val="32"/>
          <w:szCs w:val="32"/>
          <w:lang w:val="en-US" w:eastAsia="zh-CN" w:bidi="ar-SA"/>
        </w:rPr>
        <w:t>10—12月组织参保失能人员申报、评估、公示等工作，确定待遇享受人员清单。</w:t>
      </w:r>
    </w:p>
    <w:p w14:paraId="0066B2FD">
      <w:pPr>
        <w:pStyle w:val="2"/>
        <w:keepNext w:val="0"/>
        <w:keepLines w:val="0"/>
        <w:widowControl/>
        <w:suppressLineNumbers w:val="0"/>
        <w:shd w:val="clear" w:fill="FFFFFF"/>
        <w:spacing w:before="240" w:beforeAutospacing="0" w:after="240" w:afterAutospacing="0"/>
        <w:ind w:left="0" w:right="0"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2027年1月起，城镇职工参保人员正式享受长期护理保险待遇。 同步持续完善管理服务体系，开展运行监测和评估。</w:t>
      </w:r>
    </w:p>
    <w:p w14:paraId="4D989EC7">
      <w:pPr>
        <w:pStyle w:val="2"/>
        <w:keepNext w:val="0"/>
        <w:keepLines w:val="0"/>
        <w:widowControl/>
        <w:suppressLineNumbers w:val="0"/>
        <w:shd w:val="clear" w:fill="FFFFFF"/>
        <w:spacing w:before="240" w:beforeAutospacing="0" w:after="240" w:afterAutospacing="0"/>
        <w:ind w:left="0" w:right="0"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第二阶段（覆盖居民，2027—2029年）</w:t>
      </w:r>
    </w:p>
    <w:p w14:paraId="1F4E80C4">
      <w:pPr>
        <w:pStyle w:val="2"/>
        <w:keepNext w:val="0"/>
        <w:keepLines w:val="0"/>
        <w:widowControl/>
        <w:suppressLineNumbers w:val="0"/>
        <w:shd w:val="clear" w:fill="FFFFFF"/>
        <w:spacing w:before="240" w:beforeAutospacing="0" w:after="240" w:afterAutospacing="0"/>
        <w:ind w:left="0" w:right="0"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2027年9月</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启动城乡居民长期护理保险筹资工作，缴费费率按0.15%执行。</w:t>
      </w:r>
      <w:r>
        <w:rPr>
          <w:rFonts w:hint="eastAsia" w:ascii="Times New Roman" w:hAnsi="Times New Roman" w:eastAsia="方正仿宋_GBK" w:cs="Times New Roman"/>
          <w:b w:val="0"/>
          <w:bCs w:val="0"/>
          <w:color w:val="auto"/>
          <w:kern w:val="2"/>
          <w:sz w:val="32"/>
          <w:szCs w:val="32"/>
          <w:lang w:val="en-US" w:eastAsia="zh-CN" w:bidi="ar-SA"/>
        </w:rPr>
        <w:t>2027年</w:t>
      </w:r>
      <w:r>
        <w:rPr>
          <w:rFonts w:hint="eastAsia" w:ascii="Times New Roman" w:hAnsi="Times New Roman" w:eastAsia="方正仿宋_GBK" w:cs="Times New Roman"/>
          <w:kern w:val="2"/>
          <w:sz w:val="32"/>
          <w:szCs w:val="32"/>
          <w:lang w:val="en-US" w:eastAsia="zh-CN" w:bidi="ar-SA"/>
        </w:rPr>
        <w:t>10—12月组织参保失能人员申报、评估、公示等工作，确定待遇享受人员清单。</w:t>
      </w:r>
    </w:p>
    <w:p w14:paraId="1F0587CA">
      <w:pPr>
        <w:pStyle w:val="2"/>
        <w:keepNext w:val="0"/>
        <w:keepLines w:val="0"/>
        <w:widowControl/>
        <w:suppressLineNumbers w:val="0"/>
        <w:shd w:val="clear" w:fill="FFFFFF"/>
        <w:spacing w:before="240" w:beforeAutospacing="0" w:after="240" w:afterAutospacing="0"/>
        <w:ind w:left="0" w:right="0"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2028年1月</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城乡居民参保人员开始享受长期护理保险待遇。2028年</w:t>
      </w:r>
      <w:r>
        <w:rPr>
          <w:rFonts w:hint="eastAsia" w:ascii="Times New Roman" w:hAnsi="Times New Roman" w:eastAsia="方正仿宋_GBK" w:cs="Times New Roman"/>
          <w:b w:val="0"/>
          <w:bCs w:val="0"/>
          <w:color w:val="auto"/>
          <w:kern w:val="2"/>
          <w:sz w:val="32"/>
          <w:szCs w:val="32"/>
          <w:lang w:val="en-US" w:eastAsia="zh-CN" w:bidi="ar-SA"/>
        </w:rPr>
        <w:t>9月筹资时，</w:t>
      </w:r>
      <w:r>
        <w:rPr>
          <w:rFonts w:hint="default" w:ascii="Times New Roman" w:hAnsi="Times New Roman" w:eastAsia="方正仿宋_GBK" w:cs="Times New Roman"/>
          <w:b w:val="0"/>
          <w:bCs w:val="0"/>
          <w:color w:val="auto"/>
          <w:kern w:val="2"/>
          <w:sz w:val="32"/>
          <w:szCs w:val="32"/>
          <w:lang w:val="en-US" w:eastAsia="zh-CN" w:bidi="ar-SA"/>
        </w:rPr>
        <w:t>城乡居民长期护理保险费率过渡至0.2%。</w:t>
      </w:r>
    </w:p>
    <w:p w14:paraId="1ACA7095">
      <w:pPr>
        <w:pStyle w:val="2"/>
        <w:keepNext w:val="0"/>
        <w:keepLines w:val="0"/>
        <w:widowControl/>
        <w:suppressLineNumbers w:val="0"/>
        <w:shd w:val="clear" w:fill="FFFFFF"/>
        <w:spacing w:before="240" w:beforeAutospacing="0" w:after="240" w:afterAutospacing="0"/>
        <w:ind w:left="0" w:right="0"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2029年</w:t>
      </w:r>
      <w:r>
        <w:rPr>
          <w:rFonts w:hint="eastAsia" w:ascii="Times New Roman" w:hAnsi="Times New Roman" w:eastAsia="方正仿宋_GBK" w:cs="Times New Roman"/>
          <w:b w:val="0"/>
          <w:bCs w:val="0"/>
          <w:color w:val="auto"/>
          <w:kern w:val="2"/>
          <w:sz w:val="32"/>
          <w:szCs w:val="32"/>
          <w:lang w:val="en-US" w:eastAsia="zh-CN" w:bidi="ar-SA"/>
        </w:rPr>
        <w:t>9月，</w:t>
      </w:r>
      <w:r>
        <w:rPr>
          <w:rFonts w:hint="default" w:ascii="Times New Roman" w:hAnsi="Times New Roman" w:eastAsia="方正仿宋_GBK" w:cs="Times New Roman"/>
          <w:b w:val="0"/>
          <w:bCs w:val="0"/>
          <w:color w:val="auto"/>
          <w:kern w:val="2"/>
          <w:sz w:val="32"/>
          <w:szCs w:val="32"/>
          <w:lang w:val="en-US" w:eastAsia="zh-CN" w:bidi="ar-SA"/>
        </w:rPr>
        <w:t> 城乡居民长期护理保险费率过渡至0.3%，达到省级统一标准，实现费率并轨。</w:t>
      </w:r>
    </w:p>
    <w:p w14:paraId="649E268E">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kern w:val="2"/>
          <w:sz w:val="32"/>
          <w:szCs w:val="32"/>
          <w:lang w:val="en-US" w:eastAsia="zh-CN"/>
        </w:rPr>
      </w:pPr>
      <w:r>
        <w:rPr>
          <w:rFonts w:hint="eastAsia" w:ascii="Times New Roman" w:hAnsi="Times New Roman" w:eastAsia="方正黑体_GBK" w:cs="Times New Roman"/>
          <w:b w:val="0"/>
          <w:bCs w:val="0"/>
          <w:color w:val="auto"/>
          <w:kern w:val="2"/>
          <w:sz w:val="32"/>
          <w:szCs w:val="32"/>
          <w:lang w:val="en-US" w:eastAsia="zh-CN"/>
        </w:rPr>
        <w:t>四</w:t>
      </w:r>
      <w:r>
        <w:rPr>
          <w:rFonts w:hint="default" w:ascii="Times New Roman" w:hAnsi="Times New Roman" w:eastAsia="方正黑体_GBK" w:cs="Times New Roman"/>
          <w:b w:val="0"/>
          <w:bCs w:val="0"/>
          <w:color w:val="auto"/>
          <w:kern w:val="2"/>
          <w:sz w:val="32"/>
          <w:szCs w:val="32"/>
          <w:lang w:val="en-US" w:eastAsia="zh-CN"/>
        </w:rPr>
        <w:t>、</w:t>
      </w:r>
      <w:r>
        <w:rPr>
          <w:rFonts w:hint="eastAsia" w:ascii="Times New Roman" w:hAnsi="Times New Roman" w:eastAsia="方正黑体_GBK" w:cs="Times New Roman"/>
          <w:b w:val="0"/>
          <w:bCs w:val="0"/>
          <w:color w:val="auto"/>
          <w:kern w:val="2"/>
          <w:sz w:val="32"/>
          <w:szCs w:val="32"/>
          <w:lang w:val="en-US" w:eastAsia="zh-CN"/>
        </w:rPr>
        <w:t>筹资机制</w:t>
      </w:r>
    </w:p>
    <w:p w14:paraId="6EC8A079">
      <w:pPr>
        <w:keepNext w:val="0"/>
        <w:keepLines w:val="0"/>
        <w:pageBreakBefore w:val="0"/>
        <w:widowControl w:val="0"/>
        <w:numPr>
          <w:ilvl w:val="0"/>
          <w:numId w:val="0"/>
        </w:numPr>
        <w:kinsoku/>
        <w:wordWrap/>
        <w:overflowPunct/>
        <w:topLinePunct w:val="0"/>
        <w:autoSpaceDE/>
        <w:autoSpaceDN/>
        <w:bidi w:val="0"/>
        <w:spacing w:line="554" w:lineRule="exact"/>
        <w:ind w:leftChars="200" w:firstLine="320" w:firstLineChars="100"/>
        <w:jc w:val="both"/>
        <w:textAlignment w:val="auto"/>
        <w:outlineLvl w:val="1"/>
        <w:rPr>
          <w:rFonts w:hint="default" w:ascii="Times New Roman" w:hAnsi="Times New Roman" w:eastAsia="方正楷体_GBK" w:cs="Times New Roman"/>
          <w:b w:val="0"/>
          <w:bCs w:val="0"/>
          <w:i w:val="0"/>
          <w:iCs w:val="0"/>
          <w:color w:val="auto"/>
          <w:spacing w:val="0"/>
          <w:sz w:val="32"/>
          <w:szCs w:val="32"/>
          <w:shd w:val="clear" w:fill="FFFFFF"/>
          <w:lang w:val="en-US" w:eastAsia="zh-CN"/>
        </w:rPr>
      </w:pPr>
      <w:r>
        <w:rPr>
          <w:rFonts w:hint="eastAsia" w:ascii="Times New Roman" w:hAnsi="Times New Roman" w:eastAsia="方正楷体_GBK" w:cs="Times New Roman"/>
          <w:b w:val="0"/>
          <w:bCs w:val="0"/>
          <w:i w:val="0"/>
          <w:iCs w:val="0"/>
          <w:color w:val="auto"/>
          <w:spacing w:val="0"/>
          <w:sz w:val="32"/>
          <w:szCs w:val="32"/>
          <w:shd w:val="clear" w:fill="FFFFFF"/>
          <w:lang w:val="en-US" w:eastAsia="zh-CN"/>
        </w:rPr>
        <w:t>（一）参保对象</w:t>
      </w:r>
    </w:p>
    <w:p w14:paraId="48B39EE3">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0" w:firstLineChars="200"/>
        <w:jc w:val="both"/>
        <w:textAlignment w:val="auto"/>
        <w:outlineLvl w:val="0"/>
        <w:rPr>
          <w:rFonts w:hint="eastAsia" w:ascii="方正仿宋_GBK" w:hAnsi="方正仿宋_GBK" w:eastAsia="方正仿宋_GBK" w:cs="方正仿宋_GBK"/>
          <w:b w:val="0"/>
          <w:bCs w:val="0"/>
          <w:color w:val="auto"/>
          <w:kern w:val="2"/>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rPr>
        <w:t>用人单位（包括企业、事业单位、机关、社会组织）以及单位职工、退休人员、灵活就业人员和未就业城乡居民等按照属地管理原则，在参加基本医疗保险时，同步参加长期护理保险。</w:t>
      </w:r>
    </w:p>
    <w:p w14:paraId="354B66A5">
      <w:pPr>
        <w:keepNext w:val="0"/>
        <w:keepLines w:val="0"/>
        <w:pageBreakBefore w:val="0"/>
        <w:widowControl w:val="0"/>
        <w:numPr>
          <w:ilvl w:val="0"/>
          <w:numId w:val="0"/>
        </w:numPr>
        <w:kinsoku/>
        <w:wordWrap/>
        <w:overflowPunct/>
        <w:topLinePunct w:val="0"/>
        <w:autoSpaceDE/>
        <w:autoSpaceDN/>
        <w:bidi w:val="0"/>
        <w:spacing w:line="554" w:lineRule="exact"/>
        <w:ind w:leftChars="200" w:firstLine="320" w:firstLineChars="100"/>
        <w:jc w:val="both"/>
        <w:textAlignment w:val="auto"/>
        <w:outlineLvl w:val="1"/>
        <w:rPr>
          <w:rFonts w:hint="default" w:ascii="Times New Roman" w:hAnsi="Times New Roman" w:eastAsia="方正楷体_GBK" w:cs="Times New Roman"/>
          <w:b w:val="0"/>
          <w:bCs w:val="0"/>
          <w:i w:val="0"/>
          <w:iCs w:val="0"/>
          <w:color w:val="auto"/>
          <w:spacing w:val="0"/>
          <w:sz w:val="32"/>
          <w:szCs w:val="32"/>
          <w:shd w:val="clear" w:fill="FFFFFF"/>
          <w:lang w:val="en-US" w:eastAsia="zh-CN"/>
        </w:rPr>
      </w:pPr>
      <w:r>
        <w:rPr>
          <w:rFonts w:hint="eastAsia" w:ascii="Times New Roman" w:hAnsi="Times New Roman" w:eastAsia="方正楷体_GBK" w:cs="Times New Roman"/>
          <w:b w:val="0"/>
          <w:bCs w:val="0"/>
          <w:i w:val="0"/>
          <w:iCs w:val="0"/>
          <w:color w:val="auto"/>
          <w:spacing w:val="0"/>
          <w:sz w:val="32"/>
          <w:szCs w:val="32"/>
          <w:shd w:val="clear" w:fill="FFFFFF"/>
          <w:lang w:val="en-US" w:eastAsia="zh-CN"/>
        </w:rPr>
        <w:t>（二）筹资标准</w:t>
      </w:r>
    </w:p>
    <w:p w14:paraId="76A89943">
      <w:pPr>
        <w:keepNext w:val="0"/>
        <w:keepLines w:val="0"/>
        <w:pageBreakBefore w:val="0"/>
        <w:widowControl w:val="0"/>
        <w:kinsoku/>
        <w:wordWrap/>
        <w:overflowPunct/>
        <w:topLinePunct w:val="0"/>
        <w:autoSpaceDE/>
        <w:autoSpaceDN/>
        <w:bidi w:val="0"/>
        <w:spacing w:line="554" w:lineRule="exact"/>
        <w:ind w:leftChars="0" w:firstLine="640" w:firstLineChars="200"/>
        <w:jc w:val="both"/>
        <w:textAlignment w:val="auto"/>
        <w:outlineLvl w:val="1"/>
        <w:rPr>
          <w:rFonts w:hint="eastAsia"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1.</w:t>
      </w:r>
      <w:r>
        <w:rPr>
          <w:rFonts w:hint="default" w:ascii="Times New Roman" w:hAnsi="Times New Roman" w:eastAsia="方正仿宋_GBK" w:cs="Times New Roman"/>
          <w:b w:val="0"/>
          <w:bCs w:val="0"/>
          <w:color w:val="auto"/>
          <w:sz w:val="32"/>
          <w:szCs w:val="32"/>
          <w:u w:val="none"/>
        </w:rPr>
        <w:t>单位</w:t>
      </w:r>
      <w:r>
        <w:rPr>
          <w:rFonts w:hint="default" w:ascii="Times New Roman" w:hAnsi="Times New Roman" w:eastAsia="方正仿宋_GBK" w:cs="Times New Roman"/>
          <w:b w:val="0"/>
          <w:bCs w:val="0"/>
          <w:color w:val="auto"/>
          <w:sz w:val="32"/>
          <w:szCs w:val="32"/>
          <w:u w:val="none"/>
          <w:lang w:eastAsia="zh-CN"/>
        </w:rPr>
        <w:t>在职</w:t>
      </w:r>
      <w:r>
        <w:rPr>
          <w:rFonts w:hint="default" w:ascii="Times New Roman" w:hAnsi="Times New Roman" w:eastAsia="方正仿宋_GBK" w:cs="Times New Roman"/>
          <w:b w:val="0"/>
          <w:bCs w:val="0"/>
          <w:color w:val="auto"/>
          <w:sz w:val="32"/>
          <w:szCs w:val="32"/>
          <w:u w:val="none"/>
        </w:rPr>
        <w:t>职工</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kern w:val="2"/>
          <w:sz w:val="32"/>
          <w:szCs w:val="32"/>
          <w:lang w:val="en-US" w:eastAsia="zh-CN" w:bidi="ar-SA"/>
        </w:rPr>
        <w:t>单位职工参加长期护理保险由用人单位和个人共同缴费，缴费费率为0.3%，用人单位和个人各为0.15%，缴费基数与职工基本医疗保险一致。</w:t>
      </w:r>
      <w:r>
        <w:rPr>
          <w:rFonts w:hint="default" w:ascii="Times New Roman" w:hAnsi="Times New Roman" w:eastAsia="方正仿宋_GBK" w:cs="Times New Roman"/>
          <w:i w:val="0"/>
          <w:iCs w:val="0"/>
          <w:color w:val="auto"/>
          <w:spacing w:val="0"/>
          <w:sz w:val="32"/>
          <w:szCs w:val="32"/>
          <w:shd w:val="clear" w:fill="FFFFFF"/>
        </w:rPr>
        <w:t>根据</w:t>
      </w:r>
      <w:r>
        <w:rPr>
          <w:rFonts w:hint="eastAsia" w:ascii="Times New Roman" w:hAnsi="Times New Roman" w:eastAsia="方正仿宋_GBK" w:cs="Times New Roman"/>
          <w:i w:val="0"/>
          <w:iCs w:val="0"/>
          <w:color w:val="auto"/>
          <w:spacing w:val="0"/>
          <w:sz w:val="32"/>
          <w:szCs w:val="32"/>
          <w:shd w:val="clear" w:fill="FFFFFF"/>
          <w:lang w:eastAsia="zh-CN"/>
        </w:rPr>
        <w:t>玉溪市</w:t>
      </w:r>
      <w:r>
        <w:rPr>
          <w:rFonts w:hint="default" w:ascii="Times New Roman" w:hAnsi="Times New Roman" w:eastAsia="方正仿宋_GBK" w:cs="Times New Roman"/>
          <w:i w:val="0"/>
          <w:iCs w:val="0"/>
          <w:color w:val="auto"/>
          <w:spacing w:val="0"/>
          <w:sz w:val="32"/>
          <w:szCs w:val="32"/>
          <w:shd w:val="clear" w:fill="FFFFFF"/>
        </w:rPr>
        <w:t>职工基本医疗保险统</w:t>
      </w:r>
      <w:r>
        <w:rPr>
          <w:rFonts w:hint="default" w:ascii="Times New Roman" w:hAnsi="Times New Roman" w:eastAsia="方正仿宋_GBK" w:cs="Times New Roman"/>
          <w:b w:val="0"/>
          <w:bCs w:val="0"/>
          <w:color w:val="auto"/>
          <w:kern w:val="2"/>
          <w:sz w:val="32"/>
          <w:szCs w:val="32"/>
          <w:lang w:val="en-US" w:eastAsia="zh-CN" w:bidi="ar-SA"/>
        </w:rPr>
        <w:t>筹基金中长期可持续情况，职工基本医疗保险单位费率</w:t>
      </w:r>
      <w:r>
        <w:rPr>
          <w:rFonts w:hint="eastAsia" w:ascii="Times New Roman" w:hAnsi="Times New Roman" w:eastAsia="方正仿宋_GBK" w:cs="Times New Roman"/>
          <w:b w:val="0"/>
          <w:bCs w:val="0"/>
          <w:color w:val="auto"/>
          <w:kern w:val="2"/>
          <w:sz w:val="32"/>
          <w:szCs w:val="32"/>
          <w:lang w:val="en-US" w:eastAsia="zh-CN" w:bidi="ar-SA"/>
        </w:rPr>
        <w:t>由现行8%调整为7.85%，调减的</w:t>
      </w:r>
      <w:r>
        <w:rPr>
          <w:rFonts w:hint="default" w:ascii="Times New Roman" w:hAnsi="Times New Roman" w:eastAsia="方正仿宋_GBK" w:cs="Times New Roman"/>
          <w:b w:val="0"/>
          <w:bCs w:val="0"/>
          <w:color w:val="auto"/>
          <w:kern w:val="2"/>
          <w:sz w:val="32"/>
          <w:szCs w:val="32"/>
          <w:lang w:val="en-US" w:eastAsia="zh-CN" w:bidi="ar-SA"/>
        </w:rPr>
        <w:t>0.15%用作长期护理保险筹资中的单位费率</w:t>
      </w:r>
      <w:r>
        <w:rPr>
          <w:rFonts w:hint="eastAsia" w:ascii="Times New Roman" w:hAnsi="Times New Roman" w:eastAsia="方正仿宋_GBK" w:cs="Times New Roman"/>
          <w:b w:val="0"/>
          <w:bCs w:val="0"/>
          <w:color w:val="auto"/>
          <w:kern w:val="2"/>
          <w:sz w:val="32"/>
          <w:szCs w:val="32"/>
          <w:lang w:val="en-US" w:eastAsia="zh-CN" w:bidi="ar-SA"/>
        </w:rPr>
        <w:t>，不增加用人单位负担。</w:t>
      </w:r>
    </w:p>
    <w:p w14:paraId="40223399">
      <w:pPr>
        <w:keepNext w:val="0"/>
        <w:keepLines w:val="0"/>
        <w:pageBreakBefore w:val="0"/>
        <w:widowControl w:val="0"/>
        <w:kinsoku/>
        <w:wordWrap/>
        <w:overflowPunct/>
        <w:topLinePunct w:val="0"/>
        <w:autoSpaceDE/>
        <w:autoSpaceDN/>
        <w:bidi w:val="0"/>
        <w:spacing w:line="554" w:lineRule="exact"/>
        <w:ind w:leftChars="0" w:firstLine="640" w:firstLineChars="200"/>
        <w:jc w:val="both"/>
        <w:textAlignment w:val="auto"/>
        <w:outlineLvl w:val="1"/>
        <w:rPr>
          <w:rFonts w:hint="default" w:ascii="Times New Roman" w:hAnsi="Times New Roman" w:eastAsia="方正仿宋_GBK" w:cs="Times New Roman"/>
          <w:i w:val="0"/>
          <w:iC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val="0"/>
          <w:color w:val="auto"/>
          <w:sz w:val="32"/>
          <w:szCs w:val="32"/>
          <w:u w:val="none"/>
          <w:lang w:val="en-US" w:eastAsia="zh-CN"/>
        </w:rPr>
        <w:t>2.退休人员。</w:t>
      </w:r>
      <w:r>
        <w:rPr>
          <w:rFonts w:hint="default" w:ascii="Times New Roman" w:hAnsi="Times New Roman" w:eastAsia="方正仿宋_GBK" w:cs="Times New Roman"/>
          <w:i w:val="0"/>
          <w:iCs w:val="0"/>
          <w:color w:val="auto"/>
          <w:spacing w:val="0"/>
          <w:sz w:val="32"/>
          <w:szCs w:val="32"/>
          <w:shd w:val="clear" w:fill="FFFFFF"/>
        </w:rPr>
        <w:t>退休人员</w:t>
      </w:r>
      <w:r>
        <w:rPr>
          <w:rFonts w:hint="default" w:ascii="Times New Roman" w:hAnsi="Times New Roman" w:eastAsia="方正仿宋_GBK" w:cs="Times New Roman"/>
          <w:b w:val="0"/>
          <w:bCs w:val="0"/>
          <w:color w:val="auto"/>
          <w:kern w:val="2"/>
          <w:sz w:val="32"/>
          <w:szCs w:val="32"/>
          <w:lang w:val="en-US" w:eastAsia="zh-CN" w:bidi="ar-SA"/>
        </w:rPr>
        <w:t>参加长期护理保险</w:t>
      </w:r>
      <w:r>
        <w:rPr>
          <w:rFonts w:hint="default" w:ascii="Times New Roman" w:hAnsi="Times New Roman" w:eastAsia="方正仿宋_GBK" w:cs="Times New Roman"/>
          <w:i w:val="0"/>
          <w:iCs w:val="0"/>
          <w:color w:val="auto"/>
          <w:spacing w:val="0"/>
          <w:sz w:val="32"/>
          <w:szCs w:val="32"/>
          <w:shd w:val="clear" w:fill="FFFFFF"/>
          <w:lang w:val="en-US" w:eastAsia="zh-CN"/>
        </w:rPr>
        <w:t>由</w:t>
      </w:r>
      <w:r>
        <w:rPr>
          <w:rFonts w:hint="default" w:ascii="Times New Roman" w:hAnsi="Times New Roman" w:eastAsia="方正仿宋_GBK" w:cs="Times New Roman"/>
          <w:i w:val="0"/>
          <w:iCs w:val="0"/>
          <w:color w:val="auto"/>
          <w:spacing w:val="0"/>
          <w:sz w:val="32"/>
          <w:szCs w:val="32"/>
          <w:shd w:val="clear" w:fill="FFFFFF"/>
        </w:rPr>
        <w:t>个人缴费</w:t>
      </w:r>
      <w:r>
        <w:rPr>
          <w:rFonts w:hint="default" w:ascii="Times New Roman" w:hAnsi="Times New Roman" w:eastAsia="方正仿宋_GBK" w:cs="Times New Roman"/>
          <w:i w:val="0"/>
          <w:iCs w:val="0"/>
          <w:color w:val="auto"/>
          <w:spacing w:val="0"/>
          <w:sz w:val="32"/>
          <w:szCs w:val="32"/>
          <w:shd w:val="clear" w:fill="FFFFFF"/>
          <w:lang w:eastAsia="zh-CN"/>
        </w:rPr>
        <w:t>，</w:t>
      </w:r>
      <w:r>
        <w:rPr>
          <w:rFonts w:hint="default" w:ascii="Times New Roman" w:hAnsi="Times New Roman" w:eastAsia="方正仿宋_GBK" w:cs="Times New Roman"/>
          <w:i w:val="0"/>
          <w:iCs w:val="0"/>
          <w:color w:val="auto"/>
          <w:spacing w:val="0"/>
          <w:sz w:val="32"/>
          <w:szCs w:val="32"/>
          <w:shd w:val="clear" w:fill="FFFFFF"/>
        </w:rPr>
        <w:t>原用人单位不缴费</w:t>
      </w:r>
      <w:r>
        <w:rPr>
          <w:rFonts w:hint="default" w:ascii="Times New Roman" w:hAnsi="Times New Roman" w:eastAsia="方正仿宋_GBK" w:cs="Times New Roman"/>
          <w:i w:val="0"/>
          <w:iCs w:val="0"/>
          <w:color w:val="auto"/>
          <w:spacing w:val="0"/>
          <w:sz w:val="32"/>
          <w:szCs w:val="32"/>
          <w:shd w:val="clear" w:fill="FFFFFF"/>
          <w:lang w:eastAsia="zh-CN"/>
        </w:rPr>
        <w:t>，</w:t>
      </w:r>
      <w:r>
        <w:rPr>
          <w:rFonts w:hint="default" w:ascii="Times New Roman" w:hAnsi="Times New Roman" w:eastAsia="方正仿宋_GBK" w:cs="Times New Roman"/>
          <w:i w:val="0"/>
          <w:iCs w:val="0"/>
          <w:color w:val="auto"/>
          <w:spacing w:val="0"/>
          <w:sz w:val="32"/>
          <w:szCs w:val="32"/>
          <w:shd w:val="clear" w:fill="FFFFFF"/>
          <w:lang w:val="en-US" w:eastAsia="zh-CN"/>
        </w:rPr>
        <w:t>缴费</w:t>
      </w:r>
      <w:r>
        <w:rPr>
          <w:rFonts w:hint="default" w:ascii="Times New Roman" w:hAnsi="Times New Roman" w:eastAsia="方正仿宋_GBK" w:cs="Times New Roman"/>
          <w:i w:val="0"/>
          <w:iCs w:val="0"/>
          <w:color w:val="auto"/>
          <w:spacing w:val="0"/>
          <w:sz w:val="32"/>
          <w:szCs w:val="32"/>
          <w:shd w:val="clear" w:fill="FFFFFF"/>
        </w:rPr>
        <w:t>费率为0.15%，</w:t>
      </w:r>
      <w:r>
        <w:rPr>
          <w:rFonts w:hint="default" w:ascii="Times New Roman" w:hAnsi="Times New Roman" w:eastAsia="方正仿宋_GBK" w:cs="Times New Roman"/>
          <w:b w:val="0"/>
          <w:bCs w:val="0"/>
          <w:color w:val="auto"/>
          <w:spacing w:val="0"/>
          <w:w w:val="100"/>
          <w:sz w:val="32"/>
          <w:szCs w:val="32"/>
        </w:rPr>
        <w:t>缴费基数为上年度本人基本养老金</w:t>
      </w:r>
      <w:r>
        <w:rPr>
          <w:rFonts w:hint="default" w:ascii="Times New Roman" w:hAnsi="Times New Roman" w:eastAsia="方正仿宋_GBK" w:cs="Times New Roman"/>
          <w:i w:val="0"/>
          <w:color w:val="auto"/>
          <w:spacing w:val="0"/>
          <w:sz w:val="32"/>
          <w:shd w:val="clear" w:fill="FFFFFF"/>
        </w:rPr>
        <w:t>。</w:t>
      </w:r>
    </w:p>
    <w:p w14:paraId="79ED1CB2">
      <w:pPr>
        <w:pStyle w:val="6"/>
        <w:keepNext w:val="0"/>
        <w:keepLines w:val="0"/>
        <w:pageBreakBefore w:val="0"/>
        <w:widowControl w:val="0"/>
        <w:shd w:val="clear" w:color="auto" w:fill="auto"/>
        <w:kinsoku/>
        <w:wordWrap/>
        <w:overflowPunct/>
        <w:topLinePunct w:val="0"/>
        <w:autoSpaceDE/>
        <w:autoSpaceDN/>
        <w:bidi w:val="0"/>
        <w:spacing w:before="0" w:after="0" w:line="554" w:lineRule="exact"/>
        <w:ind w:left="0" w:leftChars="0" w:right="0" w:firstLine="640" w:firstLineChars="200"/>
        <w:jc w:val="both"/>
        <w:textAlignment w:val="auto"/>
        <w:rPr>
          <w:rFonts w:hint="eastAsia" w:ascii="Times New Roman" w:hAnsi="Times New Roman" w:eastAsia="方正仿宋_GBK" w:cs="Times New Roman"/>
          <w:b w:val="0"/>
          <w:bCs w:val="0"/>
          <w:color w:val="auto"/>
          <w:spacing w:val="0"/>
          <w:w w:val="100"/>
          <w:sz w:val="32"/>
          <w:szCs w:val="32"/>
          <w:lang w:val="en-US" w:eastAsia="zh-CN"/>
        </w:rPr>
      </w:pPr>
      <w:r>
        <w:rPr>
          <w:rFonts w:hint="default" w:ascii="Times New Roman" w:hAnsi="Times New Roman" w:eastAsia="方正仿宋_GBK" w:cs="Times New Roman"/>
          <w:b w:val="0"/>
          <w:bCs w:val="0"/>
          <w:color w:val="auto"/>
          <w:sz w:val="32"/>
          <w:szCs w:val="32"/>
          <w:u w:val="none"/>
          <w:lang w:val="en-US" w:eastAsia="zh-CN"/>
        </w:rPr>
        <w:t>3.灵活就业人员。</w:t>
      </w:r>
      <w:bookmarkStart w:id="0" w:name="OLE_LINK2"/>
      <w:r>
        <w:rPr>
          <w:rFonts w:hint="default" w:ascii="Times New Roman" w:hAnsi="Times New Roman" w:eastAsia="方正仿宋_GBK" w:cs="Times New Roman"/>
          <w:b w:val="0"/>
          <w:bCs w:val="0"/>
          <w:color w:val="auto"/>
          <w:spacing w:val="0"/>
          <w:w w:val="100"/>
          <w:sz w:val="32"/>
          <w:szCs w:val="32"/>
        </w:rPr>
        <w:t>参加职</w:t>
      </w:r>
      <w:r>
        <w:rPr>
          <w:rFonts w:hint="default" w:ascii="Times New Roman" w:hAnsi="Times New Roman" w:eastAsia="方正仿宋_GBK" w:cs="Times New Roman"/>
          <w:b w:val="0"/>
          <w:bCs w:val="0"/>
          <w:color w:val="auto"/>
          <w:spacing w:val="0"/>
          <w:w w:val="100"/>
          <w:sz w:val="32"/>
          <w:szCs w:val="32"/>
          <w:lang w:val="en-US" w:eastAsia="zh-CN"/>
        </w:rPr>
        <w:t>工</w:t>
      </w:r>
      <w:r>
        <w:rPr>
          <w:rFonts w:hint="eastAsia" w:ascii="Times New Roman" w:hAnsi="Times New Roman" w:eastAsia="方正仿宋_GBK" w:cs="Times New Roman"/>
          <w:b w:val="0"/>
          <w:bCs w:val="0"/>
          <w:color w:val="auto"/>
          <w:spacing w:val="0"/>
          <w:w w:val="100"/>
          <w:sz w:val="32"/>
          <w:szCs w:val="32"/>
          <w:lang w:val="en-US" w:eastAsia="zh-CN"/>
        </w:rPr>
        <w:t>医保</w:t>
      </w:r>
      <w:r>
        <w:rPr>
          <w:rFonts w:hint="default" w:ascii="Times New Roman" w:hAnsi="Times New Roman" w:eastAsia="方正仿宋_GBK" w:cs="Times New Roman"/>
          <w:b w:val="0"/>
          <w:bCs w:val="0"/>
          <w:color w:val="auto"/>
          <w:spacing w:val="0"/>
          <w:w w:val="100"/>
          <w:sz w:val="32"/>
          <w:szCs w:val="32"/>
          <w:lang w:val="en-US" w:eastAsia="zh-CN"/>
        </w:rPr>
        <w:t>的灵活就业人员缴费基数为全省上年度社会平均工资的</w:t>
      </w:r>
      <w:r>
        <w:rPr>
          <w:rFonts w:hint="eastAsia" w:ascii="Times New Roman" w:hAnsi="Times New Roman" w:eastAsia="方正仿宋_GBK" w:cs="Times New Roman"/>
          <w:b w:val="0"/>
          <w:bCs w:val="0"/>
          <w:color w:val="auto"/>
          <w:spacing w:val="0"/>
          <w:w w:val="100"/>
          <w:sz w:val="32"/>
          <w:szCs w:val="32"/>
          <w:lang w:val="en-US" w:eastAsia="zh-CN"/>
        </w:rPr>
        <w:t>60</w:t>
      </w:r>
      <w:r>
        <w:rPr>
          <w:rFonts w:hint="default" w:ascii="Times New Roman" w:hAnsi="Times New Roman" w:eastAsia="方正仿宋_GBK" w:cs="Times New Roman"/>
          <w:b w:val="0"/>
          <w:bCs w:val="0"/>
          <w:color w:val="auto"/>
          <w:spacing w:val="0"/>
          <w:w w:val="100"/>
          <w:sz w:val="32"/>
          <w:szCs w:val="32"/>
          <w:lang w:val="en-US" w:eastAsia="zh-CN"/>
        </w:rPr>
        <w:t>％</w:t>
      </w:r>
      <w:r>
        <w:rPr>
          <w:rFonts w:hint="eastAsia" w:ascii="Times New Roman" w:hAnsi="Times New Roman" w:eastAsia="方正仿宋_GBK" w:cs="Times New Roman"/>
          <w:b w:val="0"/>
          <w:bCs w:val="0"/>
          <w:color w:val="auto"/>
          <w:spacing w:val="0"/>
          <w:w w:val="100"/>
          <w:sz w:val="32"/>
          <w:szCs w:val="32"/>
          <w:lang w:val="en-US" w:eastAsia="zh-CN"/>
        </w:rPr>
        <w:t>，</w:t>
      </w:r>
      <w:r>
        <w:rPr>
          <w:rFonts w:hint="default" w:ascii="Times New Roman" w:hAnsi="Times New Roman" w:eastAsia="方正仿宋_GBK" w:cs="Times New Roman"/>
          <w:b w:val="0"/>
          <w:bCs w:val="0"/>
          <w:color w:val="auto"/>
          <w:spacing w:val="0"/>
          <w:w w:val="100"/>
          <w:sz w:val="32"/>
          <w:szCs w:val="32"/>
          <w:lang w:val="en-US" w:eastAsia="zh-CN"/>
        </w:rPr>
        <w:t>费率为0.3%，随同职工</w:t>
      </w:r>
      <w:r>
        <w:rPr>
          <w:rFonts w:hint="eastAsia" w:ascii="Times New Roman" w:hAnsi="Times New Roman" w:eastAsia="方正仿宋_GBK" w:cs="Times New Roman"/>
          <w:b w:val="0"/>
          <w:bCs w:val="0"/>
          <w:color w:val="auto"/>
          <w:spacing w:val="0"/>
          <w:w w:val="100"/>
          <w:sz w:val="32"/>
          <w:szCs w:val="32"/>
          <w:lang w:val="en-US" w:eastAsia="zh-CN"/>
        </w:rPr>
        <w:t>医保</w:t>
      </w:r>
      <w:r>
        <w:rPr>
          <w:rFonts w:hint="default" w:ascii="Times New Roman" w:hAnsi="Times New Roman" w:eastAsia="方正仿宋_GBK" w:cs="Times New Roman"/>
          <w:b w:val="0"/>
          <w:bCs w:val="0"/>
          <w:color w:val="auto"/>
          <w:spacing w:val="0"/>
          <w:w w:val="100"/>
          <w:sz w:val="32"/>
          <w:szCs w:val="32"/>
          <w:lang w:val="en-US" w:eastAsia="zh-CN"/>
        </w:rPr>
        <w:t>参保缴费。</w:t>
      </w:r>
      <w:r>
        <w:rPr>
          <w:rFonts w:hint="eastAsia" w:ascii="Times New Roman" w:hAnsi="Times New Roman" w:eastAsia="方正仿宋_GBK" w:cs="Times New Roman"/>
          <w:b w:val="0"/>
          <w:bCs w:val="0"/>
          <w:color w:val="auto"/>
          <w:spacing w:val="0"/>
          <w:w w:val="100"/>
          <w:sz w:val="32"/>
          <w:szCs w:val="32"/>
          <w:lang w:val="en-US" w:eastAsia="zh-CN"/>
        </w:rPr>
        <w:t>灵活就业人员参加</w:t>
      </w:r>
      <w:r>
        <w:rPr>
          <w:rFonts w:hint="default" w:ascii="Times New Roman" w:hAnsi="Times New Roman" w:eastAsia="方正仿宋_GBK" w:cs="Times New Roman"/>
          <w:b w:val="0"/>
          <w:bCs w:val="0"/>
          <w:color w:val="auto"/>
          <w:spacing w:val="0"/>
          <w:w w:val="100"/>
          <w:sz w:val="32"/>
          <w:szCs w:val="32"/>
          <w:lang w:val="en-US" w:eastAsia="zh-CN"/>
        </w:rPr>
        <w:t>职工</w:t>
      </w:r>
      <w:r>
        <w:rPr>
          <w:rFonts w:hint="eastAsia" w:ascii="Times New Roman" w:hAnsi="Times New Roman" w:eastAsia="方正仿宋_GBK" w:cs="Times New Roman"/>
          <w:b w:val="0"/>
          <w:bCs w:val="0"/>
          <w:color w:val="auto"/>
          <w:spacing w:val="0"/>
          <w:w w:val="100"/>
          <w:sz w:val="32"/>
          <w:szCs w:val="32"/>
          <w:lang w:val="en-US" w:eastAsia="zh-CN"/>
        </w:rPr>
        <w:t>医保</w:t>
      </w:r>
      <w:r>
        <w:rPr>
          <w:rFonts w:hint="default" w:ascii="Times New Roman" w:hAnsi="Times New Roman" w:eastAsia="方正仿宋_GBK" w:cs="Times New Roman"/>
          <w:b w:val="0"/>
          <w:bCs w:val="0"/>
          <w:color w:val="auto"/>
          <w:spacing w:val="0"/>
          <w:w w:val="100"/>
          <w:sz w:val="32"/>
          <w:szCs w:val="32"/>
          <w:lang w:val="en-US" w:eastAsia="zh-CN"/>
        </w:rPr>
        <w:t>费率</w:t>
      </w:r>
      <w:r>
        <w:rPr>
          <w:rFonts w:hint="eastAsia" w:ascii="Times New Roman" w:hAnsi="Times New Roman" w:eastAsia="方正仿宋_GBK" w:cs="Times New Roman"/>
          <w:b w:val="0"/>
          <w:bCs w:val="0"/>
          <w:color w:val="auto"/>
          <w:spacing w:val="0"/>
          <w:w w:val="100"/>
          <w:sz w:val="32"/>
          <w:szCs w:val="32"/>
          <w:lang w:val="en-US" w:eastAsia="zh-CN"/>
        </w:rPr>
        <w:t>由现行10%调整为9.85%，</w:t>
      </w:r>
      <w:r>
        <w:rPr>
          <w:rFonts w:hint="default" w:ascii="Times New Roman" w:hAnsi="Times New Roman" w:eastAsia="方正仿宋_GBK" w:cs="Times New Roman"/>
          <w:b w:val="0"/>
          <w:bCs w:val="0"/>
          <w:color w:val="auto"/>
          <w:spacing w:val="0"/>
          <w:w w:val="100"/>
          <w:sz w:val="32"/>
          <w:szCs w:val="32"/>
          <w:lang w:val="en-US" w:eastAsia="zh-CN"/>
        </w:rPr>
        <w:t>调</w:t>
      </w:r>
      <w:r>
        <w:rPr>
          <w:rFonts w:hint="eastAsia" w:ascii="Times New Roman" w:hAnsi="Times New Roman" w:eastAsia="方正仿宋_GBK" w:cs="Times New Roman"/>
          <w:b w:val="0"/>
          <w:bCs w:val="0"/>
          <w:color w:val="auto"/>
          <w:spacing w:val="0"/>
          <w:w w:val="100"/>
          <w:sz w:val="32"/>
          <w:szCs w:val="32"/>
          <w:lang w:val="en-US" w:eastAsia="zh-CN"/>
        </w:rPr>
        <w:t>减的</w:t>
      </w:r>
      <w:r>
        <w:rPr>
          <w:rFonts w:hint="default" w:ascii="Times New Roman" w:hAnsi="Times New Roman" w:eastAsia="方正仿宋_GBK" w:cs="Times New Roman"/>
          <w:b w:val="0"/>
          <w:bCs w:val="0"/>
          <w:color w:val="auto"/>
          <w:spacing w:val="0"/>
          <w:w w:val="100"/>
          <w:sz w:val="32"/>
          <w:szCs w:val="32"/>
          <w:lang w:val="en-US" w:eastAsia="zh-CN"/>
        </w:rPr>
        <w:t>0.15%用作</w:t>
      </w:r>
      <w:r>
        <w:rPr>
          <w:rFonts w:hint="eastAsia" w:ascii="Times New Roman" w:hAnsi="Times New Roman" w:eastAsia="方正仿宋_GBK" w:cs="Times New Roman"/>
          <w:b w:val="0"/>
          <w:bCs w:val="0"/>
          <w:color w:val="auto"/>
          <w:spacing w:val="0"/>
          <w:w w:val="100"/>
          <w:sz w:val="32"/>
          <w:szCs w:val="32"/>
          <w:lang w:val="en-US" w:eastAsia="zh-CN"/>
        </w:rPr>
        <w:t>参加</w:t>
      </w:r>
      <w:r>
        <w:rPr>
          <w:rFonts w:hint="default" w:ascii="Times New Roman" w:hAnsi="Times New Roman" w:eastAsia="方正仿宋_GBK" w:cs="Times New Roman"/>
          <w:b w:val="0"/>
          <w:bCs w:val="0"/>
          <w:color w:val="auto"/>
          <w:spacing w:val="0"/>
          <w:w w:val="100"/>
          <w:sz w:val="32"/>
          <w:szCs w:val="32"/>
          <w:lang w:val="en-US" w:eastAsia="zh-CN"/>
        </w:rPr>
        <w:t>长期护理保险的部分</w:t>
      </w:r>
      <w:r>
        <w:rPr>
          <w:rFonts w:hint="eastAsia" w:ascii="Times New Roman" w:hAnsi="Times New Roman" w:eastAsia="方正仿宋_GBK" w:cs="Times New Roman"/>
          <w:b w:val="0"/>
          <w:bCs w:val="0"/>
          <w:color w:val="auto"/>
          <w:spacing w:val="0"/>
          <w:w w:val="100"/>
          <w:sz w:val="32"/>
          <w:szCs w:val="32"/>
          <w:lang w:val="en-US" w:eastAsia="zh-CN"/>
        </w:rPr>
        <w:t>缴费</w:t>
      </w:r>
      <w:r>
        <w:rPr>
          <w:rFonts w:hint="default" w:ascii="Times New Roman" w:hAnsi="Times New Roman" w:eastAsia="方正仿宋_GBK" w:cs="Times New Roman"/>
          <w:b w:val="0"/>
          <w:bCs w:val="0"/>
          <w:color w:val="auto"/>
          <w:spacing w:val="0"/>
          <w:w w:val="100"/>
          <w:sz w:val="32"/>
          <w:szCs w:val="32"/>
          <w:lang w:val="en-US" w:eastAsia="zh-CN"/>
        </w:rPr>
        <w:t>费率</w:t>
      </w:r>
      <w:r>
        <w:rPr>
          <w:rFonts w:hint="eastAsia" w:ascii="Times New Roman" w:hAnsi="Times New Roman" w:eastAsia="方正仿宋_GBK" w:cs="Times New Roman"/>
          <w:b w:val="0"/>
          <w:bCs w:val="0"/>
          <w:color w:val="auto"/>
          <w:spacing w:val="0"/>
          <w:w w:val="100"/>
          <w:sz w:val="32"/>
          <w:szCs w:val="32"/>
          <w:lang w:val="en-US" w:eastAsia="zh-CN"/>
        </w:rPr>
        <w:t>，减轻灵活就业人员缴费负担</w:t>
      </w:r>
      <w:r>
        <w:rPr>
          <w:rFonts w:hint="default" w:ascii="Times New Roman" w:hAnsi="Times New Roman" w:eastAsia="方正仿宋_GBK" w:cs="Times New Roman"/>
          <w:b w:val="0"/>
          <w:bCs w:val="0"/>
          <w:color w:val="auto"/>
          <w:spacing w:val="0"/>
          <w:w w:val="100"/>
          <w:sz w:val="32"/>
          <w:szCs w:val="32"/>
          <w:lang w:val="en-US" w:eastAsia="zh-CN"/>
        </w:rPr>
        <w:t>。</w:t>
      </w:r>
    </w:p>
    <w:bookmarkEnd w:id="0"/>
    <w:p w14:paraId="4B9D0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4.未就业城乡居民。未就业城乡居民</w:t>
      </w:r>
      <w:r>
        <w:rPr>
          <w:rFonts w:hint="default" w:ascii="Times New Roman" w:hAnsi="Times New Roman" w:eastAsia="方正仿宋_GBK" w:cs="Times New Roman"/>
          <w:color w:val="auto"/>
          <w:sz w:val="32"/>
          <w:szCs w:val="32"/>
          <w:u w:val="none"/>
        </w:rPr>
        <w:t>长护险</w:t>
      </w:r>
      <w:r>
        <w:rPr>
          <w:rFonts w:hint="default" w:ascii="Times New Roman" w:hAnsi="Times New Roman" w:eastAsia="方正仿宋_GBK" w:cs="Times New Roman"/>
          <w:b w:val="0"/>
          <w:bCs w:val="0"/>
          <w:color w:val="auto"/>
          <w:sz w:val="32"/>
          <w:szCs w:val="32"/>
          <w:u w:val="none"/>
          <w:lang w:val="en-US" w:eastAsia="zh-CN"/>
        </w:rPr>
        <w:t>筹资由个人缴费和政府补助构成，缴费基数为全省上年度城乡居民人均</w:t>
      </w:r>
    </w:p>
    <w:p w14:paraId="5E44D5D3">
      <w:pPr>
        <w:pStyle w:val="6"/>
        <w:keepNext w:val="0"/>
        <w:keepLines w:val="0"/>
        <w:pageBreakBefore w:val="0"/>
        <w:widowControl w:val="0"/>
        <w:shd w:val="clear" w:color="auto" w:fill="auto"/>
        <w:kinsoku/>
        <w:wordWrap/>
        <w:overflowPunct/>
        <w:topLinePunct w:val="0"/>
        <w:autoSpaceDE/>
        <w:autoSpaceDN/>
        <w:bidi w:val="0"/>
        <w:spacing w:before="0" w:after="0" w:line="554" w:lineRule="exact"/>
        <w:ind w:left="0" w:leftChars="0" w:right="0" w:firstLine="0" w:firstLineChars="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可支配收入，缴费</w:t>
      </w:r>
      <w:r>
        <w:rPr>
          <w:rFonts w:hint="eastAsia" w:ascii="Times New Roman" w:hAnsi="Times New Roman" w:eastAsia="方正仿宋_GBK" w:cs="Times New Roman"/>
          <w:b w:val="0"/>
          <w:bCs w:val="0"/>
          <w:color w:val="auto"/>
          <w:sz w:val="32"/>
          <w:szCs w:val="32"/>
          <w:u w:val="none"/>
          <w:lang w:val="en-US" w:eastAsia="zh-CN"/>
        </w:rPr>
        <w:t>总额</w:t>
      </w:r>
      <w:r>
        <w:rPr>
          <w:rFonts w:hint="default" w:ascii="Times New Roman" w:hAnsi="Times New Roman" w:eastAsia="方正仿宋_GBK" w:cs="Times New Roman"/>
          <w:b w:val="0"/>
          <w:bCs w:val="0"/>
          <w:color w:val="auto"/>
          <w:sz w:val="32"/>
          <w:szCs w:val="32"/>
          <w:u w:val="none"/>
          <w:lang w:val="en-US" w:eastAsia="zh-CN"/>
        </w:rPr>
        <w:t>由政府和个人按1:1比例分担</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政府补助部分由中央财政和地方财政共同承担，</w:t>
      </w:r>
      <w:r>
        <w:rPr>
          <w:rFonts w:hint="default" w:ascii="Times New Roman" w:hAnsi="Times New Roman" w:eastAsia="方正仿宋_GBK" w:cs="Times New Roman"/>
          <w:b w:val="0"/>
          <w:bCs w:val="0"/>
          <w:color w:val="auto"/>
          <w:spacing w:val="0"/>
          <w:w w:val="100"/>
          <w:sz w:val="32"/>
          <w:szCs w:val="32"/>
          <w:lang w:val="en-US" w:eastAsia="zh-CN"/>
        </w:rPr>
        <w:t>具体补助办法按照国家、省有关规定执行。</w:t>
      </w:r>
    </w:p>
    <w:p w14:paraId="2B55BB76">
      <w:pPr>
        <w:pStyle w:val="6"/>
        <w:keepNext w:val="0"/>
        <w:keepLines w:val="0"/>
        <w:pageBreakBefore w:val="0"/>
        <w:widowControl w:val="0"/>
        <w:shd w:val="clear" w:color="auto" w:fill="auto"/>
        <w:kinsoku/>
        <w:wordWrap/>
        <w:overflowPunct/>
        <w:topLinePunct w:val="0"/>
        <w:autoSpaceDE/>
        <w:autoSpaceDN/>
        <w:bidi w:val="0"/>
        <w:spacing w:before="0" w:after="0" w:line="554" w:lineRule="exact"/>
        <w:ind w:left="0" w:leftChars="0" w:right="0" w:firstLine="640" w:firstLineChars="200"/>
        <w:jc w:val="both"/>
        <w:textAlignment w:val="auto"/>
        <w:rPr>
          <w:rFonts w:hint="eastAsia" w:ascii="Times New Roman" w:hAnsi="Times New Roman" w:eastAsia="方正仿宋_GBK" w:cs="Times New Roman"/>
          <w:b w:val="0"/>
          <w:bCs w:val="0"/>
          <w:color w:val="auto"/>
          <w:spacing w:val="0"/>
          <w:w w:val="100"/>
          <w:sz w:val="32"/>
          <w:szCs w:val="32"/>
          <w:lang w:val="en-US" w:eastAsia="zh-CN"/>
        </w:rPr>
      </w:pPr>
      <w:r>
        <w:rPr>
          <w:rFonts w:hint="eastAsia" w:ascii="Times New Roman" w:hAnsi="Times New Roman" w:eastAsia="方正仿宋_GBK" w:cs="Times New Roman"/>
          <w:b w:val="0"/>
          <w:bCs w:val="0"/>
          <w:color w:val="auto"/>
          <w:spacing w:val="0"/>
          <w:w w:val="100"/>
          <w:sz w:val="32"/>
          <w:szCs w:val="32"/>
          <w:lang w:val="en-US" w:eastAsia="zh-CN"/>
        </w:rPr>
        <w:t>18周岁以下未就业人员跟随父母或其他法定抚养人等参保，不单独筹资，符合待遇享受条件的按未就业城乡居民待遇标准享受待遇。孤儿、事实无人抚养儿童等无法跟从参保的，可视同参保。</w:t>
      </w:r>
    </w:p>
    <w:p w14:paraId="423FEBF2">
      <w:pPr>
        <w:pStyle w:val="6"/>
        <w:keepNext w:val="0"/>
        <w:keepLines w:val="0"/>
        <w:pageBreakBefore w:val="0"/>
        <w:widowControl w:val="0"/>
        <w:shd w:val="clear" w:color="auto" w:fill="auto"/>
        <w:kinsoku/>
        <w:wordWrap/>
        <w:overflowPunct/>
        <w:topLinePunct w:val="0"/>
        <w:autoSpaceDE/>
        <w:autoSpaceDN/>
        <w:bidi w:val="0"/>
        <w:spacing w:before="0" w:after="0" w:line="554" w:lineRule="exact"/>
        <w:ind w:left="0" w:leftChars="0" w:right="0" w:firstLine="640" w:firstLineChars="200"/>
        <w:jc w:val="both"/>
        <w:textAlignment w:val="auto"/>
        <w:rPr>
          <w:rFonts w:hint="default" w:ascii="Times New Roman" w:hAnsi="Times New Roman" w:eastAsia="方正仿宋_GBK" w:cs="Times New Roman"/>
          <w:b/>
          <w:bCs/>
          <w:i w:val="0"/>
          <w:iCs w:val="0"/>
          <w:color w:val="auto"/>
          <w:spacing w:val="0"/>
          <w:sz w:val="32"/>
          <w:szCs w:val="32"/>
          <w:shd w:val="clear" w:fill="FFFFFF"/>
        </w:rPr>
      </w:pPr>
      <w:r>
        <w:rPr>
          <w:rFonts w:hint="default" w:ascii="Times New Roman" w:hAnsi="Times New Roman" w:eastAsia="方正仿宋_GBK" w:cs="Times New Roman"/>
          <w:b w:val="0"/>
          <w:bCs w:val="0"/>
          <w:color w:val="auto"/>
          <w:spacing w:val="0"/>
          <w:w w:val="100"/>
          <w:sz w:val="32"/>
          <w:szCs w:val="32"/>
          <w:lang w:val="en-US" w:eastAsia="zh-CN"/>
        </w:rPr>
        <w:t>政府</w:t>
      </w:r>
      <w:r>
        <w:rPr>
          <w:rFonts w:hint="default" w:ascii="Times New Roman" w:hAnsi="Times New Roman" w:eastAsia="方正仿宋_GBK" w:cs="Times New Roman"/>
          <w:b w:val="0"/>
          <w:bCs w:val="0"/>
          <w:color w:val="auto"/>
          <w:spacing w:val="0"/>
          <w:w w:val="100"/>
          <w:sz w:val="32"/>
          <w:szCs w:val="32"/>
          <w:lang w:eastAsia="zh-CN"/>
        </w:rPr>
        <w:t>对符合条件的困难人群个人缴费部分予以分类资助，全额资助特困人员，定额资助低保对象、符合条件的防止返贫致贫对象等，</w:t>
      </w:r>
      <w:r>
        <w:rPr>
          <w:rFonts w:hint="default" w:ascii="Times New Roman" w:hAnsi="Times New Roman" w:eastAsia="方正仿宋_GBK" w:cs="Times New Roman"/>
          <w:b w:val="0"/>
          <w:bCs w:val="0"/>
          <w:color w:val="auto"/>
          <w:spacing w:val="0"/>
          <w:w w:val="100"/>
          <w:sz w:val="32"/>
          <w:szCs w:val="32"/>
          <w:lang w:val="en-US" w:eastAsia="zh-CN"/>
        </w:rPr>
        <w:t>具体</w:t>
      </w:r>
      <w:r>
        <w:rPr>
          <w:rFonts w:hint="default" w:ascii="Times New Roman" w:hAnsi="Times New Roman" w:eastAsia="方正仿宋_GBK" w:cs="Times New Roman"/>
          <w:b w:val="0"/>
          <w:bCs w:val="0"/>
          <w:color w:val="auto"/>
          <w:spacing w:val="0"/>
          <w:w w:val="100"/>
          <w:sz w:val="32"/>
          <w:szCs w:val="32"/>
          <w:lang w:eastAsia="zh-CN"/>
        </w:rPr>
        <w:t>资助办法按照省</w:t>
      </w:r>
      <w:r>
        <w:rPr>
          <w:rFonts w:hint="default" w:ascii="Times New Roman" w:hAnsi="Times New Roman" w:eastAsia="方正仿宋_GBK" w:cs="Times New Roman"/>
          <w:b w:val="0"/>
          <w:bCs w:val="0"/>
          <w:color w:val="auto"/>
          <w:spacing w:val="0"/>
          <w:w w:val="100"/>
          <w:sz w:val="32"/>
          <w:szCs w:val="32"/>
          <w:lang w:val="en-US" w:eastAsia="zh-CN"/>
        </w:rPr>
        <w:t>级</w:t>
      </w:r>
      <w:r>
        <w:rPr>
          <w:rFonts w:hint="default" w:ascii="Times New Roman" w:hAnsi="Times New Roman" w:eastAsia="方正仿宋_GBK" w:cs="Times New Roman"/>
          <w:b w:val="0"/>
          <w:bCs w:val="0"/>
          <w:color w:val="auto"/>
          <w:spacing w:val="0"/>
          <w:w w:val="100"/>
          <w:sz w:val="32"/>
          <w:szCs w:val="32"/>
          <w:lang w:eastAsia="zh-CN"/>
        </w:rPr>
        <w:t>有关规定</w:t>
      </w:r>
      <w:r>
        <w:rPr>
          <w:rFonts w:hint="default" w:ascii="Times New Roman" w:hAnsi="Times New Roman" w:eastAsia="方正仿宋_GBK" w:cs="Times New Roman"/>
          <w:b w:val="0"/>
          <w:bCs w:val="0"/>
          <w:color w:val="auto"/>
          <w:spacing w:val="0"/>
          <w:w w:val="100"/>
          <w:sz w:val="32"/>
          <w:szCs w:val="32"/>
          <w:lang w:val="en-US" w:eastAsia="zh-CN"/>
        </w:rPr>
        <w:t>执行</w:t>
      </w:r>
      <w:r>
        <w:rPr>
          <w:rFonts w:hint="default" w:ascii="Times New Roman" w:hAnsi="Times New Roman" w:eastAsia="方正仿宋_GBK" w:cs="Times New Roman"/>
          <w:b w:val="0"/>
          <w:bCs w:val="0"/>
          <w:color w:val="auto"/>
          <w:spacing w:val="0"/>
          <w:w w:val="100"/>
          <w:sz w:val="32"/>
          <w:szCs w:val="32"/>
          <w:lang w:eastAsia="zh-CN"/>
        </w:rPr>
        <w:t>。</w:t>
      </w:r>
    </w:p>
    <w:p w14:paraId="44195733">
      <w:pPr>
        <w:keepNext w:val="0"/>
        <w:keepLines w:val="0"/>
        <w:pageBreakBefore w:val="0"/>
        <w:widowControl w:val="0"/>
        <w:numPr>
          <w:numId w:val="0"/>
        </w:numPr>
        <w:kinsoku/>
        <w:wordWrap/>
        <w:overflowPunct/>
        <w:topLinePunct w:val="0"/>
        <w:autoSpaceDE/>
        <w:autoSpaceDN/>
        <w:bidi w:val="0"/>
        <w:spacing w:line="554" w:lineRule="exact"/>
        <w:ind w:firstLine="640" w:firstLineChars="200"/>
        <w:jc w:val="both"/>
        <w:textAlignment w:val="auto"/>
        <w:outlineLvl w:val="1"/>
        <w:rPr>
          <w:rFonts w:hint="eastAsia" w:ascii="方正楷体_GBK" w:hAnsi="方正楷体_GBK" w:eastAsia="方正楷体_GBK" w:cs="方正楷体_GBK"/>
          <w:color w:val="auto"/>
          <w:sz w:val="32"/>
          <w:szCs w:val="32"/>
          <w:u w:val="none"/>
          <w:lang w:val="en-US" w:eastAsia="zh-CN"/>
        </w:rPr>
      </w:pPr>
      <w:r>
        <w:rPr>
          <w:rFonts w:hint="eastAsia" w:ascii="Times New Roman" w:hAnsi="Times New Roman" w:eastAsia="方正楷体_GBK" w:cs="Times New Roman"/>
          <w:b w:val="0"/>
          <w:bCs w:val="0"/>
          <w:i w:val="0"/>
          <w:iCs w:val="0"/>
          <w:color w:val="auto"/>
          <w:spacing w:val="0"/>
          <w:sz w:val="32"/>
          <w:szCs w:val="32"/>
          <w:shd w:val="clear" w:fill="FFFFFF"/>
          <w:lang w:val="en-US" w:eastAsia="zh-CN"/>
        </w:rPr>
        <w:t>（三）筹资</w:t>
      </w:r>
      <w:r>
        <w:rPr>
          <w:rFonts w:hint="eastAsia" w:ascii="方正楷体_GBK" w:hAnsi="方正楷体_GBK" w:eastAsia="方正楷体_GBK" w:cs="方正楷体_GBK"/>
          <w:color w:val="auto"/>
          <w:sz w:val="32"/>
          <w:szCs w:val="32"/>
          <w:u w:val="none"/>
          <w:lang w:val="en-US" w:eastAsia="zh-CN"/>
        </w:rPr>
        <w:t>方式</w:t>
      </w:r>
    </w:p>
    <w:p w14:paraId="38854A86">
      <w:pPr>
        <w:pStyle w:val="6"/>
        <w:keepNext w:val="0"/>
        <w:keepLines w:val="0"/>
        <w:pageBreakBefore w:val="0"/>
        <w:widowControl w:val="0"/>
        <w:shd w:val="clear" w:color="auto" w:fill="auto"/>
        <w:kinsoku/>
        <w:wordWrap/>
        <w:overflowPunct/>
        <w:topLinePunct w:val="0"/>
        <w:autoSpaceDE/>
        <w:autoSpaceDN/>
        <w:bidi w:val="0"/>
        <w:spacing w:before="0" w:after="0" w:line="554" w:lineRule="exact"/>
        <w:ind w:left="0" w:leftChars="0" w:right="0" w:firstLine="640" w:firstLineChars="200"/>
        <w:jc w:val="both"/>
        <w:textAlignment w:val="auto"/>
        <w:rPr>
          <w:rFonts w:hint="default" w:ascii="Times New Roman" w:hAnsi="Times New Roman" w:eastAsia="方正仿宋_GBK" w:cs="Times New Roman"/>
          <w:b w:val="0"/>
          <w:bCs w:val="0"/>
          <w:color w:val="auto"/>
          <w:spacing w:val="0"/>
          <w:w w:val="100"/>
          <w:sz w:val="32"/>
          <w:szCs w:val="32"/>
          <w:lang w:eastAsia="zh-CN"/>
        </w:rPr>
      </w:pPr>
      <w:r>
        <w:rPr>
          <w:rFonts w:hint="default" w:ascii="Times New Roman" w:hAnsi="Times New Roman" w:eastAsia="方正仿宋_GBK" w:cs="Times New Roman"/>
          <w:color w:val="auto"/>
          <w:sz w:val="32"/>
          <w:szCs w:val="32"/>
          <w:u w:val="none"/>
        </w:rPr>
        <w:t>单位在职职工</w:t>
      </w:r>
      <w:r>
        <w:rPr>
          <w:rFonts w:hint="default"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eastAsia="zh-CN"/>
        </w:rPr>
        <w:t>参加职工医保</w:t>
      </w:r>
      <w:r>
        <w:rPr>
          <w:rFonts w:hint="default" w:ascii="Times New Roman" w:hAnsi="Times New Roman" w:eastAsia="方正仿宋_GBK" w:cs="Times New Roman"/>
          <w:color w:val="auto"/>
          <w:sz w:val="32"/>
          <w:szCs w:val="32"/>
          <w:u w:val="none"/>
        </w:rPr>
        <w:t>灵活就业人员</w:t>
      </w:r>
      <w:r>
        <w:rPr>
          <w:rFonts w:hint="default" w:ascii="Times New Roman" w:hAnsi="Times New Roman" w:eastAsia="方正仿宋_GBK" w:cs="Times New Roman"/>
          <w:color w:val="auto"/>
          <w:sz w:val="32"/>
          <w:szCs w:val="32"/>
          <w:u w:val="none"/>
          <w:lang w:val="en-US" w:eastAsia="zh-CN"/>
        </w:rPr>
        <w:t>个人缴费</w:t>
      </w:r>
      <w:r>
        <w:rPr>
          <w:rFonts w:hint="default" w:ascii="Times New Roman" w:hAnsi="Times New Roman" w:eastAsia="方正仿宋_GBK" w:cs="Times New Roman"/>
          <w:color w:val="auto"/>
          <w:sz w:val="32"/>
          <w:szCs w:val="32"/>
          <w:u w:val="none"/>
        </w:rPr>
        <w:t>部分</w:t>
      </w:r>
      <w:r>
        <w:rPr>
          <w:rFonts w:hint="eastAsia" w:ascii="Times New Roman" w:hAnsi="Times New Roman" w:eastAsia="方正仿宋_GBK" w:cs="Times New Roman"/>
          <w:color w:val="auto"/>
          <w:sz w:val="32"/>
          <w:szCs w:val="32"/>
          <w:u w:val="none"/>
          <w:lang w:val="en-US" w:eastAsia="zh-CN"/>
        </w:rPr>
        <w:t>与</w:t>
      </w:r>
      <w:r>
        <w:rPr>
          <w:rFonts w:hint="default" w:ascii="Times New Roman" w:hAnsi="Times New Roman" w:eastAsia="方正仿宋_GBK" w:cs="Times New Roman"/>
          <w:b w:val="0"/>
          <w:bCs w:val="0"/>
          <w:color w:val="auto"/>
          <w:kern w:val="2"/>
          <w:sz w:val="32"/>
          <w:szCs w:val="32"/>
          <w:lang w:val="en-US" w:eastAsia="zh-CN" w:bidi="ar-SA"/>
        </w:rPr>
        <w:t>基本医疗保险同步缴纳</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color w:val="auto"/>
          <w:sz w:val="32"/>
          <w:szCs w:val="32"/>
          <w:u w:val="none"/>
          <w:lang w:val="en-US" w:eastAsia="zh-CN"/>
        </w:rPr>
        <w:t>退休人员</w:t>
      </w:r>
      <w:r>
        <w:rPr>
          <w:rFonts w:hint="eastAsia" w:ascii="Times New Roman" w:hAnsi="Times New Roman" w:eastAsia="方正仿宋_GBK" w:cs="Times New Roman"/>
          <w:color w:val="auto"/>
          <w:sz w:val="32"/>
          <w:szCs w:val="32"/>
          <w:u w:val="none"/>
          <w:lang w:val="en-US" w:eastAsia="zh-CN"/>
        </w:rPr>
        <w:t>个人缴费部分</w:t>
      </w:r>
      <w:r>
        <w:rPr>
          <w:rFonts w:hint="default" w:ascii="Times New Roman" w:hAnsi="Times New Roman" w:eastAsia="方正仿宋_GBK" w:cs="Times New Roman"/>
          <w:color w:val="auto"/>
          <w:sz w:val="32"/>
          <w:szCs w:val="32"/>
          <w:u w:val="none"/>
          <w:lang w:val="en-US" w:eastAsia="zh-CN"/>
        </w:rPr>
        <w:t>由</w:t>
      </w:r>
      <w:r>
        <w:rPr>
          <w:rFonts w:hint="default" w:ascii="Times New Roman" w:hAnsi="Times New Roman" w:eastAsia="方正仿宋_GBK" w:cs="Times New Roman"/>
          <w:i w:val="0"/>
          <w:iCs w:val="0"/>
          <w:color w:val="auto"/>
          <w:spacing w:val="0"/>
          <w:sz w:val="32"/>
          <w:szCs w:val="32"/>
          <w:highlight w:val="none"/>
          <w:shd w:val="clear" w:fill="FFFFFF"/>
        </w:rPr>
        <w:t>医保部门从基本医疗保险个人账户中</w:t>
      </w:r>
      <w:r>
        <w:rPr>
          <w:rFonts w:hint="default" w:ascii="Times New Roman" w:hAnsi="Times New Roman" w:eastAsia="方正仿宋_GBK" w:cs="Times New Roman"/>
          <w:i w:val="0"/>
          <w:iCs w:val="0"/>
          <w:color w:val="auto"/>
          <w:spacing w:val="0"/>
          <w:sz w:val="32"/>
          <w:szCs w:val="32"/>
          <w:highlight w:val="none"/>
          <w:shd w:val="clear" w:fill="FFFFFF"/>
          <w:lang w:val="en-US" w:eastAsia="zh-CN"/>
        </w:rPr>
        <w:t>按月</w:t>
      </w:r>
      <w:r>
        <w:rPr>
          <w:rFonts w:hint="default" w:ascii="Times New Roman" w:hAnsi="Times New Roman" w:eastAsia="方正仿宋_GBK" w:cs="Times New Roman"/>
          <w:i w:val="0"/>
          <w:iCs w:val="0"/>
          <w:color w:val="auto"/>
          <w:spacing w:val="0"/>
          <w:sz w:val="32"/>
          <w:szCs w:val="32"/>
          <w:highlight w:val="none"/>
          <w:shd w:val="clear" w:fill="FFFFFF"/>
        </w:rPr>
        <w:t>代扣代</w:t>
      </w:r>
      <w:r>
        <w:rPr>
          <w:rFonts w:hint="default" w:ascii="Times New Roman" w:hAnsi="Times New Roman" w:eastAsia="方正仿宋_GBK" w:cs="Times New Roman"/>
          <w:i w:val="0"/>
          <w:iCs w:val="0"/>
          <w:color w:val="auto"/>
          <w:spacing w:val="0"/>
          <w:sz w:val="32"/>
          <w:szCs w:val="32"/>
          <w:highlight w:val="none"/>
          <w:shd w:val="clear" w:fill="FFFFFF"/>
          <w:lang w:val="en-US" w:eastAsia="zh-CN"/>
        </w:rPr>
        <w:t>缴</w:t>
      </w:r>
      <w:r>
        <w:rPr>
          <w:rFonts w:hint="eastAsia" w:ascii="Times New Roman" w:hAnsi="Times New Roman" w:eastAsia="方正仿宋_GBK" w:cs="Times New Roman"/>
          <w:i w:val="0"/>
          <w:iCs w:val="0"/>
          <w:color w:val="auto"/>
          <w:spacing w:val="0"/>
          <w:sz w:val="32"/>
          <w:szCs w:val="32"/>
          <w:highlight w:val="none"/>
          <w:shd w:val="clear" w:fill="FFFFFF"/>
          <w:lang w:val="en-US" w:eastAsia="zh-CN"/>
        </w:rPr>
        <w:t>。</w:t>
      </w:r>
      <w:r>
        <w:rPr>
          <w:rFonts w:hint="default" w:ascii="Times New Roman" w:hAnsi="Times New Roman" w:eastAsia="方正仿宋_GBK" w:cs="Times New Roman"/>
          <w:b w:val="0"/>
          <w:bCs w:val="0"/>
          <w:color w:val="auto"/>
          <w:sz w:val="32"/>
          <w:szCs w:val="32"/>
          <w:u w:val="none"/>
          <w:lang w:val="en-US" w:eastAsia="zh-CN"/>
        </w:rPr>
        <w:t>未就业城乡居民</w:t>
      </w:r>
      <w:r>
        <w:rPr>
          <w:rFonts w:hint="eastAsia" w:ascii="Times New Roman" w:hAnsi="Times New Roman" w:eastAsia="方正仿宋_GBK" w:cs="Times New Roman"/>
          <w:b w:val="0"/>
          <w:bCs w:val="0"/>
          <w:color w:val="auto"/>
          <w:sz w:val="32"/>
          <w:szCs w:val="32"/>
          <w:u w:val="none"/>
          <w:lang w:val="en-US" w:eastAsia="zh-CN"/>
        </w:rPr>
        <w:t>个人缴费</w:t>
      </w:r>
      <w:r>
        <w:rPr>
          <w:rFonts w:hint="eastAsia" w:ascii="Times New Roman" w:hAnsi="Times New Roman" w:eastAsia="方正仿宋_GBK" w:cs="Times New Roman"/>
          <w:b w:val="0"/>
          <w:bCs w:val="0"/>
          <w:color w:val="auto"/>
          <w:spacing w:val="0"/>
          <w:w w:val="100"/>
          <w:sz w:val="32"/>
          <w:szCs w:val="32"/>
          <w:lang w:val="en-US" w:eastAsia="zh-CN"/>
        </w:rPr>
        <w:t>部分</w:t>
      </w:r>
      <w:r>
        <w:rPr>
          <w:rFonts w:hint="default" w:ascii="Times New Roman" w:hAnsi="Times New Roman" w:eastAsia="方正仿宋_GBK" w:cs="Times New Roman"/>
          <w:b w:val="0"/>
          <w:bCs w:val="0"/>
          <w:color w:val="auto"/>
          <w:spacing w:val="0"/>
          <w:w w:val="100"/>
          <w:sz w:val="32"/>
          <w:szCs w:val="32"/>
          <w:lang w:val="en-US" w:eastAsia="zh-CN"/>
        </w:rPr>
        <w:t>与</w:t>
      </w:r>
      <w:r>
        <w:rPr>
          <w:rFonts w:hint="eastAsia" w:ascii="Times New Roman" w:hAnsi="Times New Roman" w:eastAsia="方正仿宋_GBK" w:cs="Times New Roman"/>
          <w:b w:val="0"/>
          <w:bCs w:val="0"/>
          <w:color w:val="auto"/>
          <w:spacing w:val="0"/>
          <w:w w:val="100"/>
          <w:sz w:val="32"/>
          <w:szCs w:val="32"/>
          <w:lang w:val="en-US" w:eastAsia="zh-CN"/>
        </w:rPr>
        <w:t>年度城乡</w:t>
      </w:r>
      <w:r>
        <w:rPr>
          <w:rFonts w:hint="default" w:ascii="Times New Roman" w:hAnsi="Times New Roman" w:eastAsia="方正仿宋_GBK" w:cs="Times New Roman"/>
          <w:b w:val="0"/>
          <w:bCs w:val="0"/>
          <w:color w:val="auto"/>
          <w:spacing w:val="0"/>
          <w:w w:val="100"/>
          <w:sz w:val="32"/>
          <w:szCs w:val="32"/>
          <w:lang w:val="en-US" w:eastAsia="zh-CN"/>
        </w:rPr>
        <w:t>居民</w:t>
      </w:r>
      <w:r>
        <w:rPr>
          <w:rFonts w:hint="eastAsia" w:ascii="Times New Roman" w:hAnsi="Times New Roman" w:eastAsia="方正仿宋_GBK" w:cs="Times New Roman"/>
          <w:b w:val="0"/>
          <w:bCs w:val="0"/>
          <w:color w:val="auto"/>
          <w:spacing w:val="0"/>
          <w:w w:val="100"/>
          <w:sz w:val="32"/>
          <w:szCs w:val="32"/>
          <w:lang w:val="en-US" w:eastAsia="zh-CN"/>
        </w:rPr>
        <w:t>医疗</w:t>
      </w:r>
      <w:r>
        <w:rPr>
          <w:rFonts w:hint="default" w:ascii="Times New Roman" w:hAnsi="Times New Roman" w:eastAsia="方正仿宋_GBK" w:cs="Times New Roman"/>
          <w:b w:val="0"/>
          <w:bCs w:val="0"/>
          <w:color w:val="auto"/>
          <w:spacing w:val="0"/>
          <w:w w:val="100"/>
          <w:sz w:val="32"/>
          <w:szCs w:val="32"/>
          <w:lang w:val="en-US" w:eastAsia="zh-CN"/>
        </w:rPr>
        <w:t>保险费</w:t>
      </w:r>
      <w:r>
        <w:rPr>
          <w:rFonts w:hint="eastAsia" w:ascii="Times New Roman" w:hAnsi="Times New Roman" w:eastAsia="方正仿宋_GBK" w:cs="Times New Roman"/>
          <w:b w:val="0"/>
          <w:bCs w:val="0"/>
          <w:color w:val="auto"/>
          <w:spacing w:val="0"/>
          <w:w w:val="100"/>
          <w:sz w:val="32"/>
          <w:szCs w:val="32"/>
          <w:lang w:val="en-US" w:eastAsia="zh-CN"/>
        </w:rPr>
        <w:t>同步缴纳，</w:t>
      </w:r>
      <w:r>
        <w:rPr>
          <w:rFonts w:hint="default" w:ascii="Times New Roman" w:hAnsi="Times New Roman" w:eastAsia="方正仿宋_GBK" w:cs="Times New Roman"/>
          <w:b w:val="0"/>
          <w:bCs w:val="0"/>
          <w:color w:val="auto"/>
          <w:spacing w:val="0"/>
          <w:w w:val="100"/>
          <w:sz w:val="32"/>
          <w:szCs w:val="32"/>
        </w:rPr>
        <w:t>职工基本医疗保险个人账户可以用于</w:t>
      </w:r>
      <w:r>
        <w:rPr>
          <w:rFonts w:hint="default" w:ascii="Times New Roman" w:hAnsi="Times New Roman" w:eastAsia="方正仿宋_GBK" w:cs="Times New Roman"/>
          <w:color w:val="auto"/>
          <w:sz w:val="32"/>
          <w:szCs w:val="32"/>
          <w:u w:val="none"/>
        </w:rPr>
        <w:t>代缴近亲属</w:t>
      </w:r>
      <w:r>
        <w:rPr>
          <w:rFonts w:hint="default" w:ascii="Times New Roman" w:hAnsi="Times New Roman" w:eastAsia="方正仿宋_GBK" w:cs="Times New Roman"/>
          <w:b w:val="0"/>
          <w:bCs w:val="0"/>
          <w:color w:val="auto"/>
          <w:spacing w:val="0"/>
          <w:w w:val="100"/>
          <w:sz w:val="32"/>
          <w:szCs w:val="32"/>
        </w:rPr>
        <w:t>（包括配偶、父母、子女、兄弟姐妹、祖父母、外祖父母、孙子女、外孙子女）参加长期护理保险的个人缴费。</w:t>
      </w:r>
    </w:p>
    <w:p w14:paraId="47AA554D">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kern w:val="2"/>
          <w:sz w:val="32"/>
          <w:szCs w:val="32"/>
          <w:lang w:val="en-US" w:eastAsia="zh-CN"/>
        </w:rPr>
      </w:pPr>
      <w:r>
        <w:rPr>
          <w:rFonts w:hint="eastAsia" w:ascii="Times New Roman" w:hAnsi="Times New Roman" w:eastAsia="方正黑体_GBK" w:cs="Times New Roman"/>
          <w:b w:val="0"/>
          <w:bCs w:val="0"/>
          <w:color w:val="auto"/>
          <w:kern w:val="2"/>
          <w:sz w:val="32"/>
          <w:szCs w:val="32"/>
          <w:lang w:val="en-US" w:eastAsia="zh-CN"/>
        </w:rPr>
        <w:t>五</w:t>
      </w:r>
      <w:r>
        <w:rPr>
          <w:rFonts w:hint="default" w:ascii="Times New Roman" w:hAnsi="Times New Roman" w:eastAsia="方正黑体_GBK" w:cs="Times New Roman"/>
          <w:b w:val="0"/>
          <w:bCs w:val="0"/>
          <w:color w:val="auto"/>
          <w:kern w:val="2"/>
          <w:sz w:val="32"/>
          <w:szCs w:val="32"/>
          <w:lang w:val="en-US" w:eastAsia="zh-CN"/>
        </w:rPr>
        <w:t>、</w:t>
      </w:r>
      <w:r>
        <w:rPr>
          <w:rFonts w:hint="eastAsia" w:ascii="Times New Roman" w:hAnsi="Times New Roman" w:eastAsia="方正黑体_GBK" w:cs="Times New Roman"/>
          <w:b w:val="0"/>
          <w:bCs w:val="0"/>
          <w:color w:val="auto"/>
          <w:kern w:val="2"/>
          <w:sz w:val="32"/>
          <w:szCs w:val="32"/>
          <w:lang w:val="en-US" w:eastAsia="zh-CN"/>
        </w:rPr>
        <w:t>待遇保障</w:t>
      </w:r>
    </w:p>
    <w:p w14:paraId="1B56ABED">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0" w:firstLineChars="200"/>
        <w:jc w:val="both"/>
        <w:textAlignment w:val="auto"/>
        <w:outlineLvl w:val="0"/>
        <w:rPr>
          <w:rFonts w:hint="default" w:ascii="Times New Roman" w:hAnsi="Times New Roman" w:eastAsia="方正楷体_GBK" w:cs="Times New Roman"/>
          <w:b w:val="0"/>
          <w:bCs w:val="0"/>
          <w:color w:val="auto"/>
          <w:spacing w:val="0"/>
          <w:w w:val="100"/>
          <w:sz w:val="32"/>
          <w:szCs w:val="32"/>
          <w:lang w:val="en-US" w:eastAsia="zh-CN"/>
        </w:rPr>
      </w:pPr>
      <w:r>
        <w:rPr>
          <w:rFonts w:hint="default" w:ascii="Times New Roman" w:hAnsi="Times New Roman" w:eastAsia="方正楷体_GBK" w:cs="Times New Roman"/>
          <w:b w:val="0"/>
          <w:bCs w:val="0"/>
          <w:color w:val="auto"/>
          <w:spacing w:val="0"/>
          <w:w w:val="100"/>
          <w:sz w:val="32"/>
          <w:szCs w:val="32"/>
          <w:lang w:val="en-US" w:eastAsia="zh-CN"/>
        </w:rPr>
        <w:t>（一）</w:t>
      </w:r>
      <w:r>
        <w:rPr>
          <w:rFonts w:hint="eastAsia" w:ascii="Times New Roman" w:hAnsi="Times New Roman" w:eastAsia="方正楷体_GBK" w:cs="Times New Roman"/>
          <w:b w:val="0"/>
          <w:bCs w:val="0"/>
          <w:color w:val="auto"/>
          <w:spacing w:val="0"/>
          <w:w w:val="100"/>
          <w:sz w:val="32"/>
          <w:szCs w:val="32"/>
          <w:lang w:val="en-US" w:eastAsia="zh-CN"/>
        </w:rPr>
        <w:t>保障对象</w:t>
      </w:r>
    </w:p>
    <w:p w14:paraId="33CA346A">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0" w:firstLineChars="200"/>
        <w:jc w:val="both"/>
        <w:textAlignment w:val="auto"/>
        <w:outlineLvl w:val="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0"/>
          <w:w w:val="100"/>
          <w:sz w:val="32"/>
          <w:szCs w:val="32"/>
        </w:rPr>
        <w:t>按规定参保缴费且失能状</w:t>
      </w:r>
      <w:bookmarkStart w:id="3" w:name="_GoBack"/>
      <w:bookmarkEnd w:id="3"/>
      <w:r>
        <w:rPr>
          <w:rFonts w:hint="default" w:ascii="Times New Roman" w:hAnsi="Times New Roman" w:eastAsia="方正仿宋_GBK" w:cs="Times New Roman"/>
          <w:b w:val="0"/>
          <w:bCs w:val="0"/>
          <w:color w:val="auto"/>
          <w:spacing w:val="0"/>
          <w:w w:val="100"/>
          <w:sz w:val="32"/>
          <w:szCs w:val="32"/>
        </w:rPr>
        <w:t>态长期持续6个月</w:t>
      </w:r>
      <w:r>
        <w:rPr>
          <w:rFonts w:hint="eastAsia" w:eastAsia="方正仿宋_GBK" w:cs="Times New Roman"/>
          <w:b w:val="0"/>
          <w:bCs w:val="0"/>
          <w:color w:val="auto"/>
          <w:spacing w:val="0"/>
          <w:w w:val="100"/>
          <w:sz w:val="32"/>
          <w:szCs w:val="32"/>
          <w:lang w:val="en-US" w:eastAsia="zh-CN"/>
        </w:rPr>
        <w:t>及</w:t>
      </w:r>
      <w:r>
        <w:rPr>
          <w:rFonts w:hint="default" w:ascii="Times New Roman" w:hAnsi="Times New Roman" w:eastAsia="方正仿宋_GBK" w:cs="Times New Roman"/>
          <w:b w:val="0"/>
          <w:bCs w:val="0"/>
          <w:color w:val="auto"/>
          <w:spacing w:val="0"/>
          <w:w w:val="100"/>
          <w:sz w:val="32"/>
          <w:szCs w:val="32"/>
        </w:rPr>
        <w:t>以上</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经申请通过评估认定的</w:t>
      </w:r>
      <w:r>
        <w:rPr>
          <w:rFonts w:hint="eastAsia" w:eastAsia="方正仿宋_GBK" w:cs="Times New Roman"/>
          <w:b w:val="0"/>
          <w:bCs w:val="0"/>
          <w:color w:val="auto"/>
          <w:spacing w:val="0"/>
          <w:w w:val="100"/>
          <w:sz w:val="32"/>
          <w:szCs w:val="32"/>
          <w:lang w:val="en-US" w:eastAsia="zh-CN"/>
        </w:rPr>
        <w:t>重度</w:t>
      </w:r>
      <w:r>
        <w:rPr>
          <w:rFonts w:hint="default" w:ascii="Times New Roman" w:hAnsi="Times New Roman" w:eastAsia="方正仿宋_GBK" w:cs="Times New Roman"/>
          <w:b w:val="0"/>
          <w:bCs w:val="0"/>
          <w:color w:val="auto"/>
          <w:spacing w:val="0"/>
          <w:w w:val="100"/>
          <w:sz w:val="32"/>
          <w:szCs w:val="32"/>
        </w:rPr>
        <w:t>失能人员</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可按规定享受相关待遇</w:t>
      </w:r>
      <w:r>
        <w:rPr>
          <w:rFonts w:hint="eastAsia"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i w:val="0"/>
          <w:iCs w:val="0"/>
          <w:color w:val="auto"/>
          <w:spacing w:val="0"/>
          <w:sz w:val="32"/>
          <w:szCs w:val="32"/>
          <w:shd w:val="clear" w:fill="FFFFFF"/>
        </w:rPr>
        <w:t>按照国家、省部署</w:t>
      </w:r>
      <w:r>
        <w:rPr>
          <w:rFonts w:hint="eastAsia" w:eastAsia="方正仿宋_GBK" w:cs="Times New Roman"/>
          <w:i w:val="0"/>
          <w:iCs w:val="0"/>
          <w:color w:val="auto"/>
          <w:spacing w:val="0"/>
          <w:sz w:val="32"/>
          <w:szCs w:val="32"/>
          <w:shd w:val="clear" w:fill="FFFFFF"/>
          <w:lang w:val="en-US" w:eastAsia="zh-CN"/>
        </w:rPr>
        <w:t>要求</w:t>
      </w:r>
      <w:r>
        <w:rPr>
          <w:rFonts w:hint="default" w:ascii="Times New Roman" w:hAnsi="Times New Roman" w:eastAsia="方正仿宋_GBK" w:cs="Times New Roman"/>
          <w:i w:val="0"/>
          <w:iCs w:val="0"/>
          <w:color w:val="auto"/>
          <w:spacing w:val="0"/>
          <w:sz w:val="32"/>
          <w:szCs w:val="32"/>
          <w:shd w:val="clear" w:fill="FFFFFF"/>
          <w:lang w:eastAsia="zh-CN"/>
        </w:rPr>
        <w:t>，</w:t>
      </w:r>
      <w:r>
        <w:rPr>
          <w:rFonts w:hint="default" w:ascii="Times New Roman" w:hAnsi="Times New Roman" w:eastAsia="方正仿宋_GBK" w:cs="Times New Roman"/>
          <w:i w:val="0"/>
          <w:iCs w:val="0"/>
          <w:color w:val="auto"/>
          <w:spacing w:val="0"/>
          <w:sz w:val="32"/>
          <w:szCs w:val="32"/>
          <w:shd w:val="clear" w:fill="FFFFFF"/>
        </w:rPr>
        <w:t>逐步扩大保障对象范围</w:t>
      </w:r>
      <w:r>
        <w:rPr>
          <w:rFonts w:hint="default" w:ascii="Times New Roman" w:hAnsi="Times New Roman" w:eastAsia="方正仿宋_GBK" w:cs="Times New Roman"/>
          <w:b w:val="0"/>
          <w:bCs w:val="0"/>
          <w:color w:val="auto"/>
          <w:spacing w:val="0"/>
          <w:w w:val="100"/>
          <w:sz w:val="32"/>
          <w:szCs w:val="32"/>
        </w:rPr>
        <w:t>。</w:t>
      </w:r>
    </w:p>
    <w:p w14:paraId="096206A1">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0" w:firstLineChars="200"/>
        <w:jc w:val="both"/>
        <w:textAlignment w:val="auto"/>
        <w:outlineLvl w:val="0"/>
        <w:rPr>
          <w:rFonts w:hint="default" w:ascii="Times New Roman" w:hAnsi="Times New Roman" w:eastAsia="方正楷体_GBK" w:cs="Times New Roman"/>
          <w:b w:val="0"/>
          <w:bCs w:val="0"/>
          <w:color w:val="auto"/>
          <w:spacing w:val="0"/>
          <w:w w:val="100"/>
          <w:sz w:val="32"/>
          <w:szCs w:val="32"/>
          <w:lang w:val="en-US" w:eastAsia="zh-CN"/>
        </w:rPr>
      </w:pPr>
      <w:bookmarkStart w:id="1" w:name="bookmark22"/>
      <w:bookmarkEnd w:id="1"/>
      <w:r>
        <w:rPr>
          <w:rFonts w:hint="default" w:ascii="Times New Roman" w:hAnsi="Times New Roman" w:eastAsia="方正楷体_GBK" w:cs="Times New Roman"/>
          <w:b w:val="0"/>
          <w:bCs w:val="0"/>
          <w:color w:val="auto"/>
          <w:spacing w:val="0"/>
          <w:w w:val="100"/>
          <w:sz w:val="32"/>
          <w:szCs w:val="32"/>
          <w:lang w:val="en-US" w:eastAsia="zh-CN"/>
        </w:rPr>
        <w:t>（二）待遇</w:t>
      </w:r>
      <w:r>
        <w:rPr>
          <w:rFonts w:hint="eastAsia" w:ascii="Times New Roman" w:hAnsi="Times New Roman" w:eastAsia="方正楷体_GBK" w:cs="Times New Roman"/>
          <w:b w:val="0"/>
          <w:bCs w:val="0"/>
          <w:color w:val="auto"/>
          <w:spacing w:val="0"/>
          <w:w w:val="100"/>
          <w:sz w:val="32"/>
          <w:szCs w:val="32"/>
          <w:lang w:val="en-US" w:eastAsia="zh-CN"/>
        </w:rPr>
        <w:t>标准</w:t>
      </w:r>
    </w:p>
    <w:p w14:paraId="7189B318">
      <w:pPr>
        <w:pStyle w:val="2"/>
        <w:keepNext w:val="0"/>
        <w:keepLines w:val="0"/>
        <w:pageBreakBefore w:val="0"/>
        <w:widowControl w:val="0"/>
        <w:suppressLineNumbers w:val="0"/>
        <w:kinsoku/>
        <w:wordWrap/>
        <w:overflowPunct w:val="0"/>
        <w:topLinePunct w:val="0"/>
        <w:autoSpaceDE w:val="0"/>
        <w:autoSpaceDN/>
        <w:bidi w:val="0"/>
        <w:adjustRightInd/>
        <w:spacing w:before="0" w:beforeAutospacing="0" w:after="0" w:afterAutospacing="0" w:line="554" w:lineRule="exact"/>
        <w:ind w:left="0" w:leftChars="0" w:right="0" w:firstLine="640" w:firstLineChars="200"/>
        <w:jc w:val="both"/>
        <w:textAlignment w:val="auto"/>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仿宋_GBK" w:cs="Times New Roman"/>
          <w:b w:val="0"/>
          <w:bCs w:val="0"/>
          <w:color w:val="auto"/>
          <w:spacing w:val="0"/>
          <w:w w:val="100"/>
          <w:sz w:val="32"/>
          <w:szCs w:val="32"/>
        </w:rPr>
        <w:t>待遇享受不设起付标准</w:t>
      </w:r>
      <w:r>
        <w:rPr>
          <w:rFonts w:hint="eastAsia"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符合规定的长期护理服务费用</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strike w:val="0"/>
          <w:dstrike w:val="0"/>
          <w:color w:val="auto"/>
          <w:spacing w:val="0"/>
          <w:w w:val="100"/>
          <w:sz w:val="32"/>
          <w:szCs w:val="32"/>
        </w:rPr>
        <w:t>按职</w:t>
      </w:r>
      <w:r>
        <w:rPr>
          <w:rFonts w:hint="default" w:ascii="Times New Roman" w:hAnsi="Times New Roman" w:eastAsia="方正仿宋_GBK" w:cs="Times New Roman"/>
          <w:b w:val="0"/>
          <w:bCs w:val="0"/>
          <w:strike w:val="0"/>
          <w:dstrike w:val="0"/>
          <w:color w:val="auto"/>
          <w:spacing w:val="0"/>
          <w:w w:val="100"/>
          <w:sz w:val="32"/>
          <w:szCs w:val="32"/>
          <w:lang w:val="en-US" w:eastAsia="zh-CN"/>
        </w:rPr>
        <w:t>工</w:t>
      </w:r>
      <w:r>
        <w:rPr>
          <w:rFonts w:hint="default" w:ascii="Times New Roman" w:hAnsi="Times New Roman" w:eastAsia="方正仿宋_GBK" w:cs="Times New Roman"/>
          <w:b w:val="0"/>
          <w:bCs w:val="0"/>
          <w:strike w:val="0"/>
          <w:dstrike w:val="0"/>
          <w:color w:val="auto"/>
          <w:spacing w:val="0"/>
          <w:w w:val="100"/>
          <w:sz w:val="32"/>
          <w:szCs w:val="32"/>
        </w:rPr>
        <w:t>参保政策参保的</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基金支付比例为70%</w:t>
      </w:r>
      <w:r>
        <w:rPr>
          <w:rFonts w:hint="eastAsia" w:ascii="Times New Roman" w:hAnsi="Times New Roman" w:eastAsia="方正仿宋_GBK" w:cs="Times New Roman"/>
          <w:b w:val="0"/>
          <w:bCs w:val="0"/>
          <w:color w:val="auto"/>
          <w:spacing w:val="0"/>
          <w:w w:val="100"/>
          <w:sz w:val="32"/>
          <w:szCs w:val="32"/>
          <w:lang w:val="en-US" w:eastAsia="zh-CN"/>
        </w:rPr>
        <w:t>左右</w:t>
      </w:r>
      <w:r>
        <w:rPr>
          <w:rFonts w:hint="default" w:ascii="Times New Roman" w:hAnsi="Times New Roman" w:eastAsia="方正仿宋_GBK" w:cs="Times New Roman"/>
          <w:b w:val="0"/>
          <w:bCs w:val="0"/>
          <w:strike w:val="0"/>
          <w:dstrike w:val="0"/>
          <w:color w:val="auto"/>
          <w:spacing w:val="0"/>
          <w:w w:val="100"/>
          <w:sz w:val="32"/>
          <w:szCs w:val="32"/>
          <w:lang w:eastAsia="zh-CN"/>
        </w:rPr>
        <w:t>；</w:t>
      </w:r>
      <w:r>
        <w:rPr>
          <w:rFonts w:hint="eastAsia" w:ascii="Times New Roman" w:hAnsi="Times New Roman" w:eastAsia="方正仿宋_GBK" w:cs="Times New Roman"/>
          <w:b w:val="0"/>
          <w:bCs w:val="0"/>
          <w:strike w:val="0"/>
          <w:dstrike w:val="0"/>
          <w:color w:val="auto"/>
          <w:spacing w:val="0"/>
          <w:w w:val="100"/>
          <w:sz w:val="32"/>
          <w:szCs w:val="32"/>
          <w:lang w:eastAsia="zh-CN"/>
        </w:rPr>
        <w:t>按未就业城乡居民参保政策参保的</w:t>
      </w:r>
      <w:r>
        <w:rPr>
          <w:rFonts w:hint="default" w:ascii="Times New Roman" w:hAnsi="Times New Roman" w:eastAsia="方正仿宋_GBK" w:cs="Times New Roman"/>
          <w:b w:val="0"/>
          <w:bCs w:val="0"/>
          <w:strike w:val="0"/>
          <w:dstrike w:val="0"/>
          <w:color w:val="auto"/>
          <w:spacing w:val="0"/>
          <w:w w:val="100"/>
          <w:sz w:val="32"/>
          <w:szCs w:val="32"/>
          <w:lang w:eastAsia="zh-CN"/>
        </w:rPr>
        <w:t>，</w:t>
      </w:r>
      <w:r>
        <w:rPr>
          <w:rFonts w:hint="default" w:ascii="Times New Roman" w:hAnsi="Times New Roman" w:eastAsia="方正仿宋_GBK" w:cs="Times New Roman"/>
          <w:b w:val="0"/>
          <w:bCs w:val="0"/>
          <w:strike w:val="0"/>
          <w:dstrike w:val="0"/>
          <w:color w:val="auto"/>
          <w:spacing w:val="0"/>
          <w:w w:val="100"/>
          <w:sz w:val="32"/>
          <w:szCs w:val="32"/>
        </w:rPr>
        <w:t>基金支付比例为50%</w:t>
      </w:r>
      <w:r>
        <w:rPr>
          <w:rFonts w:hint="eastAsia" w:ascii="Times New Roman" w:hAnsi="Times New Roman" w:eastAsia="方正仿宋_GBK" w:cs="Times New Roman"/>
          <w:b w:val="0"/>
          <w:bCs w:val="0"/>
          <w:color w:val="auto"/>
          <w:spacing w:val="0"/>
          <w:w w:val="100"/>
          <w:sz w:val="32"/>
          <w:szCs w:val="32"/>
          <w:lang w:val="en-US" w:eastAsia="zh-CN"/>
        </w:rPr>
        <w:t>左右</w:t>
      </w:r>
      <w:r>
        <w:rPr>
          <w:rFonts w:hint="eastAsia"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lang w:val="en-US" w:eastAsia="zh-CN"/>
        </w:rPr>
        <w:t>参保人员</w:t>
      </w:r>
      <w:r>
        <w:rPr>
          <w:rFonts w:hint="default" w:ascii="Times New Roman" w:hAnsi="Times New Roman" w:eastAsia="方正仿宋_GBK" w:cs="Times New Roman"/>
          <w:b w:val="0"/>
          <w:bCs w:val="0"/>
          <w:color w:val="auto"/>
          <w:spacing w:val="0"/>
          <w:w w:val="100"/>
          <w:sz w:val="32"/>
          <w:szCs w:val="32"/>
        </w:rPr>
        <w:t>基金年度最高支付限额</w:t>
      </w:r>
      <w:r>
        <w:rPr>
          <w:rFonts w:hint="eastAsia" w:eastAsia="方正仿宋_GBK" w:cs="Times New Roman"/>
          <w:b w:val="0"/>
          <w:bCs w:val="0"/>
          <w:color w:val="auto"/>
          <w:spacing w:val="0"/>
          <w:w w:val="100"/>
          <w:sz w:val="32"/>
          <w:szCs w:val="32"/>
          <w:lang w:val="en-US" w:eastAsia="zh-CN"/>
        </w:rPr>
        <w:t>不超过</w:t>
      </w:r>
      <w:r>
        <w:rPr>
          <w:rFonts w:hint="default" w:ascii="Times New Roman" w:hAnsi="Times New Roman" w:eastAsia="方正仿宋_GBK" w:cs="Times New Roman"/>
          <w:b w:val="0"/>
          <w:bCs w:val="0"/>
          <w:color w:val="auto"/>
          <w:spacing w:val="0"/>
          <w:w w:val="100"/>
          <w:sz w:val="32"/>
          <w:szCs w:val="32"/>
        </w:rPr>
        <w:t>全省上年度城乡居民人均可支配收入的50%。</w:t>
      </w:r>
      <w:r>
        <w:rPr>
          <w:rFonts w:hint="default" w:ascii="Times New Roman" w:hAnsi="Times New Roman" w:eastAsia="方正仿宋_GBK" w:cs="Times New Roman"/>
          <w:b w:val="0"/>
          <w:bCs w:val="0"/>
          <w:i w:val="0"/>
          <w:iCs w:val="0"/>
          <w:color w:val="auto"/>
          <w:spacing w:val="0"/>
          <w:kern w:val="0"/>
          <w:sz w:val="32"/>
          <w:szCs w:val="32"/>
          <w:u w:val="none"/>
          <w:shd w:val="clear" w:fill="FFFFFF"/>
          <w:lang w:val="en-US" w:eastAsia="zh-CN" w:bidi="ar"/>
        </w:rPr>
        <w:t>长期护理服务主要包括机构护理、社区护理、居家护理等服务方式，</w:t>
      </w:r>
      <w:r>
        <w:rPr>
          <w:rFonts w:hint="default" w:ascii="Times New Roman" w:hAnsi="Times New Roman" w:eastAsia="方正仿宋_GBK" w:cs="Times New Roman"/>
          <w:b w:val="0"/>
          <w:bCs w:val="0"/>
          <w:i w:val="0"/>
          <w:iCs w:val="0"/>
          <w:color w:val="auto"/>
          <w:spacing w:val="0"/>
          <w:sz w:val="32"/>
          <w:szCs w:val="32"/>
          <w:shd w:val="clear" w:fill="FFFFFF"/>
        </w:rPr>
        <w:t>鼓励</w:t>
      </w:r>
      <w:r>
        <w:rPr>
          <w:rFonts w:hint="eastAsia" w:ascii="Times New Roman" w:hAnsi="Times New Roman" w:eastAsia="方正仿宋_GBK" w:cs="Times New Roman"/>
          <w:b w:val="0"/>
          <w:bCs w:val="0"/>
          <w:i w:val="0"/>
          <w:iCs w:val="0"/>
          <w:color w:val="auto"/>
          <w:spacing w:val="0"/>
          <w:sz w:val="32"/>
          <w:szCs w:val="32"/>
          <w:shd w:val="clear" w:fill="FFFFFF"/>
          <w:lang w:val="en-US" w:eastAsia="zh-CN"/>
        </w:rPr>
        <w:t>优先选择</w:t>
      </w:r>
      <w:r>
        <w:rPr>
          <w:rFonts w:hint="default" w:ascii="Times New Roman" w:hAnsi="Times New Roman" w:eastAsia="方正仿宋_GBK" w:cs="Times New Roman"/>
          <w:b w:val="0"/>
          <w:bCs w:val="0"/>
          <w:i w:val="0"/>
          <w:iCs w:val="0"/>
          <w:color w:val="auto"/>
          <w:spacing w:val="0"/>
          <w:sz w:val="32"/>
          <w:szCs w:val="32"/>
          <w:shd w:val="clear" w:fill="FFFFFF"/>
        </w:rPr>
        <w:t>居家和社区护理服务，在支付比例上给予适当倾斜。根据</w:t>
      </w:r>
      <w:r>
        <w:rPr>
          <w:rFonts w:hint="default" w:ascii="Times New Roman" w:hAnsi="Times New Roman" w:eastAsia="方正仿宋_GBK" w:cs="Times New Roman"/>
          <w:b w:val="0"/>
          <w:bCs w:val="0"/>
          <w:i w:val="0"/>
          <w:iCs w:val="0"/>
          <w:color w:val="auto"/>
          <w:spacing w:val="0"/>
          <w:sz w:val="32"/>
          <w:szCs w:val="32"/>
          <w:shd w:val="clear" w:fill="FFFFFF"/>
          <w:lang w:val="en-US" w:eastAsia="zh-CN"/>
        </w:rPr>
        <w:t>参保人员类别、</w:t>
      </w:r>
      <w:r>
        <w:rPr>
          <w:rFonts w:hint="default" w:ascii="Times New Roman" w:hAnsi="Times New Roman" w:eastAsia="方正仿宋_GBK" w:cs="Times New Roman"/>
          <w:b w:val="0"/>
          <w:bCs w:val="0"/>
          <w:i w:val="0"/>
          <w:iCs w:val="0"/>
          <w:color w:val="auto"/>
          <w:spacing w:val="0"/>
          <w:sz w:val="32"/>
          <w:szCs w:val="32"/>
          <w:shd w:val="clear" w:fill="FFFFFF"/>
        </w:rPr>
        <w:t>服务提供方式、失能等级等</w:t>
      </w:r>
      <w:r>
        <w:rPr>
          <w:rFonts w:hint="default" w:ascii="Times New Roman" w:hAnsi="Times New Roman" w:eastAsia="方正仿宋_GBK" w:cs="Times New Roman"/>
          <w:b w:val="0"/>
          <w:bCs w:val="0"/>
          <w:i w:val="0"/>
          <w:iCs w:val="0"/>
          <w:color w:val="auto"/>
          <w:spacing w:val="0"/>
          <w:sz w:val="32"/>
          <w:szCs w:val="32"/>
          <w:shd w:val="clear" w:fill="FFFFFF"/>
          <w:lang w:val="en-US" w:eastAsia="zh-CN"/>
        </w:rPr>
        <w:t>制定</w:t>
      </w:r>
      <w:r>
        <w:rPr>
          <w:rFonts w:hint="default" w:ascii="Times New Roman" w:hAnsi="Times New Roman" w:eastAsia="方正仿宋_GBK" w:cs="Times New Roman"/>
          <w:b w:val="0"/>
          <w:bCs w:val="0"/>
          <w:i w:val="0"/>
          <w:iCs w:val="0"/>
          <w:color w:val="auto"/>
          <w:spacing w:val="0"/>
          <w:sz w:val="32"/>
          <w:szCs w:val="32"/>
          <w:shd w:val="clear" w:fill="FFFFFF"/>
        </w:rPr>
        <w:t>差别化待遇保障政策。</w:t>
      </w:r>
      <w:r>
        <w:rPr>
          <w:rFonts w:hint="default" w:ascii="Times New Roman" w:hAnsi="Times New Roman" w:eastAsia="方正仿宋_GBK" w:cs="Times New Roman"/>
          <w:b w:val="0"/>
          <w:bCs w:val="0"/>
          <w:color w:val="auto"/>
          <w:spacing w:val="0"/>
          <w:w w:val="100"/>
          <w:sz w:val="32"/>
          <w:szCs w:val="32"/>
          <w:lang w:val="en-US" w:eastAsia="zh-CN"/>
        </w:rPr>
        <w:t>具体支付标准由</w:t>
      </w:r>
      <w:r>
        <w:rPr>
          <w:rFonts w:hint="default" w:ascii="Times New Roman" w:hAnsi="Times New Roman" w:eastAsia="方正仿宋_GBK" w:cs="Times New Roman"/>
          <w:b w:val="0"/>
          <w:bCs w:val="0"/>
          <w:i w:val="0"/>
          <w:iCs w:val="0"/>
          <w:color w:val="auto"/>
          <w:spacing w:val="0"/>
          <w:sz w:val="32"/>
          <w:szCs w:val="32"/>
          <w:shd w:val="clear" w:fill="FFFFFF"/>
        </w:rPr>
        <w:t>市医疗保障</w:t>
      </w:r>
      <w:r>
        <w:rPr>
          <w:rFonts w:hint="default" w:ascii="Times New Roman" w:hAnsi="Times New Roman" w:eastAsia="方正仿宋_GBK" w:cs="Times New Roman"/>
          <w:b w:val="0"/>
          <w:bCs w:val="0"/>
          <w:i w:val="0"/>
          <w:iCs w:val="0"/>
          <w:color w:val="auto"/>
          <w:spacing w:val="0"/>
          <w:sz w:val="32"/>
          <w:szCs w:val="32"/>
          <w:shd w:val="clear" w:fill="FFFFFF"/>
          <w:lang w:val="en-US" w:eastAsia="zh-CN"/>
        </w:rPr>
        <w:t>局</w:t>
      </w:r>
      <w:r>
        <w:rPr>
          <w:rFonts w:hint="default" w:ascii="Times New Roman" w:hAnsi="Times New Roman" w:eastAsia="方正仿宋_GBK" w:cs="Times New Roman"/>
          <w:b w:val="0"/>
          <w:bCs w:val="0"/>
          <w:i w:val="0"/>
          <w:iCs w:val="0"/>
          <w:color w:val="auto"/>
          <w:spacing w:val="0"/>
          <w:sz w:val="32"/>
          <w:szCs w:val="32"/>
          <w:shd w:val="clear" w:fill="FFFFFF"/>
        </w:rPr>
        <w:t>会同</w:t>
      </w:r>
      <w:r>
        <w:rPr>
          <w:rFonts w:hint="default" w:ascii="Times New Roman" w:hAnsi="Times New Roman" w:eastAsia="方正仿宋_GBK" w:cs="Times New Roman"/>
          <w:b w:val="0"/>
          <w:bCs w:val="0"/>
          <w:i w:val="0"/>
          <w:iCs w:val="0"/>
          <w:color w:val="auto"/>
          <w:spacing w:val="0"/>
          <w:sz w:val="32"/>
          <w:szCs w:val="32"/>
          <w:shd w:val="clear" w:fill="FFFFFF"/>
          <w:lang w:val="en-US" w:eastAsia="zh-CN"/>
        </w:rPr>
        <w:t>市</w:t>
      </w:r>
      <w:r>
        <w:rPr>
          <w:rFonts w:hint="default" w:ascii="Times New Roman" w:hAnsi="Times New Roman" w:eastAsia="方正仿宋_GBK" w:cs="Times New Roman"/>
          <w:b w:val="0"/>
          <w:bCs w:val="0"/>
          <w:i w:val="0"/>
          <w:iCs w:val="0"/>
          <w:color w:val="auto"/>
          <w:spacing w:val="0"/>
          <w:sz w:val="32"/>
          <w:szCs w:val="32"/>
          <w:shd w:val="clear" w:fill="FFFFFF"/>
        </w:rPr>
        <w:t>财政</w:t>
      </w:r>
      <w:r>
        <w:rPr>
          <w:rFonts w:hint="default" w:ascii="Times New Roman" w:hAnsi="Times New Roman" w:eastAsia="方正仿宋_GBK" w:cs="Times New Roman"/>
          <w:b w:val="0"/>
          <w:bCs w:val="0"/>
          <w:i w:val="0"/>
          <w:iCs w:val="0"/>
          <w:color w:val="auto"/>
          <w:spacing w:val="0"/>
          <w:sz w:val="32"/>
          <w:szCs w:val="32"/>
          <w:shd w:val="clear" w:fill="FFFFFF"/>
          <w:lang w:val="en-US" w:eastAsia="zh-CN"/>
        </w:rPr>
        <w:t>局</w:t>
      </w:r>
      <w:r>
        <w:rPr>
          <w:rFonts w:hint="eastAsia" w:eastAsia="方正仿宋_GBK" w:cs="Times New Roman"/>
          <w:b w:val="0"/>
          <w:bCs w:val="0"/>
          <w:i w:val="0"/>
          <w:iCs w:val="0"/>
          <w:color w:val="auto"/>
          <w:spacing w:val="0"/>
          <w:sz w:val="32"/>
          <w:szCs w:val="32"/>
          <w:shd w:val="clear" w:fill="FFFFFF"/>
          <w:lang w:val="en-US" w:eastAsia="zh-CN"/>
        </w:rPr>
        <w:t>另行制定，</w:t>
      </w:r>
      <w:r>
        <w:rPr>
          <w:rFonts w:hint="default" w:ascii="Times New Roman" w:hAnsi="Times New Roman" w:eastAsia="方正仿宋_GBK" w:cs="Times New Roman"/>
          <w:b w:val="0"/>
          <w:bCs w:val="0"/>
          <w:i w:val="0"/>
          <w:iCs w:val="0"/>
          <w:color w:val="auto"/>
          <w:spacing w:val="0"/>
          <w:sz w:val="32"/>
          <w:szCs w:val="32"/>
          <w:shd w:val="clear" w:fill="FFFFFF"/>
        </w:rPr>
        <w:t>并</w:t>
      </w:r>
      <w:r>
        <w:rPr>
          <w:rFonts w:hint="default" w:ascii="Times New Roman" w:hAnsi="Times New Roman" w:eastAsia="方正仿宋_GBK" w:cs="Times New Roman"/>
          <w:b w:val="0"/>
          <w:bCs w:val="0"/>
          <w:i w:val="0"/>
          <w:iCs w:val="0"/>
          <w:color w:val="auto"/>
          <w:spacing w:val="0"/>
          <w:sz w:val="32"/>
          <w:szCs w:val="32"/>
          <w:shd w:val="clear" w:fill="FFFFFF"/>
          <w:lang w:val="en-US" w:eastAsia="zh-CN"/>
        </w:rPr>
        <w:t>根据基金运行情况</w:t>
      </w:r>
      <w:r>
        <w:rPr>
          <w:rFonts w:hint="default" w:ascii="Times New Roman" w:hAnsi="Times New Roman" w:eastAsia="方正仿宋_GBK" w:cs="Times New Roman"/>
          <w:b w:val="0"/>
          <w:bCs w:val="0"/>
          <w:i w:val="0"/>
          <w:iCs w:val="0"/>
          <w:color w:val="auto"/>
          <w:spacing w:val="0"/>
          <w:sz w:val="32"/>
          <w:szCs w:val="32"/>
          <w:shd w:val="clear" w:fill="FFFFFF"/>
        </w:rPr>
        <w:t>适时调整。</w:t>
      </w:r>
    </w:p>
    <w:p w14:paraId="209E8575">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0" w:firstLineChars="200"/>
        <w:jc w:val="both"/>
        <w:textAlignment w:val="auto"/>
        <w:outlineLvl w:val="0"/>
        <w:rPr>
          <w:rFonts w:hint="eastAsia" w:ascii="Times New Roman" w:hAnsi="Times New Roman" w:eastAsia="方正楷体_GBK" w:cs="Times New Roman"/>
          <w:b w:val="0"/>
          <w:bCs w:val="0"/>
          <w:color w:val="FF0000"/>
          <w:spacing w:val="0"/>
          <w:w w:val="100"/>
          <w:sz w:val="32"/>
          <w:szCs w:val="32"/>
          <w:lang w:val="en-US" w:eastAsia="zh-CN"/>
        </w:rPr>
      </w:pPr>
      <w:r>
        <w:rPr>
          <w:rFonts w:hint="eastAsia" w:ascii="方正楷体_GBK" w:hAnsi="方正楷体_GBK" w:eastAsia="方正楷体_GBK" w:cs="方正楷体_GBK"/>
          <w:b w:val="0"/>
          <w:bCs w:val="0"/>
          <w:i w:val="0"/>
          <w:iCs w:val="0"/>
          <w:color w:val="auto"/>
          <w:spacing w:val="0"/>
          <w:kern w:val="0"/>
          <w:sz w:val="32"/>
          <w:szCs w:val="32"/>
          <w:u w:val="none"/>
          <w:shd w:val="clear" w:color="auto" w:fill="FFFFFF"/>
          <w:lang w:val="en-US" w:eastAsia="zh-CN" w:bidi="ar-SA"/>
        </w:rPr>
        <w:t>（三）规范待遇享受</w:t>
      </w:r>
    </w:p>
    <w:p w14:paraId="02DAF17D">
      <w:pPr>
        <w:pStyle w:val="6"/>
        <w:keepNext w:val="0"/>
        <w:keepLines w:val="0"/>
        <w:pageBreakBefore w:val="0"/>
        <w:widowControl w:val="0"/>
        <w:numPr>
          <w:ilvl w:val="0"/>
          <w:numId w:val="0"/>
        </w:numPr>
        <w:shd w:val="clear" w:color="auto" w:fill="auto"/>
        <w:tabs>
          <w:tab w:val="left" w:pos="1046"/>
        </w:tabs>
        <w:kinsoku/>
        <w:wordWrap/>
        <w:overflowPunct/>
        <w:topLinePunct w:val="0"/>
        <w:autoSpaceDE/>
        <w:autoSpaceDN/>
        <w:bidi w:val="0"/>
        <w:spacing w:before="0" w:after="0" w:line="554" w:lineRule="exact"/>
        <w:ind w:leftChars="0" w:right="0" w:rightChars="0" w:firstLine="643" w:firstLineChars="200"/>
        <w:jc w:val="both"/>
        <w:textAlignment w:val="auto"/>
        <w:rPr>
          <w:rFonts w:hint="default" w:ascii="Times New Roman" w:hAnsi="Times New Roman" w:eastAsia="方正仿宋_GBK" w:cs="Times New Roman"/>
          <w:b w:val="0"/>
          <w:bCs w:val="0"/>
          <w:color w:val="auto"/>
          <w:spacing w:val="0"/>
          <w:w w:val="100"/>
          <w:sz w:val="32"/>
          <w:szCs w:val="32"/>
        </w:rPr>
      </w:pP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1.支付</w:t>
      </w:r>
      <w:r>
        <w:rPr>
          <w:rFonts w:hint="eastAsia"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范围。</w:t>
      </w:r>
      <w:r>
        <w:rPr>
          <w:rFonts w:hint="default" w:ascii="Times New Roman" w:hAnsi="Times New Roman" w:eastAsia="方正仿宋_GBK" w:cs="Times New Roman"/>
          <w:b w:val="0"/>
          <w:bCs w:val="0"/>
          <w:i w:val="0"/>
          <w:iCs w:val="0"/>
          <w:color w:val="auto"/>
          <w:spacing w:val="0"/>
          <w:kern w:val="0"/>
          <w:sz w:val="32"/>
          <w:szCs w:val="32"/>
          <w:u w:val="none"/>
          <w:shd w:val="clear" w:fill="FFFFFF"/>
          <w:lang w:val="en-US" w:eastAsia="zh-CN" w:bidi="ar"/>
        </w:rPr>
        <w:t>基金主要用于支付符合规定的长期护理服务机构和人员提供长期护理基本服</w:t>
      </w:r>
      <w:r>
        <w:rPr>
          <w:rFonts w:hint="default" w:ascii="Times New Roman" w:hAnsi="Times New Roman" w:eastAsia="方正仿宋_GBK" w:cs="Times New Roman"/>
          <w:b w:val="0"/>
          <w:bCs w:val="0"/>
          <w:color w:val="auto"/>
          <w:spacing w:val="0"/>
          <w:w w:val="100"/>
          <w:sz w:val="32"/>
          <w:szCs w:val="32"/>
        </w:rPr>
        <w:t>务所发生的费用</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原则上不直接向失能人员发放现金。</w:t>
      </w:r>
      <w:r>
        <w:rPr>
          <w:rFonts w:hint="default" w:ascii="Times New Roman" w:hAnsi="Times New Roman" w:eastAsia="方正仿宋_GBK" w:cs="Times New Roman"/>
          <w:b w:val="0"/>
          <w:bCs w:val="0"/>
          <w:color w:val="auto"/>
          <w:kern w:val="2"/>
          <w:sz w:val="32"/>
          <w:szCs w:val="32"/>
          <w:lang w:val="en-US" w:eastAsia="zh-CN"/>
        </w:rPr>
        <w:t>严格执行国家统一的长期护理保险服务项目目录</w:t>
      </w:r>
      <w:r>
        <w:rPr>
          <w:rFonts w:hint="eastAsia" w:ascii="Times New Roman" w:hAnsi="Times New Roman" w:eastAsia="方正仿宋_GBK" w:cs="Times New Roman"/>
          <w:b w:val="0"/>
          <w:bCs w:val="0"/>
          <w:color w:val="auto"/>
          <w:kern w:val="2"/>
          <w:sz w:val="32"/>
          <w:szCs w:val="32"/>
          <w:lang w:val="en-US" w:eastAsia="zh-CN"/>
        </w:rPr>
        <w:t>。根据国家、省统一部署，</w:t>
      </w:r>
      <w:r>
        <w:rPr>
          <w:rFonts w:hint="default" w:ascii="Times New Roman" w:hAnsi="Times New Roman" w:eastAsia="方正仿宋_GBK" w:cs="Times New Roman"/>
          <w:b w:val="0"/>
          <w:bCs w:val="0"/>
          <w:color w:val="auto"/>
          <w:spacing w:val="0"/>
          <w:w w:val="100"/>
          <w:sz w:val="32"/>
          <w:szCs w:val="32"/>
        </w:rPr>
        <w:t>逐步将长期护理相关智能化</w:t>
      </w:r>
      <w:r>
        <w:rPr>
          <w:rFonts w:hint="default" w:ascii="Times New Roman" w:hAnsi="Times New Roman" w:eastAsia="方正仿宋_GBK" w:cs="Times New Roman"/>
          <w:b w:val="0"/>
          <w:bCs w:val="0"/>
          <w:color w:val="auto"/>
          <w:spacing w:val="0"/>
          <w:w w:val="100"/>
          <w:sz w:val="32"/>
          <w:szCs w:val="32"/>
          <w:lang w:val="en-US" w:eastAsia="zh-CN"/>
        </w:rPr>
        <w:t>服</w:t>
      </w:r>
      <w:r>
        <w:rPr>
          <w:rFonts w:hint="default" w:ascii="Times New Roman" w:hAnsi="Times New Roman" w:eastAsia="方正仿宋_GBK" w:cs="Times New Roman"/>
          <w:b w:val="0"/>
          <w:bCs w:val="0"/>
          <w:color w:val="auto"/>
          <w:spacing w:val="0"/>
          <w:w w:val="100"/>
          <w:sz w:val="32"/>
          <w:szCs w:val="32"/>
        </w:rPr>
        <w:t>务和支持性辅助器具等纳入支付范围。</w:t>
      </w:r>
    </w:p>
    <w:p w14:paraId="07BA062B">
      <w:pPr>
        <w:pStyle w:val="6"/>
        <w:keepNext w:val="0"/>
        <w:keepLines w:val="0"/>
        <w:pageBreakBefore w:val="0"/>
        <w:widowControl w:val="0"/>
        <w:numPr>
          <w:ilvl w:val="0"/>
          <w:numId w:val="0"/>
        </w:numPr>
        <w:shd w:val="clear" w:color="auto" w:fill="auto"/>
        <w:tabs>
          <w:tab w:val="left" w:pos="1046"/>
        </w:tabs>
        <w:kinsoku/>
        <w:wordWrap/>
        <w:overflowPunct/>
        <w:topLinePunct w:val="0"/>
        <w:autoSpaceDE/>
        <w:autoSpaceDN/>
        <w:bidi w:val="0"/>
        <w:spacing w:before="0" w:after="0" w:line="554" w:lineRule="exact"/>
        <w:ind w:leftChars="0" w:right="0" w:rightChars="0" w:firstLine="643" w:firstLineChars="200"/>
        <w:jc w:val="both"/>
        <w:textAlignment w:val="auto"/>
        <w:rPr>
          <w:rFonts w:hint="default" w:ascii="Times New Roman" w:hAnsi="Times New Roman" w:eastAsia="方正仿宋_GBK" w:cs="Times New Roman"/>
          <w:b w:val="0"/>
          <w:bCs w:val="0"/>
          <w:i w:val="0"/>
          <w:iCs w:val="0"/>
          <w:color w:val="auto"/>
          <w:spacing w:val="0"/>
          <w:sz w:val="32"/>
          <w:szCs w:val="32"/>
          <w:shd w:val="clear" w:fill="FFFFFF"/>
        </w:rPr>
      </w:pPr>
      <w:r>
        <w:rPr>
          <w:rFonts w:hint="eastAsia"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2.不予支付的情形。</w:t>
      </w:r>
      <w:r>
        <w:rPr>
          <w:rFonts w:hint="default" w:ascii="Times New Roman" w:hAnsi="Times New Roman" w:eastAsia="方正仿宋_GBK" w:cs="Times New Roman"/>
          <w:b w:val="0"/>
          <w:bCs w:val="0"/>
          <w:color w:val="auto"/>
          <w:kern w:val="2"/>
          <w:sz w:val="32"/>
          <w:szCs w:val="32"/>
          <w:lang w:val="en-US" w:eastAsia="zh-CN"/>
        </w:rPr>
        <w:t>超出长期护理保险服务项目外的费用</w:t>
      </w:r>
      <w:r>
        <w:rPr>
          <w:rFonts w:hint="eastAsia" w:ascii="Times New Roman" w:hAnsi="Times New Roman" w:eastAsia="方正仿宋_GBK" w:cs="Times New Roman"/>
          <w:b w:val="0"/>
          <w:bCs w:val="0"/>
          <w:color w:val="auto"/>
          <w:kern w:val="2"/>
          <w:sz w:val="32"/>
          <w:szCs w:val="32"/>
          <w:lang w:val="en-US" w:eastAsia="zh-CN"/>
        </w:rPr>
        <w:t>；</w:t>
      </w:r>
      <w:r>
        <w:rPr>
          <w:rFonts w:hint="default" w:ascii="Times New Roman" w:hAnsi="Times New Roman" w:eastAsia="方正仿宋_GBK" w:cs="Times New Roman"/>
          <w:b w:val="0"/>
          <w:bCs w:val="0"/>
          <w:color w:val="auto"/>
          <w:spacing w:val="0"/>
          <w:w w:val="100"/>
          <w:sz w:val="32"/>
          <w:szCs w:val="32"/>
        </w:rPr>
        <w:t>对机构床位费、膳食费等非护理服务费用以及应由医疗保险支付的医疗费用</w:t>
      </w:r>
      <w:r>
        <w:rPr>
          <w:rFonts w:hint="default" w:ascii="Times New Roman" w:hAnsi="Times New Roman" w:eastAsia="方正仿宋_GBK" w:cs="Times New Roman"/>
          <w:b w:val="0"/>
          <w:bCs w:val="0"/>
          <w:i w:val="0"/>
          <w:iCs w:val="0"/>
          <w:color w:val="auto"/>
          <w:spacing w:val="0"/>
          <w:sz w:val="32"/>
          <w:szCs w:val="32"/>
          <w:shd w:val="clear" w:fill="FFFFFF"/>
        </w:rPr>
        <w:t>。</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领取工伤保险生活护理费的参保人员</w:t>
      </w:r>
      <w:r>
        <w:rPr>
          <w:rFonts w:hint="eastAsia"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不重复享受长期护理保险相关待遇</w:t>
      </w:r>
      <w:r>
        <w:rPr>
          <w:rFonts w:hint="eastAsia"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w:t>
      </w:r>
    </w:p>
    <w:p w14:paraId="4C7978E1">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3" w:firstLineChars="200"/>
        <w:jc w:val="both"/>
        <w:textAlignment w:val="auto"/>
        <w:outlineLvl w:val="0"/>
        <w:rPr>
          <w:rFonts w:hint="default" w:ascii="Times New Roman" w:hAnsi="Times New Roman" w:eastAsia="方正仿宋_GBK" w:cs="Times New Roman"/>
          <w:b w:val="0"/>
          <w:bCs w:val="0"/>
          <w:i w:val="0"/>
          <w:iCs w:val="0"/>
          <w:color w:val="auto"/>
          <w:spacing w:val="0"/>
          <w:sz w:val="32"/>
          <w:szCs w:val="32"/>
          <w:shd w:val="clear" w:fill="FFFFFF"/>
        </w:rPr>
      </w:pPr>
      <w:r>
        <w:rPr>
          <w:rFonts w:hint="eastAsia" w:ascii="方正仿宋_GBK" w:hAnsi="方正仿宋_GBK" w:eastAsia="方正仿宋_GBK" w:cs="方正仿宋_GBK"/>
          <w:b/>
          <w:bCs/>
          <w:i w:val="0"/>
          <w:iCs w:val="0"/>
          <w:color w:val="auto"/>
          <w:spacing w:val="0"/>
          <w:kern w:val="0"/>
          <w:sz w:val="32"/>
          <w:szCs w:val="32"/>
          <w:shd w:val="clear" w:fill="FFFFFF"/>
          <w:lang w:val="en-US" w:eastAsia="zh-CN" w:bidi="ar"/>
        </w:rPr>
        <w:t>3.</w:t>
      </w:r>
      <w:r>
        <w:rPr>
          <w:rFonts w:hint="eastAsia" w:ascii="方正仿宋_GBK" w:hAnsi="方正仿宋_GBK" w:eastAsia="方正仿宋_GBK" w:cs="方正仿宋_GBK"/>
          <w:b/>
          <w:bCs/>
          <w:i w:val="0"/>
          <w:iCs w:val="0"/>
          <w:color w:val="auto"/>
          <w:spacing w:val="0"/>
          <w:kern w:val="0"/>
          <w:sz w:val="32"/>
          <w:szCs w:val="32"/>
          <w:u w:val="none"/>
          <w:shd w:val="clear" w:color="auto" w:fill="FFFFFF"/>
          <w:lang w:val="en-US" w:eastAsia="zh-CN" w:bidi="ar-SA"/>
        </w:rPr>
        <w:t>暂停支付情形。</w:t>
      </w:r>
      <w:r>
        <w:rPr>
          <w:rFonts w:hint="eastAsia" w:ascii="Times New Roman" w:hAnsi="Times New Roman" w:eastAsia="方正仿宋_GBK" w:cs="Times New Roman"/>
          <w:b w:val="0"/>
          <w:bCs w:val="0"/>
          <w:i w:val="0"/>
          <w:iCs w:val="0"/>
          <w:color w:val="auto"/>
          <w:spacing w:val="0"/>
          <w:kern w:val="0"/>
          <w:sz w:val="32"/>
          <w:szCs w:val="32"/>
          <w:shd w:val="clear" w:fill="FFFFFF"/>
          <w:lang w:val="en-US" w:eastAsia="zh-CN" w:bidi="ar"/>
        </w:rPr>
        <w:t>因病须至医疗机构住院治疗的，住院期间长期护理保险待遇暂停。参保人员因欠费等原因导致基本医疗保险待遇不能享受时，长期护理保险待遇暂停</w:t>
      </w:r>
      <w:r>
        <w:rPr>
          <w:rFonts w:hint="eastAsia" w:eastAsia="方正仿宋_GBK" w:cs="Times New Roman"/>
          <w:b w:val="0"/>
          <w:bCs w:val="0"/>
          <w:i w:val="0"/>
          <w:iCs w:val="0"/>
          <w:color w:val="auto"/>
          <w:spacing w:val="0"/>
          <w:kern w:val="0"/>
          <w:sz w:val="32"/>
          <w:szCs w:val="32"/>
          <w:shd w:val="clear" w:fill="FFFFFF"/>
          <w:lang w:val="en-US" w:eastAsia="zh-CN" w:bidi="ar"/>
        </w:rPr>
        <w:t>享受。</w:t>
      </w:r>
    </w:p>
    <w:p w14:paraId="31961D37">
      <w:pPr>
        <w:pStyle w:val="6"/>
        <w:keepNext w:val="0"/>
        <w:keepLines w:val="0"/>
        <w:pageBreakBefore w:val="0"/>
        <w:widowControl w:val="0"/>
        <w:shd w:val="clear" w:color="auto" w:fill="auto"/>
        <w:kinsoku/>
        <w:wordWrap/>
        <w:overflowPunct/>
        <w:topLinePunct w:val="0"/>
        <w:autoSpaceDE/>
        <w:autoSpaceDN/>
        <w:bidi w:val="0"/>
        <w:spacing w:before="0" w:after="0" w:line="554" w:lineRule="exact"/>
        <w:ind w:left="0" w:leftChars="0" w:right="0" w:firstLine="640" w:firstLineChars="200"/>
        <w:jc w:val="both"/>
        <w:textAlignment w:val="auto"/>
        <w:rPr>
          <w:rFonts w:hint="default" w:ascii="方正楷体_GBK" w:hAnsi="方正楷体_GBK" w:eastAsia="方正楷体_GBK" w:cs="方正楷体_GBK"/>
          <w:b w:val="0"/>
          <w:bCs w:val="0"/>
          <w:i w:val="0"/>
          <w:iCs w:val="0"/>
          <w:color w:val="auto"/>
          <w:spacing w:val="0"/>
          <w:kern w:val="0"/>
          <w:sz w:val="32"/>
          <w:szCs w:val="32"/>
          <w:u w:val="none"/>
          <w:shd w:val="clear" w:color="auto" w:fill="FFFFFF"/>
          <w:lang w:val="en-US" w:eastAsia="zh-CN" w:bidi="ar-SA"/>
        </w:rPr>
      </w:pPr>
      <w:bookmarkStart w:id="2" w:name="bookmark23"/>
      <w:bookmarkEnd w:id="2"/>
      <w:r>
        <w:rPr>
          <w:rFonts w:hint="eastAsia" w:ascii="方正楷体_GBK" w:hAnsi="方正楷体_GBK" w:eastAsia="方正楷体_GBK" w:cs="方正楷体_GBK"/>
          <w:b w:val="0"/>
          <w:bCs w:val="0"/>
          <w:i w:val="0"/>
          <w:iCs w:val="0"/>
          <w:color w:val="auto"/>
          <w:spacing w:val="0"/>
          <w:kern w:val="0"/>
          <w:sz w:val="32"/>
          <w:szCs w:val="32"/>
          <w:u w:val="none"/>
          <w:shd w:val="clear" w:color="auto" w:fill="FFFFFF"/>
          <w:lang w:val="en-US" w:eastAsia="zh-CN" w:bidi="ar-SA"/>
        </w:rPr>
        <w:t>（四）</w:t>
      </w:r>
      <w:r>
        <w:rPr>
          <w:rFonts w:hint="default" w:ascii="方正楷体_GBK" w:hAnsi="方正楷体_GBK" w:eastAsia="方正楷体_GBK" w:cs="方正楷体_GBK"/>
          <w:b w:val="0"/>
          <w:bCs w:val="0"/>
          <w:i w:val="0"/>
          <w:iCs w:val="0"/>
          <w:color w:val="auto"/>
          <w:spacing w:val="0"/>
          <w:kern w:val="0"/>
          <w:sz w:val="32"/>
          <w:szCs w:val="32"/>
          <w:u w:val="none"/>
          <w:shd w:val="clear" w:color="auto" w:fill="FFFFFF"/>
          <w:lang w:val="en-US" w:eastAsia="zh-CN" w:bidi="ar-SA"/>
        </w:rPr>
        <w:t>强化激励约束</w:t>
      </w:r>
    </w:p>
    <w:p w14:paraId="61CB2BA6">
      <w:pPr>
        <w:pStyle w:val="6"/>
        <w:keepNext w:val="0"/>
        <w:keepLines w:val="0"/>
        <w:pageBreakBefore w:val="0"/>
        <w:widowControl w:val="0"/>
        <w:shd w:val="clear" w:color="auto" w:fill="auto"/>
        <w:kinsoku/>
        <w:wordWrap/>
        <w:overflowPunct/>
        <w:topLinePunct w:val="0"/>
        <w:autoSpaceDE/>
        <w:autoSpaceDN/>
        <w:bidi w:val="0"/>
        <w:spacing w:before="0" w:after="0" w:line="554" w:lineRule="exact"/>
        <w:ind w:left="0" w:leftChars="0" w:right="0" w:firstLine="640" w:firstLineChars="200"/>
        <w:jc w:val="both"/>
        <w:textAlignment w:val="auto"/>
        <w:rPr>
          <w:rFonts w:hint="default" w:ascii="Times New Roman" w:hAnsi="Times New Roman" w:eastAsia="方正仿宋_GBK" w:cs="Times New Roman"/>
          <w:b w:val="0"/>
          <w:bCs w:val="0"/>
          <w:color w:val="auto"/>
          <w:spacing w:val="0"/>
          <w:w w:val="100"/>
          <w:sz w:val="32"/>
          <w:szCs w:val="32"/>
          <w:lang w:eastAsia="zh-CN"/>
        </w:rPr>
      </w:pP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严格落实省级统一</w:t>
      </w:r>
      <w:r>
        <w:rPr>
          <w:rFonts w:hint="default" w:ascii="Times New Roman" w:hAnsi="Times New Roman" w:eastAsia="方正仿宋_GBK" w:cs="Times New Roman"/>
          <w:b w:val="0"/>
          <w:bCs w:val="0"/>
          <w:i w:val="0"/>
          <w:iCs w:val="0"/>
          <w:color w:val="auto"/>
          <w:spacing w:val="0"/>
          <w:sz w:val="32"/>
          <w:szCs w:val="32"/>
          <w:shd w:val="clear" w:fill="FFFFFF"/>
          <w:lang w:val="en-US" w:eastAsia="zh-CN"/>
        </w:rPr>
        <w:t>规定</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，对连续参保的</w:t>
      </w:r>
      <w:r>
        <w:rPr>
          <w:rFonts w:hint="eastAsia"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未就业城乡居民</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，在待遇支付上给予适当倾斜；除新生儿等特定群体外，对未</w:t>
      </w:r>
      <w:r>
        <w:rPr>
          <w:rFonts w:hint="eastAsia" w:eastAsia="方正仿宋_GBK" w:cs="Times New Roman"/>
          <w:b w:val="0"/>
          <w:bCs w:val="0"/>
          <w:i w:val="0"/>
          <w:iCs w:val="0"/>
          <w:color w:val="auto"/>
          <w:spacing w:val="0"/>
          <w:kern w:val="0"/>
          <w:sz w:val="32"/>
          <w:szCs w:val="32"/>
          <w:u w:val="none"/>
          <w:shd w:val="clear" w:color="auto" w:fill="FFFFFF"/>
          <w:lang w:val="en-US" w:eastAsia="zh-CN" w:bidi="ar"/>
        </w:rPr>
        <w:t>在</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制度启动初期参保</w:t>
      </w:r>
      <w:r>
        <w:rPr>
          <w:rFonts w:hint="eastAsia" w:eastAsia="方正仿宋_GBK" w:cs="Times New Roman"/>
          <w:b w:val="0"/>
          <w:bCs w:val="0"/>
          <w:i w:val="0"/>
          <w:iCs w:val="0"/>
          <w:color w:val="auto"/>
          <w:spacing w:val="0"/>
          <w:kern w:val="0"/>
          <w:sz w:val="32"/>
          <w:szCs w:val="32"/>
          <w:u w:val="none"/>
          <w:shd w:val="clear" w:color="auto" w:fill="FFFFFF"/>
          <w:lang w:val="en-US" w:eastAsia="zh-CN" w:bidi="ar"/>
        </w:rPr>
        <w:t>，以及</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中断缴费后</w:t>
      </w:r>
      <w:r>
        <w:rPr>
          <w:rFonts w:hint="eastAsia" w:eastAsia="方正仿宋_GBK" w:cs="Times New Roman"/>
          <w:b w:val="0"/>
          <w:bCs w:val="0"/>
          <w:i w:val="0"/>
          <w:iCs w:val="0"/>
          <w:color w:val="auto"/>
          <w:spacing w:val="0"/>
          <w:kern w:val="0"/>
          <w:sz w:val="32"/>
          <w:szCs w:val="32"/>
          <w:u w:val="none"/>
          <w:shd w:val="clear" w:color="auto" w:fill="FFFFFF"/>
          <w:lang w:val="en-US" w:eastAsia="zh-CN" w:bidi="ar"/>
        </w:rPr>
        <w:t>再次</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参保</w:t>
      </w:r>
      <w:r>
        <w:rPr>
          <w:rFonts w:hint="eastAsia" w:eastAsia="方正仿宋_GBK" w:cs="Times New Roman"/>
          <w:b w:val="0"/>
          <w:bCs w:val="0"/>
          <w:i w:val="0"/>
          <w:iCs w:val="0"/>
          <w:color w:val="auto"/>
          <w:spacing w:val="0"/>
          <w:kern w:val="0"/>
          <w:sz w:val="32"/>
          <w:szCs w:val="32"/>
          <w:u w:val="none"/>
          <w:shd w:val="clear" w:color="auto" w:fill="FFFFFF"/>
          <w:lang w:val="en-US" w:eastAsia="zh-CN" w:bidi="ar"/>
        </w:rPr>
        <w:t>的</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人员，严格执行待遇</w:t>
      </w:r>
      <w:r>
        <w:rPr>
          <w:rFonts w:hint="eastAsia" w:eastAsia="方正仿宋_GBK" w:cs="Times New Roman"/>
          <w:b w:val="0"/>
          <w:bCs w:val="0"/>
          <w:i w:val="0"/>
          <w:iCs w:val="0"/>
          <w:color w:val="auto"/>
          <w:spacing w:val="0"/>
          <w:kern w:val="0"/>
          <w:sz w:val="32"/>
          <w:szCs w:val="32"/>
          <w:u w:val="none"/>
          <w:shd w:val="clear" w:color="auto" w:fill="FFFFFF"/>
          <w:lang w:val="en-US" w:eastAsia="zh-CN" w:bidi="ar"/>
        </w:rPr>
        <w:t>享受</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等待期</w:t>
      </w:r>
      <w:r>
        <w:rPr>
          <w:rFonts w:hint="eastAsia" w:eastAsia="方正仿宋_GBK" w:cs="Times New Roman"/>
          <w:b w:val="0"/>
          <w:bCs w:val="0"/>
          <w:i w:val="0"/>
          <w:i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阶段性</w:t>
      </w:r>
      <w:r>
        <w:rPr>
          <w:rFonts w:hint="eastAsia" w:eastAsia="方正仿宋_GBK" w:cs="Times New Roman"/>
          <w:b w:val="0"/>
          <w:bCs w:val="0"/>
          <w:i w:val="0"/>
          <w:iCs w:val="0"/>
          <w:color w:val="auto"/>
          <w:spacing w:val="0"/>
          <w:kern w:val="0"/>
          <w:sz w:val="32"/>
          <w:szCs w:val="32"/>
          <w:u w:val="none"/>
          <w:shd w:val="clear" w:color="auto" w:fill="FFFFFF"/>
          <w:lang w:val="en-US" w:eastAsia="zh-CN" w:bidi="ar"/>
        </w:rPr>
        <w:t>调低</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待遇</w:t>
      </w:r>
      <w:r>
        <w:rPr>
          <w:rFonts w:hint="eastAsia" w:eastAsia="方正仿宋_GBK" w:cs="Times New Roman"/>
          <w:b w:val="0"/>
          <w:bCs w:val="0"/>
          <w:i w:val="0"/>
          <w:iCs w:val="0"/>
          <w:color w:val="auto"/>
          <w:spacing w:val="0"/>
          <w:kern w:val="0"/>
          <w:sz w:val="32"/>
          <w:szCs w:val="32"/>
          <w:u w:val="none"/>
          <w:shd w:val="clear" w:color="auto" w:fill="FFFFFF"/>
          <w:lang w:val="en-US" w:eastAsia="zh-CN" w:bidi="ar"/>
        </w:rPr>
        <w:t>水平等约束性</w:t>
      </w: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措施</w:t>
      </w:r>
      <w:r>
        <w:rPr>
          <w:rFonts w:hint="eastAsia"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b w:val="0"/>
          <w:bCs w:val="0"/>
          <w:color w:val="auto"/>
          <w:spacing w:val="0"/>
          <w:w w:val="100"/>
          <w:sz w:val="32"/>
          <w:szCs w:val="32"/>
          <w:lang w:val="en-US" w:eastAsia="zh-CN"/>
        </w:rPr>
        <w:t>具体</w:t>
      </w:r>
      <w:r>
        <w:rPr>
          <w:rFonts w:hint="default" w:ascii="Times New Roman" w:hAnsi="Times New Roman" w:eastAsia="方正仿宋_GBK" w:cs="Times New Roman"/>
          <w:b w:val="0"/>
          <w:bCs w:val="0"/>
          <w:color w:val="auto"/>
          <w:spacing w:val="0"/>
          <w:w w:val="100"/>
          <w:sz w:val="32"/>
          <w:szCs w:val="32"/>
          <w:lang w:eastAsia="zh-CN"/>
        </w:rPr>
        <w:t>按照省</w:t>
      </w:r>
      <w:r>
        <w:rPr>
          <w:rFonts w:hint="default" w:ascii="Times New Roman" w:hAnsi="Times New Roman" w:eastAsia="方正仿宋_GBK" w:cs="Times New Roman"/>
          <w:b w:val="0"/>
          <w:bCs w:val="0"/>
          <w:color w:val="auto"/>
          <w:spacing w:val="0"/>
          <w:w w:val="100"/>
          <w:sz w:val="32"/>
          <w:szCs w:val="32"/>
          <w:lang w:val="en-US" w:eastAsia="zh-CN"/>
        </w:rPr>
        <w:t>级</w:t>
      </w:r>
      <w:r>
        <w:rPr>
          <w:rFonts w:hint="default" w:ascii="Times New Roman" w:hAnsi="Times New Roman" w:eastAsia="方正仿宋_GBK" w:cs="Times New Roman"/>
          <w:b w:val="0"/>
          <w:bCs w:val="0"/>
          <w:color w:val="auto"/>
          <w:spacing w:val="0"/>
          <w:w w:val="100"/>
          <w:sz w:val="32"/>
          <w:szCs w:val="32"/>
          <w:lang w:eastAsia="zh-CN"/>
        </w:rPr>
        <w:t>有关规定</w:t>
      </w:r>
      <w:r>
        <w:rPr>
          <w:rFonts w:hint="default" w:ascii="Times New Roman" w:hAnsi="Times New Roman" w:eastAsia="方正仿宋_GBK" w:cs="Times New Roman"/>
          <w:b w:val="0"/>
          <w:bCs w:val="0"/>
          <w:color w:val="auto"/>
          <w:spacing w:val="0"/>
          <w:w w:val="100"/>
          <w:sz w:val="32"/>
          <w:szCs w:val="32"/>
          <w:lang w:val="en-US" w:eastAsia="zh-CN"/>
        </w:rPr>
        <w:t>执行</w:t>
      </w:r>
      <w:r>
        <w:rPr>
          <w:rFonts w:hint="default" w:ascii="Times New Roman" w:hAnsi="Times New Roman" w:eastAsia="方正仿宋_GBK" w:cs="Times New Roman"/>
          <w:b w:val="0"/>
          <w:bCs w:val="0"/>
          <w:color w:val="auto"/>
          <w:spacing w:val="0"/>
          <w:w w:val="100"/>
          <w:sz w:val="32"/>
          <w:szCs w:val="32"/>
          <w:lang w:eastAsia="zh-CN"/>
        </w:rPr>
        <w:t>。</w:t>
      </w:r>
    </w:p>
    <w:p w14:paraId="3CCB8BC0">
      <w:pPr>
        <w:pStyle w:val="6"/>
        <w:keepNext w:val="0"/>
        <w:keepLines w:val="0"/>
        <w:pageBreakBefore w:val="0"/>
        <w:widowControl w:val="0"/>
        <w:shd w:val="clear" w:color="auto" w:fill="auto"/>
        <w:kinsoku/>
        <w:wordWrap/>
        <w:overflowPunct/>
        <w:topLinePunct w:val="0"/>
        <w:autoSpaceDE/>
        <w:autoSpaceDN/>
        <w:bidi w:val="0"/>
        <w:spacing w:before="0" w:after="0" w:line="554" w:lineRule="exact"/>
        <w:ind w:left="0" w:leftChars="0" w:right="0" w:firstLine="640" w:firstLineChars="200"/>
        <w:jc w:val="both"/>
        <w:textAlignment w:val="auto"/>
        <w:rPr>
          <w:rFonts w:hint="eastAsia" w:ascii="方正楷体_GBK" w:hAnsi="方正楷体_GBK" w:eastAsia="方正楷体_GBK" w:cs="方正楷体_GBK"/>
          <w:b w:val="0"/>
          <w:bCs w:val="0"/>
          <w:i w:val="0"/>
          <w:iCs w:val="0"/>
          <w:color w:val="auto"/>
          <w:spacing w:val="0"/>
          <w:kern w:val="0"/>
          <w:sz w:val="32"/>
          <w:szCs w:val="32"/>
          <w:u w:val="none"/>
          <w:shd w:val="clear" w:color="auto" w:fill="FFFFFF"/>
          <w:lang w:val="en-US" w:eastAsia="zh-CN" w:bidi="ar-SA"/>
        </w:rPr>
      </w:pPr>
      <w:r>
        <w:rPr>
          <w:rFonts w:hint="eastAsia" w:ascii="方正楷体_GBK" w:hAnsi="方正楷体_GBK" w:eastAsia="方正楷体_GBK" w:cs="方正楷体_GBK"/>
          <w:b w:val="0"/>
          <w:bCs w:val="0"/>
          <w:i w:val="0"/>
          <w:iCs w:val="0"/>
          <w:color w:val="auto"/>
          <w:spacing w:val="0"/>
          <w:kern w:val="0"/>
          <w:sz w:val="32"/>
          <w:szCs w:val="32"/>
          <w:u w:val="none"/>
          <w:shd w:val="clear" w:color="auto" w:fill="FFFFFF"/>
          <w:lang w:val="en-US" w:eastAsia="zh-CN" w:bidi="ar-SA"/>
        </w:rPr>
        <w:t>（五）做好政策衔接</w:t>
      </w:r>
    </w:p>
    <w:p w14:paraId="2225EFF6">
      <w:pPr>
        <w:keepNext w:val="0"/>
        <w:keepLines w:val="0"/>
        <w:pageBreakBefore w:val="0"/>
        <w:widowControl w:val="0"/>
        <w:numPr>
          <w:ilvl w:val="0"/>
          <w:numId w:val="0"/>
        </w:numPr>
        <w:kinsoku/>
        <w:wordWrap/>
        <w:overflowPunct/>
        <w:topLinePunct w:val="0"/>
        <w:autoSpaceDE/>
        <w:autoSpaceDN/>
        <w:bidi w:val="0"/>
        <w:spacing w:line="554" w:lineRule="exact"/>
        <w:ind w:firstLine="640" w:firstLineChars="200"/>
        <w:jc w:val="both"/>
        <w:textAlignment w:val="auto"/>
        <w:outlineLvl w:val="0"/>
        <w:rPr>
          <w:rFonts w:hint="default" w:ascii="方正楷体_GBK" w:hAnsi="方正楷体_GBK" w:eastAsia="方正楷体_GBK" w:cs="方正楷体_GBK"/>
          <w:b w:val="0"/>
          <w:bCs w:val="0"/>
          <w:i w:val="0"/>
          <w:iCs w:val="0"/>
          <w:color w:val="auto"/>
          <w:spacing w:val="0"/>
          <w:kern w:val="0"/>
          <w:sz w:val="32"/>
          <w:szCs w:val="32"/>
          <w:u w:val="none"/>
          <w:shd w:val="clear" w:color="auto" w:fill="FFFFFF"/>
          <w:lang w:val="en-US" w:eastAsia="zh-CN" w:bidi="ar-SA"/>
        </w:rPr>
      </w:pPr>
      <w:r>
        <w:rPr>
          <w:rFonts w:hint="default" w:ascii="Times New Roman" w:hAnsi="Times New Roman" w:eastAsia="方正仿宋_GBK" w:cs="Times New Roman"/>
          <w:b w:val="0"/>
          <w:bCs w:val="0"/>
          <w:i w:val="0"/>
          <w:iCs w:val="0"/>
          <w:color w:val="auto"/>
          <w:spacing w:val="0"/>
          <w:kern w:val="0"/>
          <w:sz w:val="32"/>
          <w:szCs w:val="32"/>
          <w:u w:val="none"/>
          <w:shd w:val="clear" w:color="auto" w:fill="FFFFFF"/>
          <w:lang w:val="en-US" w:eastAsia="zh-CN" w:bidi="ar"/>
        </w:rPr>
        <w:t>按照国家及省统一部署，统筹做好长期护理保险与经济困难高龄失能老年人补贴、重度残疾人护理补贴等相关政策的衔接工作，确保政策落地精准有效。</w:t>
      </w:r>
    </w:p>
    <w:p w14:paraId="19D721A3">
      <w:pPr>
        <w:keepNext w:val="0"/>
        <w:keepLines w:val="0"/>
        <w:pageBreakBefore w:val="0"/>
        <w:widowControl/>
        <w:suppressLineNumbers w:val="0"/>
        <w:kinsoku/>
        <w:wordWrap/>
        <w:topLinePunct w:val="0"/>
        <w:autoSpaceDN/>
        <w:bidi w:val="0"/>
        <w:spacing w:line="554" w:lineRule="exact"/>
        <w:ind w:leftChars="0" w:firstLine="640" w:firstLineChars="200"/>
        <w:jc w:val="both"/>
        <w:textAlignment w:val="auto"/>
        <w:rPr>
          <w:rStyle w:val="5"/>
          <w:rFonts w:hint="default" w:ascii="Times New Roman" w:hAnsi="Times New Roman" w:eastAsia="方正黑体_GBK" w:cs="Times New Roman"/>
          <w:b w:val="0"/>
          <w:bCs/>
          <w:i w:val="0"/>
          <w:iCs w:val="0"/>
          <w:color w:val="auto"/>
          <w:spacing w:val="0"/>
          <w:sz w:val="32"/>
          <w:szCs w:val="32"/>
          <w:shd w:val="clear" w:fill="FFFFFF"/>
          <w:lang w:val="en-US" w:eastAsia="zh-CN"/>
        </w:rPr>
      </w:pPr>
      <w:r>
        <w:rPr>
          <w:rStyle w:val="5"/>
          <w:rFonts w:hint="eastAsia" w:ascii="Times New Roman" w:hAnsi="Times New Roman" w:eastAsia="方正黑体_GBK" w:cs="Times New Roman"/>
          <w:b w:val="0"/>
          <w:bCs/>
          <w:i w:val="0"/>
          <w:iCs w:val="0"/>
          <w:color w:val="auto"/>
          <w:spacing w:val="0"/>
          <w:sz w:val="32"/>
          <w:szCs w:val="32"/>
          <w:shd w:val="clear" w:fill="FFFFFF"/>
          <w:lang w:val="en-US" w:eastAsia="zh-CN"/>
        </w:rPr>
        <w:t>六</w:t>
      </w:r>
      <w:r>
        <w:rPr>
          <w:rStyle w:val="5"/>
          <w:rFonts w:hint="default" w:ascii="Times New Roman" w:hAnsi="Times New Roman" w:eastAsia="方正黑体_GBK" w:cs="Times New Roman"/>
          <w:b w:val="0"/>
          <w:bCs/>
          <w:i w:val="0"/>
          <w:iCs w:val="0"/>
          <w:color w:val="auto"/>
          <w:spacing w:val="0"/>
          <w:sz w:val="32"/>
          <w:szCs w:val="32"/>
          <w:shd w:val="clear" w:fill="FFFFFF"/>
          <w:lang w:val="en-US" w:eastAsia="zh-CN"/>
        </w:rPr>
        <w:t>、管理服务</w:t>
      </w:r>
      <w:r>
        <w:rPr>
          <w:rStyle w:val="5"/>
          <w:rFonts w:hint="eastAsia" w:ascii="Times New Roman" w:hAnsi="Times New Roman" w:eastAsia="方正黑体_GBK" w:cs="Times New Roman"/>
          <w:b w:val="0"/>
          <w:bCs/>
          <w:i w:val="0"/>
          <w:iCs w:val="0"/>
          <w:color w:val="auto"/>
          <w:spacing w:val="0"/>
          <w:sz w:val="32"/>
          <w:szCs w:val="32"/>
          <w:shd w:val="clear" w:fill="FFFFFF"/>
          <w:lang w:val="en-US" w:eastAsia="zh-CN"/>
        </w:rPr>
        <w:t>与经办</w:t>
      </w:r>
    </w:p>
    <w:p w14:paraId="1DBA4796">
      <w:pPr>
        <w:keepNext w:val="0"/>
        <w:keepLines w:val="0"/>
        <w:pageBreakBefore w:val="0"/>
        <w:widowControl/>
        <w:suppressLineNumbers w:val="0"/>
        <w:kinsoku/>
        <w:wordWrap/>
        <w:topLinePunct w:val="0"/>
        <w:autoSpaceDN/>
        <w:bidi w:val="0"/>
        <w:spacing w:line="554" w:lineRule="exact"/>
        <w:ind w:leftChars="0"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rPr>
      </w:pPr>
      <w:r>
        <w:rPr>
          <w:rFonts w:hint="default" w:ascii="Times New Roman" w:hAnsi="Times New Roman" w:eastAsia="方正楷体_GBK" w:cs="Times New Roman"/>
          <w:b w:val="0"/>
          <w:bCs w:val="0"/>
          <w:color w:val="auto"/>
          <w:kern w:val="2"/>
          <w:sz w:val="32"/>
          <w:szCs w:val="32"/>
          <w:lang w:val="en-US" w:eastAsia="zh-CN"/>
        </w:rPr>
        <w:t>（一）规范</w:t>
      </w:r>
      <w:r>
        <w:rPr>
          <w:rFonts w:hint="eastAsia" w:ascii="Times New Roman" w:hAnsi="Times New Roman" w:eastAsia="方正楷体_GBK" w:cs="Times New Roman"/>
          <w:b w:val="0"/>
          <w:bCs w:val="0"/>
          <w:color w:val="auto"/>
          <w:kern w:val="2"/>
          <w:sz w:val="32"/>
          <w:szCs w:val="32"/>
          <w:lang w:val="en-US" w:eastAsia="zh-CN"/>
        </w:rPr>
        <w:t>失能</w:t>
      </w:r>
      <w:r>
        <w:rPr>
          <w:rFonts w:hint="default" w:ascii="Times New Roman" w:hAnsi="Times New Roman" w:eastAsia="方正楷体_GBK" w:cs="Times New Roman"/>
          <w:b w:val="0"/>
          <w:bCs w:val="0"/>
          <w:color w:val="auto"/>
          <w:kern w:val="2"/>
          <w:sz w:val="32"/>
          <w:szCs w:val="32"/>
          <w:lang w:val="en-US" w:eastAsia="zh-CN"/>
        </w:rPr>
        <w:t>评估管理</w:t>
      </w:r>
    </w:p>
    <w:p w14:paraId="12740450">
      <w:pPr>
        <w:keepNext w:val="0"/>
        <w:keepLines w:val="0"/>
        <w:pageBreakBefore w:val="0"/>
        <w:widowControl/>
        <w:suppressLineNumbers w:val="0"/>
        <w:kinsoku/>
        <w:wordWrap/>
        <w:topLinePunct w:val="0"/>
        <w:autoSpaceDN/>
        <w:bidi w:val="0"/>
        <w:spacing w:line="554" w:lineRule="exact"/>
        <w:ind w:leftChars="0" w:firstLine="643" w:firstLineChars="200"/>
        <w:jc w:val="both"/>
        <w:textAlignment w:val="auto"/>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pP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1.统一标准结果互认。</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执行全国统一的长期护理失能等级评估标准，评估结果全省互认、有关部门按需使用</w:t>
      </w:r>
      <w:r>
        <w:rPr>
          <w:rFonts w:hint="eastAsia" w:eastAsia="方正仿宋_GBK" w:cs="Times New Roman"/>
          <w:b w:val="0"/>
          <w:bCs w:val="0"/>
          <w:color w:val="auto"/>
          <w:spacing w:val="0"/>
          <w:kern w:val="0"/>
          <w:sz w:val="32"/>
          <w:szCs w:val="32"/>
          <w:u w:val="none"/>
          <w:shd w:val="clear" w:color="auto" w:fill="FFFFFF"/>
          <w:lang w:val="en-US" w:eastAsia="zh-CN" w:bidi="ar"/>
        </w:rPr>
        <w:t>。</w:t>
      </w:r>
    </w:p>
    <w:p w14:paraId="64EC39F6">
      <w:pPr>
        <w:keepNext w:val="0"/>
        <w:keepLines w:val="0"/>
        <w:pageBreakBefore w:val="0"/>
        <w:widowControl/>
        <w:suppressLineNumbers w:val="0"/>
        <w:kinsoku/>
        <w:wordWrap/>
        <w:topLinePunct w:val="0"/>
        <w:autoSpaceDN/>
        <w:bidi w:val="0"/>
        <w:spacing w:line="554" w:lineRule="exact"/>
        <w:ind w:leftChars="0" w:firstLine="643" w:firstLineChars="200"/>
        <w:jc w:val="both"/>
        <w:textAlignment w:val="auto"/>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pP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2.</w:t>
      </w:r>
      <w:r>
        <w:rPr>
          <w:rFonts w:hint="eastAsia"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健全</w:t>
      </w: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评估服务体系。</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统筹整合现有评估认定力量，鼓励支持专业独立的社会化评估机构发展；按照属地管理原则，综合考量失能人员总体规模、行业发展实际、管理服务能力等因素，合理确定定点评估机构数量</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，并</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将符合条件的评估机构</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有序</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纳入定点管理范围。充分吸纳家庭医生、养老服务师参与失能等级评估及</w:t>
      </w:r>
      <w:r>
        <w:rPr>
          <w:rFonts w:hint="eastAsia" w:eastAsia="方正仿宋_GBK" w:cs="Times New Roman"/>
          <w:b w:val="0"/>
          <w:bCs w:val="0"/>
          <w:color w:val="auto"/>
          <w:spacing w:val="0"/>
          <w:kern w:val="0"/>
          <w:sz w:val="32"/>
          <w:szCs w:val="32"/>
          <w:u w:val="none"/>
          <w:shd w:val="clear" w:color="auto" w:fill="FFFFFF"/>
          <w:lang w:val="en-US" w:eastAsia="zh-CN" w:bidi="ar"/>
        </w:rPr>
        <w:t>照护计划</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制定，夯实基层服务基础。</w:t>
      </w:r>
    </w:p>
    <w:p w14:paraId="715AD94E">
      <w:pPr>
        <w:keepNext w:val="0"/>
        <w:keepLines w:val="0"/>
        <w:pageBreakBefore w:val="0"/>
        <w:widowControl/>
        <w:suppressLineNumbers w:val="0"/>
        <w:kinsoku/>
        <w:wordWrap/>
        <w:topLinePunct w:val="0"/>
        <w:autoSpaceDN/>
        <w:bidi w:val="0"/>
        <w:spacing w:line="554" w:lineRule="exact"/>
        <w:ind w:leftChars="0" w:firstLine="643" w:firstLineChars="200"/>
        <w:jc w:val="both"/>
        <w:textAlignment w:val="auto"/>
        <w:rPr>
          <w:rFonts w:hint="default" w:ascii="Times New Roman" w:hAnsi="Times New Roman" w:eastAsia="方正仿宋_GBK" w:cs="Times New Roman"/>
          <w:b w:val="0"/>
          <w:bCs w:val="0"/>
          <w:color w:val="FF0000"/>
          <w:spacing w:val="0"/>
          <w:kern w:val="0"/>
          <w:sz w:val="32"/>
          <w:szCs w:val="32"/>
          <w:u w:val="none"/>
          <w:shd w:val="clear" w:color="auto" w:fill="FFFFFF"/>
          <w:lang w:val="en-US" w:eastAsia="zh-CN" w:bidi="ar"/>
        </w:rPr>
      </w:pP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3.建立评估费用分担机制。</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建立评估服务费</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由</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基金</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和</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个人合理分担机制，结合评估结果等实际情况，明确基金与个人支付的具体情形。健全评估申请约束机制，引导参保人理性行使评估申请权，避免随意过度申请</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造成基金浪费。</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原则上，参保人首次评估通过的评估服务费及按政策规定参加定期复评的评估费由基金支付。</w:t>
      </w:r>
    </w:p>
    <w:p w14:paraId="416008C8">
      <w:pPr>
        <w:keepNext w:val="0"/>
        <w:keepLines w:val="0"/>
        <w:pageBreakBefore w:val="0"/>
        <w:widowControl/>
        <w:suppressLineNumbers w:val="0"/>
        <w:kinsoku/>
        <w:wordWrap/>
        <w:topLinePunct w:val="0"/>
        <w:autoSpaceDN/>
        <w:bidi w:val="0"/>
        <w:spacing w:line="554" w:lineRule="exact"/>
        <w:ind w:leftChars="0" w:firstLine="643" w:firstLineChars="200"/>
        <w:jc w:val="both"/>
        <w:textAlignment w:val="auto"/>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pP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4.强化评估能力建设与质控管理。</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建立健全评估人员规范化</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管理、</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培训</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机制</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，推进职业化评估队伍建设；探索建立长期护理保险失能等级评估全流程质量控制体系。</w:t>
      </w:r>
    </w:p>
    <w:p w14:paraId="24E4E925">
      <w:pPr>
        <w:keepNext w:val="0"/>
        <w:keepLines w:val="0"/>
        <w:pageBreakBefore w:val="0"/>
        <w:widowControl w:val="0"/>
        <w:numPr>
          <w:ilvl w:val="0"/>
          <w:numId w:val="0"/>
        </w:numPr>
        <w:kinsoku/>
        <w:wordWrap/>
        <w:overflowPunct/>
        <w:topLinePunct w:val="0"/>
        <w:autoSpaceDE/>
        <w:autoSpaceDN/>
        <w:bidi w:val="0"/>
        <w:spacing w:line="554" w:lineRule="exact"/>
        <w:ind w:leftChars="0" w:firstLine="640" w:firstLineChars="200"/>
        <w:jc w:val="both"/>
        <w:textAlignment w:val="auto"/>
        <w:outlineLvl w:val="0"/>
        <w:rPr>
          <w:rFonts w:hint="default" w:ascii="Times New Roman" w:hAnsi="Times New Roman" w:eastAsia="方正楷体_GBK" w:cs="Times New Roman"/>
          <w:b w:val="0"/>
          <w:bCs w:val="0"/>
          <w:color w:val="auto"/>
          <w:kern w:val="2"/>
          <w:sz w:val="32"/>
          <w:szCs w:val="32"/>
          <w:lang w:val="en-US" w:eastAsia="zh-CN"/>
        </w:rPr>
      </w:pPr>
      <w:r>
        <w:rPr>
          <w:rFonts w:hint="default" w:ascii="Times New Roman" w:hAnsi="Times New Roman" w:eastAsia="方正楷体_GBK" w:cs="Times New Roman"/>
          <w:b w:val="0"/>
          <w:bCs w:val="0"/>
          <w:color w:val="auto"/>
          <w:kern w:val="2"/>
          <w:sz w:val="32"/>
          <w:szCs w:val="32"/>
          <w:lang w:val="en-US" w:eastAsia="zh-CN"/>
        </w:rPr>
        <w:t>（二）</w:t>
      </w:r>
      <w:r>
        <w:rPr>
          <w:rFonts w:hint="eastAsia" w:ascii="Times New Roman" w:hAnsi="Times New Roman" w:eastAsia="方正楷体_GBK" w:cs="Times New Roman"/>
          <w:b w:val="0"/>
          <w:bCs w:val="0"/>
          <w:color w:val="auto"/>
          <w:kern w:val="2"/>
          <w:sz w:val="32"/>
          <w:szCs w:val="32"/>
          <w:lang w:val="en-US" w:eastAsia="zh-CN"/>
        </w:rPr>
        <w:t>建立</w:t>
      </w:r>
      <w:r>
        <w:rPr>
          <w:rFonts w:hint="default" w:ascii="Times New Roman" w:hAnsi="Times New Roman" w:eastAsia="方正楷体_GBK" w:cs="Times New Roman"/>
          <w:b w:val="0"/>
          <w:bCs w:val="0"/>
          <w:color w:val="auto"/>
          <w:kern w:val="2"/>
          <w:sz w:val="32"/>
          <w:szCs w:val="32"/>
          <w:lang w:val="en-US" w:eastAsia="zh-CN"/>
        </w:rPr>
        <w:t>多元</w:t>
      </w:r>
      <w:r>
        <w:rPr>
          <w:rFonts w:hint="eastAsia" w:ascii="Times New Roman" w:hAnsi="Times New Roman" w:eastAsia="方正楷体_GBK" w:cs="Times New Roman"/>
          <w:b w:val="0"/>
          <w:bCs w:val="0"/>
          <w:color w:val="auto"/>
          <w:kern w:val="2"/>
          <w:sz w:val="32"/>
          <w:szCs w:val="32"/>
          <w:lang w:val="en-US" w:eastAsia="zh-CN"/>
        </w:rPr>
        <w:t>护理</w:t>
      </w:r>
      <w:r>
        <w:rPr>
          <w:rFonts w:hint="default" w:ascii="Times New Roman" w:hAnsi="Times New Roman" w:eastAsia="方正楷体_GBK" w:cs="Times New Roman"/>
          <w:b w:val="0"/>
          <w:bCs w:val="0"/>
          <w:color w:val="auto"/>
          <w:kern w:val="2"/>
          <w:sz w:val="32"/>
          <w:szCs w:val="32"/>
          <w:lang w:val="en-US" w:eastAsia="zh-CN"/>
        </w:rPr>
        <w:t>服务体系</w:t>
      </w:r>
    </w:p>
    <w:p w14:paraId="2F0B9E48">
      <w:pPr>
        <w:keepNext w:val="0"/>
        <w:keepLines w:val="0"/>
        <w:pageBreakBefore w:val="0"/>
        <w:widowControl w:val="0"/>
        <w:numPr>
          <w:ilvl w:val="0"/>
          <w:numId w:val="0"/>
        </w:numPr>
        <w:kinsoku/>
        <w:wordWrap/>
        <w:overflowPunct/>
        <w:topLinePunct w:val="0"/>
        <w:autoSpaceDE/>
        <w:autoSpaceDN/>
        <w:bidi w:val="0"/>
        <w:spacing w:line="554" w:lineRule="exact"/>
        <w:ind w:leftChars="0" w:firstLine="643" w:firstLineChars="200"/>
        <w:jc w:val="both"/>
        <w:textAlignment w:val="auto"/>
        <w:outlineLvl w:val="0"/>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pP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1.服务机构定点</w:t>
      </w:r>
      <w:r>
        <w:rPr>
          <w:rFonts w:hint="eastAsia"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管理</w:t>
      </w: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按照</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保障基本、布局合理、择优纳入、动态调整</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原则，统筹规划长期护理保险定点护理服务资源配置</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按照属地管理原则，将符合条件的养老服务机构、基层医疗卫生机构，以及业务范围包含养老服务、照护服务、护理服务的其他相关机构，按规定程序纳入定点管理范围</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构建机构护理、社区护理和居家护理融合发展的</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多元</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长期护理服务体系。支持引导基层医疗卫生机构拓展服务领域，提供失能评估、上门照护、机构护理等一体化长期护理服务。</w:t>
      </w:r>
    </w:p>
    <w:p w14:paraId="32B23F81">
      <w:pPr>
        <w:keepNext w:val="0"/>
        <w:keepLines w:val="0"/>
        <w:pageBreakBefore w:val="0"/>
        <w:widowControl w:val="0"/>
        <w:numPr>
          <w:ilvl w:val="0"/>
          <w:numId w:val="0"/>
        </w:numPr>
        <w:kinsoku/>
        <w:wordWrap/>
        <w:overflowPunct/>
        <w:topLinePunct w:val="0"/>
        <w:autoSpaceDE/>
        <w:autoSpaceDN/>
        <w:bidi w:val="0"/>
        <w:spacing w:line="554" w:lineRule="exact"/>
        <w:ind w:leftChars="0" w:firstLine="643" w:firstLineChars="200"/>
        <w:jc w:val="both"/>
        <w:textAlignment w:val="auto"/>
        <w:outlineLvl w:val="0"/>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pPr>
      <w:r>
        <w:rPr>
          <w:rFonts w:hint="eastAsia"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2</w:t>
      </w: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w:t>
      </w:r>
      <w:r>
        <w:rPr>
          <w:rFonts w:hint="eastAsia"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服务</w:t>
      </w: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机构</w:t>
      </w:r>
      <w:r>
        <w:rPr>
          <w:rFonts w:hint="eastAsia"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规范运营</w:t>
      </w: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加强对定点护理服务机构的全流程监管，重点规范机构内部运行、服务标准执行、基金合规使用、信息化支撑建设等方面工作，确保服务质量与基金使用效益。</w:t>
      </w:r>
    </w:p>
    <w:p w14:paraId="4EA3C6E9">
      <w:pPr>
        <w:keepNext w:val="0"/>
        <w:keepLines w:val="0"/>
        <w:pageBreakBefore w:val="0"/>
        <w:widowControl w:val="0"/>
        <w:numPr>
          <w:ilvl w:val="0"/>
          <w:numId w:val="0"/>
        </w:numPr>
        <w:kinsoku/>
        <w:wordWrap/>
        <w:overflowPunct/>
        <w:topLinePunct w:val="0"/>
        <w:autoSpaceDE/>
        <w:autoSpaceDN/>
        <w:bidi w:val="0"/>
        <w:spacing w:line="554" w:lineRule="exact"/>
        <w:ind w:leftChars="0" w:firstLine="643" w:firstLineChars="200"/>
        <w:jc w:val="both"/>
        <w:textAlignment w:val="auto"/>
        <w:outlineLvl w:val="0"/>
        <w:rPr>
          <w:rFonts w:hint="default" w:ascii="Times New Roman" w:hAnsi="Times New Roman" w:eastAsia="方正楷体_GBK" w:cs="Times New Roman"/>
          <w:b w:val="0"/>
          <w:bCs w:val="0"/>
          <w:color w:val="auto"/>
          <w:kern w:val="2"/>
          <w:sz w:val="32"/>
          <w:szCs w:val="32"/>
          <w:lang w:val="en-US" w:eastAsia="zh-CN"/>
        </w:rPr>
      </w:pPr>
      <w:r>
        <w:rPr>
          <w:rFonts w:hint="eastAsia"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3</w:t>
      </w: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.提升</w:t>
      </w:r>
      <w:r>
        <w:rPr>
          <w:rFonts w:hint="eastAsia"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照护</w:t>
      </w: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服务能力。</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加快推进长期护理服务人员职业化、专业化发展，建立健全长期照护师培训培养机制，按规定落实培训补贴和职业技能评价补贴，激发从业人员积极性，提升行业整体服务能力。</w:t>
      </w:r>
    </w:p>
    <w:p w14:paraId="5AF2FBC8">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0" w:firstLineChars="200"/>
        <w:jc w:val="both"/>
        <w:textAlignment w:val="auto"/>
        <w:outlineLvl w:val="0"/>
        <w:rPr>
          <w:rFonts w:hint="default" w:ascii="Times New Roman" w:hAnsi="Times New Roman" w:eastAsia="方正楷体_GBK" w:cs="Times New Roman"/>
          <w:b w:val="0"/>
          <w:bCs w:val="0"/>
          <w:color w:val="auto"/>
          <w:kern w:val="2"/>
          <w:sz w:val="32"/>
          <w:szCs w:val="32"/>
          <w:lang w:val="en-US" w:eastAsia="zh-CN"/>
        </w:rPr>
      </w:pPr>
      <w:r>
        <w:rPr>
          <w:rFonts w:hint="default" w:ascii="Times New Roman" w:hAnsi="Times New Roman" w:eastAsia="方正楷体_GBK" w:cs="Times New Roman"/>
          <w:b w:val="0"/>
          <w:bCs w:val="0"/>
          <w:color w:val="auto"/>
          <w:kern w:val="2"/>
          <w:sz w:val="32"/>
          <w:szCs w:val="32"/>
          <w:lang w:val="en-US" w:eastAsia="zh-CN"/>
        </w:rPr>
        <w:t>（三）</w:t>
      </w:r>
      <w:r>
        <w:rPr>
          <w:rFonts w:hint="eastAsia" w:ascii="Times New Roman" w:hAnsi="Times New Roman" w:eastAsia="方正楷体_GBK" w:cs="Times New Roman"/>
          <w:b w:val="0"/>
          <w:bCs w:val="0"/>
          <w:color w:val="auto"/>
          <w:kern w:val="2"/>
          <w:sz w:val="32"/>
          <w:szCs w:val="32"/>
          <w:lang w:val="en-US" w:eastAsia="zh-CN"/>
        </w:rPr>
        <w:t>健全</w:t>
      </w:r>
      <w:r>
        <w:rPr>
          <w:rFonts w:hint="eastAsia" w:eastAsia="方正楷体_GBK" w:cs="Times New Roman"/>
          <w:b w:val="0"/>
          <w:bCs w:val="0"/>
          <w:color w:val="auto"/>
          <w:kern w:val="2"/>
          <w:sz w:val="32"/>
          <w:szCs w:val="32"/>
          <w:lang w:val="en-US" w:eastAsia="zh-CN"/>
        </w:rPr>
        <w:t>高效</w:t>
      </w:r>
      <w:r>
        <w:rPr>
          <w:rFonts w:hint="default" w:ascii="Times New Roman" w:hAnsi="Times New Roman" w:eastAsia="方正楷体_GBK" w:cs="Times New Roman"/>
          <w:b w:val="0"/>
          <w:bCs w:val="0"/>
          <w:color w:val="auto"/>
          <w:kern w:val="2"/>
          <w:sz w:val="32"/>
          <w:szCs w:val="32"/>
          <w:lang w:val="en-US" w:eastAsia="zh-CN"/>
        </w:rPr>
        <w:t>支付</w:t>
      </w:r>
      <w:r>
        <w:rPr>
          <w:rFonts w:hint="eastAsia" w:eastAsia="方正楷体_GBK" w:cs="Times New Roman"/>
          <w:b w:val="0"/>
          <w:bCs w:val="0"/>
          <w:color w:val="auto"/>
          <w:kern w:val="2"/>
          <w:sz w:val="32"/>
          <w:szCs w:val="32"/>
          <w:lang w:val="en-US" w:eastAsia="zh-CN"/>
        </w:rPr>
        <w:t>机制</w:t>
      </w:r>
    </w:p>
    <w:p w14:paraId="4C81C992">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0" w:firstLineChars="200"/>
        <w:jc w:val="both"/>
        <w:textAlignment w:val="auto"/>
        <w:outlineLvl w:val="0"/>
        <w:rPr>
          <w:rFonts w:hint="default" w:ascii="Times New Roman" w:hAnsi="Times New Roman" w:eastAsia="方正仿宋_GBK" w:cs="Times New Roman"/>
          <w:i w:val="0"/>
          <w:iCs w:val="0"/>
          <w:color w:val="auto"/>
          <w:spacing w:val="0"/>
          <w:sz w:val="32"/>
          <w:szCs w:val="32"/>
          <w:shd w:val="clear" w:fill="FFFFFF"/>
        </w:rPr>
      </w:pPr>
      <w:r>
        <w:rPr>
          <w:rFonts w:hint="default" w:ascii="Times New Roman" w:hAnsi="Times New Roman" w:eastAsia="方正仿宋_GBK" w:cs="Times New Roman"/>
          <w:i w:val="0"/>
          <w:iCs w:val="0"/>
          <w:color w:val="auto"/>
          <w:spacing w:val="0"/>
          <w:sz w:val="32"/>
          <w:szCs w:val="32"/>
          <w:shd w:val="clear" w:fill="FFFFFF"/>
        </w:rPr>
        <w:t>建立健全长期护理保险服务质量评价体系与费用控制</w:t>
      </w:r>
      <w:r>
        <w:rPr>
          <w:rFonts w:hint="eastAsia" w:ascii="Times New Roman" w:hAnsi="Times New Roman" w:eastAsia="方正仿宋_GBK" w:cs="Times New Roman"/>
          <w:i w:val="0"/>
          <w:iCs w:val="0"/>
          <w:color w:val="auto"/>
          <w:spacing w:val="0"/>
          <w:sz w:val="32"/>
          <w:szCs w:val="32"/>
          <w:shd w:val="clear" w:fill="FFFFFF"/>
          <w:lang w:val="en-US" w:eastAsia="zh-CN"/>
        </w:rPr>
        <w:t>激励约束</w:t>
      </w:r>
      <w:r>
        <w:rPr>
          <w:rFonts w:hint="default" w:ascii="Times New Roman" w:hAnsi="Times New Roman" w:eastAsia="方正仿宋_GBK" w:cs="Times New Roman"/>
          <w:i w:val="0"/>
          <w:iCs w:val="0"/>
          <w:color w:val="auto"/>
          <w:spacing w:val="0"/>
          <w:sz w:val="32"/>
          <w:szCs w:val="32"/>
          <w:shd w:val="clear" w:fill="FFFFFF"/>
        </w:rPr>
        <w:t>机制，服务质量与基金支付挂钩，引导定点机构提供质优价廉的服务。在国家、省统一指导下，建立符合长期护理保险服务特点的支付和协商谈判机制，针对不同服务类型，探索实行按服务时长（服务包）、按床日、按服务项目等多元复合式支付方式，提高基金使用效率。</w:t>
      </w:r>
    </w:p>
    <w:p w14:paraId="1DA2C800">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0" w:firstLineChars="200"/>
        <w:jc w:val="both"/>
        <w:textAlignment w:val="auto"/>
        <w:outlineLvl w:val="0"/>
        <w:rPr>
          <w:rFonts w:hint="default" w:ascii="Times New Roman" w:hAnsi="Times New Roman" w:eastAsia="方正楷体_GBK" w:cs="Times New Roman"/>
          <w:b w:val="0"/>
          <w:bCs w:val="0"/>
          <w:color w:val="auto"/>
          <w:kern w:val="2"/>
          <w:sz w:val="32"/>
          <w:szCs w:val="32"/>
          <w:lang w:val="en-US" w:eastAsia="zh-CN"/>
        </w:rPr>
      </w:pPr>
      <w:r>
        <w:rPr>
          <w:rFonts w:hint="default" w:ascii="Times New Roman" w:hAnsi="Times New Roman" w:eastAsia="方正楷体_GBK" w:cs="Times New Roman"/>
          <w:b w:val="0"/>
          <w:bCs w:val="0"/>
          <w:color w:val="auto"/>
          <w:kern w:val="2"/>
          <w:sz w:val="32"/>
          <w:szCs w:val="32"/>
          <w:lang w:val="en-US" w:eastAsia="zh-CN"/>
        </w:rPr>
        <w:t>（四）强化基金</w:t>
      </w:r>
      <w:r>
        <w:rPr>
          <w:rFonts w:hint="eastAsia" w:ascii="Times New Roman" w:hAnsi="Times New Roman" w:eastAsia="方正楷体_GBK" w:cs="Times New Roman"/>
          <w:b w:val="0"/>
          <w:bCs w:val="0"/>
          <w:color w:val="auto"/>
          <w:kern w:val="2"/>
          <w:sz w:val="32"/>
          <w:szCs w:val="32"/>
          <w:lang w:val="en-US" w:eastAsia="zh-CN"/>
        </w:rPr>
        <w:t>规范管理</w:t>
      </w:r>
    </w:p>
    <w:p w14:paraId="70ACCB7A">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0" w:firstLineChars="200"/>
        <w:jc w:val="both"/>
        <w:textAlignment w:val="auto"/>
        <w:outlineLvl w:val="0"/>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长期护理保险基金纳入社会保障基金财政专户，</w:t>
      </w:r>
      <w:r>
        <w:rPr>
          <w:rFonts w:hint="default" w:ascii="Times New Roman" w:hAnsi="Times New Roman" w:eastAsia="方正仿宋_GBK" w:cs="Times New Roman"/>
          <w:b w:val="0"/>
          <w:bCs w:val="0"/>
          <w:i w:val="0"/>
          <w:iCs w:val="0"/>
          <w:color w:val="auto"/>
          <w:spacing w:val="0"/>
          <w:sz w:val="32"/>
          <w:szCs w:val="32"/>
          <w:shd w:val="clear" w:fill="FFFFFF"/>
        </w:rPr>
        <w:t>由市级统一管理，</w:t>
      </w:r>
      <w:r>
        <w:rPr>
          <w:rFonts w:hint="default" w:ascii="Times New Roman" w:hAnsi="Times New Roman" w:eastAsia="方正仿宋_GBK" w:cs="Times New Roman"/>
          <w:b w:val="0"/>
          <w:bCs w:val="0"/>
          <w:color w:val="auto"/>
          <w:kern w:val="2"/>
          <w:sz w:val="32"/>
          <w:szCs w:val="32"/>
          <w:lang w:val="en-US" w:eastAsia="zh-CN"/>
        </w:rPr>
        <w:t>单独建账、单独管理、专款专用。将长期护理保险全面纳入社会保险基金预算编制范围，科学测算收支规模，建立健全基金预算管理制度，强化预算执行的刚性约束与绩效评估。严格执行基金财务制度，加强基金财务管理，规范基金收支，做好基金会计核算和统计分析。建立基金运行监控和风险防范机制，做好中长期精算分析。</w:t>
      </w:r>
      <w:r>
        <w:rPr>
          <w:rFonts w:hint="eastAsia" w:eastAsia="方正仿宋_GBK" w:cs="Times New Roman"/>
          <w:b w:val="0"/>
          <w:bCs w:val="0"/>
          <w:color w:val="auto"/>
          <w:kern w:val="2"/>
          <w:sz w:val="32"/>
          <w:szCs w:val="32"/>
          <w:lang w:val="en-US" w:eastAsia="zh-CN"/>
        </w:rPr>
        <w:t>在长期护理保险基金出现支付困难时，按规定及时调整筹资或待遇政策。</w:t>
      </w:r>
    </w:p>
    <w:p w14:paraId="4D23443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bidi w:val="0"/>
        <w:adjustRightInd/>
        <w:spacing w:before="0" w:beforeAutospacing="0" w:after="0" w:afterAutospacing="0" w:line="554" w:lineRule="exact"/>
        <w:ind w:left="0" w:leftChars="0" w:right="0"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rPr>
      </w:pPr>
      <w:r>
        <w:rPr>
          <w:rFonts w:hint="default" w:ascii="Times New Roman" w:hAnsi="Times New Roman" w:eastAsia="方正楷体_GBK" w:cs="Times New Roman"/>
          <w:b w:val="0"/>
          <w:bCs w:val="0"/>
          <w:color w:val="auto"/>
          <w:kern w:val="2"/>
          <w:sz w:val="32"/>
          <w:szCs w:val="32"/>
          <w:lang w:val="en-US" w:eastAsia="zh-CN"/>
        </w:rPr>
        <w:t>（五）构建</w:t>
      </w:r>
      <w:r>
        <w:rPr>
          <w:rFonts w:hint="eastAsia" w:ascii="Times New Roman" w:hAnsi="Times New Roman" w:eastAsia="方正楷体_GBK" w:cs="Times New Roman"/>
          <w:b w:val="0"/>
          <w:bCs w:val="0"/>
          <w:color w:val="auto"/>
          <w:kern w:val="2"/>
          <w:sz w:val="32"/>
          <w:szCs w:val="32"/>
          <w:lang w:val="en-US" w:eastAsia="zh-CN"/>
        </w:rPr>
        <w:t>高效</w:t>
      </w:r>
      <w:r>
        <w:rPr>
          <w:rFonts w:hint="default" w:ascii="Times New Roman" w:hAnsi="Times New Roman" w:eastAsia="方正楷体_GBK" w:cs="Times New Roman"/>
          <w:b w:val="0"/>
          <w:bCs w:val="0"/>
          <w:color w:val="auto"/>
          <w:kern w:val="2"/>
          <w:sz w:val="32"/>
          <w:szCs w:val="32"/>
          <w:lang w:val="en-US" w:eastAsia="zh-CN"/>
        </w:rPr>
        <w:t>监管体系</w:t>
      </w:r>
    </w:p>
    <w:p w14:paraId="2C145E8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bidi w:val="0"/>
        <w:adjustRightInd/>
        <w:spacing w:before="0" w:beforeAutospacing="0" w:after="0" w:afterAutospacing="0" w:line="554"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加强监管能力建设，创新监管手段和方式，强化对长期护理保险服务行为、评估行为全流程监管，完善对欺诈骗保人员、机构的惩戒机制。逐步将长期护理保险基金使用纳入飞行检查、日常监管、智能监管、社会监督等常态化监管范围。加大长期护理保险基金监管执法力度，做好协议管理与行政监管衔接，建立健全重要线索、重大案件联查联办和追责问责机制。加强财会监督和审计监督，严肃财经纪律，确保基金安全。</w:t>
      </w:r>
    </w:p>
    <w:p w14:paraId="6CAD5DA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bidi w:val="0"/>
        <w:adjustRightInd/>
        <w:spacing w:before="0" w:beforeAutospacing="0" w:after="0" w:afterAutospacing="0" w:line="554" w:lineRule="exact"/>
        <w:ind w:left="0" w:leftChars="0" w:right="0"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rPr>
      </w:pPr>
      <w:r>
        <w:rPr>
          <w:rFonts w:hint="default" w:ascii="Times New Roman" w:hAnsi="Times New Roman" w:eastAsia="方正楷体_GBK" w:cs="Times New Roman"/>
          <w:b w:val="0"/>
          <w:bCs w:val="0"/>
          <w:color w:val="auto"/>
          <w:kern w:val="2"/>
          <w:sz w:val="32"/>
          <w:szCs w:val="32"/>
          <w:lang w:val="en-US" w:eastAsia="zh-CN"/>
        </w:rPr>
        <w:t>（六）</w:t>
      </w:r>
      <w:r>
        <w:rPr>
          <w:rFonts w:hint="eastAsia" w:eastAsia="方正楷体_GBK" w:cs="Times New Roman"/>
          <w:b w:val="0"/>
          <w:bCs w:val="0"/>
          <w:color w:val="auto"/>
          <w:kern w:val="2"/>
          <w:sz w:val="32"/>
          <w:szCs w:val="32"/>
          <w:lang w:val="en-US" w:eastAsia="zh-CN"/>
        </w:rPr>
        <w:t>完善经办管理服务</w:t>
      </w:r>
    </w:p>
    <w:p w14:paraId="1CD939A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bidi w:val="0"/>
        <w:adjustRightInd/>
        <w:spacing w:before="0" w:beforeAutospacing="0" w:after="0" w:afterAutospacing="0" w:line="554" w:lineRule="exact"/>
        <w:ind w:left="0" w:leftChars="0" w:right="0" w:firstLine="643" w:firstLineChars="200"/>
        <w:jc w:val="both"/>
        <w:textAlignment w:val="auto"/>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pP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1.夯实经办管理基础。</w:t>
      </w:r>
      <w:r>
        <w:rPr>
          <w:rFonts w:hint="default" w:ascii="Times New Roman" w:hAnsi="Times New Roman" w:eastAsia="方正仿宋_GBK" w:cs="Times New Roman"/>
          <w:b w:val="0"/>
          <w:bCs w:val="0"/>
          <w:color w:val="auto"/>
          <w:kern w:val="2"/>
          <w:sz w:val="32"/>
          <w:szCs w:val="32"/>
          <w:lang w:val="en-US" w:eastAsia="zh-CN"/>
        </w:rPr>
        <w:t>医疗保障经办机构是长期护理保险经办工作的实施主体，要切实强化市、县（</w:t>
      </w:r>
      <w:r>
        <w:rPr>
          <w:rFonts w:hint="eastAsia" w:eastAsia="方正仿宋_GBK" w:cs="Times New Roman"/>
          <w:b w:val="0"/>
          <w:bCs w:val="0"/>
          <w:color w:val="auto"/>
          <w:kern w:val="2"/>
          <w:sz w:val="32"/>
          <w:szCs w:val="32"/>
          <w:lang w:val="en-US" w:eastAsia="zh-CN"/>
        </w:rPr>
        <w:t>市、</w:t>
      </w:r>
      <w:r>
        <w:rPr>
          <w:rFonts w:hint="default" w:ascii="Times New Roman" w:hAnsi="Times New Roman" w:eastAsia="方正仿宋_GBK" w:cs="Times New Roman"/>
          <w:b w:val="0"/>
          <w:bCs w:val="0"/>
          <w:color w:val="auto"/>
          <w:kern w:val="2"/>
          <w:sz w:val="32"/>
          <w:szCs w:val="32"/>
          <w:lang w:val="en-US" w:eastAsia="zh-CN"/>
        </w:rPr>
        <w:t>区）两级长期护理保险经办管理能力建设，建立健全经办管理服务体系。全市长期护理保险基金预决算草案由市级医保经办机构编制。</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按照国家、省政策规定，落实好跨统筹区长期护理保险关系转移接续、异地参保和异地待遇享受等相关工作。</w:t>
      </w:r>
    </w:p>
    <w:p w14:paraId="38A66A4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bidi w:val="0"/>
        <w:adjustRightInd/>
        <w:spacing w:before="0" w:beforeAutospacing="0" w:after="0" w:afterAutospacing="0" w:line="554" w:lineRule="exact"/>
        <w:ind w:left="0" w:leftChars="0" w:right="0" w:firstLine="643" w:firstLineChars="200"/>
        <w:jc w:val="both"/>
        <w:textAlignment w:val="auto"/>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pP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2.创新</w:t>
      </w:r>
      <w:r>
        <w:rPr>
          <w:rFonts w:hint="eastAsia"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经办</w:t>
      </w: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合作机制。</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完善社会力量参与长期护理保险经办管理服务机制，由市级医疗保障经办机构依法依规通过公开招标等竞争性方式有序规范引入社会力量参与经办管理服务，相关费用依协议约定按比例或按定额从基金中支付。加强定点评估机构、护理服务机构和参与经办的第三方机构的协议管理，建立健全考核评价和激励约束机制，强化考核结果应用。</w:t>
      </w:r>
    </w:p>
    <w:p w14:paraId="3F449E2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bidi w:val="0"/>
        <w:adjustRightInd/>
        <w:spacing w:before="0" w:beforeAutospacing="0" w:after="0" w:afterAutospacing="0" w:line="554" w:lineRule="exact"/>
        <w:ind w:left="0" w:leftChars="0" w:right="0" w:firstLine="643" w:firstLineChars="200"/>
        <w:jc w:val="both"/>
        <w:textAlignment w:val="auto"/>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pPr>
      <w:r>
        <w:rPr>
          <w:rFonts w:hint="eastAsia"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3</w:t>
      </w: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.推进</w:t>
      </w:r>
      <w:r>
        <w:rPr>
          <w:rFonts w:hint="eastAsia"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信息化</w:t>
      </w:r>
      <w:r>
        <w:rPr>
          <w:rFonts w:hint="default" w:ascii="Times New Roman" w:hAnsi="Times New Roman" w:eastAsia="方正仿宋_GBK" w:cs="Times New Roman"/>
          <w:b/>
          <w:bCs/>
          <w:i w:val="0"/>
          <w:iCs w:val="0"/>
          <w:color w:val="auto"/>
          <w:spacing w:val="0"/>
          <w:kern w:val="0"/>
          <w:sz w:val="32"/>
          <w:szCs w:val="32"/>
          <w:u w:val="none"/>
          <w:shd w:val="clear" w:color="auto" w:fill="FFFFFF"/>
          <w:lang w:val="en-US" w:eastAsia="zh-CN" w:bidi="ar-SA"/>
        </w:rPr>
        <w:t>标准化建设。</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做好全国统一的长期护理保险子系统落地应用，全面推进待遇享受人</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一人一档</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数字化管理。加快推进长期护理保险标准化建设，建立健全专业技术标准组织和专家智库，提升经办管理的科学化、规范化水平。</w:t>
      </w:r>
    </w:p>
    <w:p w14:paraId="202A0F8B">
      <w:pPr>
        <w:keepNext w:val="0"/>
        <w:keepLines w:val="0"/>
        <w:pageBreakBefore w:val="0"/>
        <w:widowControl w:val="0"/>
        <w:numPr>
          <w:ilvl w:val="0"/>
          <w:numId w:val="0"/>
        </w:numPr>
        <w:kinsoku/>
        <w:wordWrap/>
        <w:overflowPunct/>
        <w:topLinePunct w:val="0"/>
        <w:autoSpaceDE/>
        <w:autoSpaceDN/>
        <w:bidi w:val="0"/>
        <w:spacing w:line="554" w:lineRule="exact"/>
        <w:ind w:left="0" w:leftChars="0" w:firstLine="640" w:firstLineChars="200"/>
        <w:jc w:val="both"/>
        <w:textAlignment w:val="auto"/>
        <w:outlineLvl w:val="0"/>
        <w:rPr>
          <w:rFonts w:hint="default" w:ascii="Times New Roman" w:hAnsi="Times New Roman" w:eastAsia="方正黑体_GBK" w:cs="Times New Roman"/>
          <w:b w:val="0"/>
          <w:bCs w:val="0"/>
          <w:color w:val="auto"/>
          <w:kern w:val="2"/>
          <w:sz w:val="32"/>
          <w:szCs w:val="32"/>
          <w:lang w:val="en-US" w:eastAsia="zh-CN"/>
        </w:rPr>
      </w:pPr>
      <w:r>
        <w:rPr>
          <w:rFonts w:hint="eastAsia" w:ascii="Times New Roman" w:hAnsi="Times New Roman" w:eastAsia="方正黑体_GBK" w:cs="Times New Roman"/>
          <w:b w:val="0"/>
          <w:bCs w:val="0"/>
          <w:color w:val="auto"/>
          <w:kern w:val="2"/>
          <w:sz w:val="32"/>
          <w:szCs w:val="32"/>
          <w:lang w:val="en-US" w:eastAsia="zh-CN"/>
        </w:rPr>
        <w:t>七</w:t>
      </w:r>
      <w:r>
        <w:rPr>
          <w:rFonts w:hint="default" w:ascii="Times New Roman" w:hAnsi="Times New Roman" w:eastAsia="方正黑体_GBK" w:cs="Times New Roman"/>
          <w:b w:val="0"/>
          <w:bCs w:val="0"/>
          <w:color w:val="auto"/>
          <w:kern w:val="2"/>
          <w:sz w:val="32"/>
          <w:szCs w:val="32"/>
          <w:lang w:val="en-US" w:eastAsia="zh-CN"/>
        </w:rPr>
        <w:t>、</w:t>
      </w:r>
      <w:r>
        <w:rPr>
          <w:rFonts w:hint="eastAsia" w:eastAsia="方正黑体_GBK" w:cs="Times New Roman"/>
          <w:b w:val="0"/>
          <w:bCs w:val="0"/>
          <w:color w:val="auto"/>
          <w:kern w:val="2"/>
          <w:sz w:val="32"/>
          <w:szCs w:val="32"/>
          <w:lang w:val="en-US" w:eastAsia="zh-CN"/>
        </w:rPr>
        <w:t>组织保障</w:t>
      </w:r>
    </w:p>
    <w:p w14:paraId="7EE800A3">
      <w:pPr>
        <w:keepNext w:val="0"/>
        <w:keepLines w:val="0"/>
        <w:pageBreakBefore w:val="0"/>
        <w:widowControl w:val="0"/>
        <w:kinsoku/>
        <w:wordWrap/>
        <w:overflowPunct/>
        <w:topLinePunct w:val="0"/>
        <w:autoSpaceDE/>
        <w:autoSpaceDN/>
        <w:bidi w:val="0"/>
        <w:spacing w:line="554"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pPr>
      <w:r>
        <w:rPr>
          <w:rFonts w:hint="eastAsia" w:ascii="方正楷体_GBK" w:hAnsi="方正楷体_GBK" w:eastAsia="方正楷体_GBK" w:cs="方正楷体_GBK"/>
          <w:b w:val="0"/>
          <w:bCs w:val="0"/>
          <w:color w:val="auto"/>
          <w:kern w:val="2"/>
          <w:sz w:val="32"/>
          <w:szCs w:val="32"/>
          <w:lang w:val="en-US" w:eastAsia="zh-CN"/>
        </w:rPr>
        <w:t>（一）压实县级责任。</w:t>
      </w:r>
      <w:r>
        <w:rPr>
          <w:rFonts w:hint="default" w:ascii="Times New Roman" w:hAnsi="Times New Roman" w:eastAsia="方正仿宋_GBK" w:cs="Times New Roman"/>
          <w:b w:val="0"/>
          <w:bCs w:val="0"/>
          <w:color w:val="auto"/>
          <w:kern w:val="2"/>
          <w:sz w:val="32"/>
          <w:szCs w:val="32"/>
          <w:lang w:val="en-US" w:eastAsia="zh-CN"/>
        </w:rPr>
        <w:t>各县（市、区）</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人民政府要全面落实组织实施属地管理责任，切实履行参保扩面主体责任，按照全市</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一盘棋</w:t>
      </w:r>
      <w:r>
        <w:rPr>
          <w:rFonts w:hint="eastAsia" w:ascii="Times New Roman" w:hAnsi="Times New Roman" w:eastAsia="方正仿宋_GBK" w:cs="Times New Roman"/>
          <w:b w:val="0"/>
          <w:bCs w:val="0"/>
          <w:color w:val="auto"/>
          <w:spacing w:val="0"/>
          <w:kern w:val="0"/>
          <w:sz w:val="32"/>
          <w:szCs w:val="32"/>
          <w:u w:val="none"/>
          <w:shd w:val="clear" w:color="auto" w:fill="FFFFFF"/>
          <w:lang w:val="en-US" w:eastAsia="zh-CN" w:bidi="ar"/>
        </w:rPr>
        <w:t>”</w:t>
      </w:r>
      <w:r>
        <w:rPr>
          <w:rFonts w:hint="default" w:ascii="Times New Roman" w:hAnsi="Times New Roman" w:eastAsia="方正仿宋_GBK" w:cs="Times New Roman"/>
          <w:b w:val="0"/>
          <w:bCs w:val="0"/>
          <w:color w:val="auto"/>
          <w:spacing w:val="0"/>
          <w:kern w:val="0"/>
          <w:sz w:val="32"/>
          <w:szCs w:val="32"/>
          <w:u w:val="none"/>
          <w:shd w:val="clear" w:color="auto" w:fill="FFFFFF"/>
          <w:lang w:val="en-US" w:eastAsia="zh-CN" w:bidi="ar"/>
        </w:rPr>
        <w:t>的要求，统筹推进长期护理保险制度落地实施。</w:t>
      </w:r>
    </w:p>
    <w:p w14:paraId="1CD37E88">
      <w:pPr>
        <w:keepNext w:val="0"/>
        <w:keepLines w:val="0"/>
        <w:pageBreakBefore w:val="0"/>
        <w:widowControl w:val="0"/>
        <w:kinsoku/>
        <w:wordWrap/>
        <w:overflowPunct/>
        <w:topLinePunct w:val="0"/>
        <w:autoSpaceDE/>
        <w:autoSpaceDN/>
        <w:bidi w:val="0"/>
        <w:spacing w:line="554"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kern w:val="2"/>
          <w:sz w:val="32"/>
          <w:szCs w:val="32"/>
          <w:lang w:val="en-US" w:eastAsia="zh-CN"/>
        </w:rPr>
      </w:pPr>
      <w:r>
        <w:rPr>
          <w:rFonts w:hint="eastAsia" w:ascii="方正楷体_GBK" w:hAnsi="方正楷体_GBK" w:eastAsia="方正楷体_GBK" w:cs="方正楷体_GBK"/>
          <w:b w:val="0"/>
          <w:bCs w:val="0"/>
          <w:color w:val="auto"/>
          <w:kern w:val="2"/>
          <w:sz w:val="32"/>
          <w:szCs w:val="32"/>
          <w:lang w:val="en-US" w:eastAsia="zh-CN"/>
        </w:rPr>
        <w:t>（二）强化部门协同。</w:t>
      </w:r>
      <w:r>
        <w:rPr>
          <w:rFonts w:hint="default" w:ascii="Times New Roman" w:hAnsi="Times New Roman" w:eastAsia="方正仿宋_GBK" w:cs="Times New Roman"/>
          <w:b w:val="0"/>
          <w:bCs w:val="0"/>
          <w:color w:val="auto"/>
          <w:kern w:val="2"/>
          <w:sz w:val="32"/>
          <w:szCs w:val="32"/>
          <w:lang w:val="en-US" w:eastAsia="zh-CN"/>
        </w:rPr>
        <w:t>市直各有关单位要全面落实部门管理责任，强化协作配合，形成工作合力。</w:t>
      </w:r>
    </w:p>
    <w:p w14:paraId="2836E3FD">
      <w:pPr>
        <w:keepNext w:val="0"/>
        <w:keepLines w:val="0"/>
        <w:pageBreakBefore w:val="0"/>
        <w:widowControl w:val="0"/>
        <w:kinsoku/>
        <w:wordWrap/>
        <w:overflowPunct/>
        <w:topLinePunct w:val="0"/>
        <w:autoSpaceDE/>
        <w:autoSpaceDN/>
        <w:bidi w:val="0"/>
        <w:spacing w:line="554"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市医保局负责长期护理保险统一管理工作，牵头负责长期护理保险制度的配套政策制定和组织实施</w:t>
      </w:r>
      <w:r>
        <w:rPr>
          <w:rFonts w:hint="eastAsia" w:eastAsia="方正仿宋_GBK" w:cs="Times New Roman"/>
          <w:b w:val="0"/>
          <w:bCs w:val="0"/>
          <w:color w:val="auto"/>
          <w:kern w:val="2"/>
          <w:sz w:val="32"/>
          <w:szCs w:val="32"/>
          <w:lang w:val="en-US" w:eastAsia="zh-CN"/>
        </w:rPr>
        <w:t>；</w:t>
      </w:r>
    </w:p>
    <w:p w14:paraId="62694E4D">
      <w:pPr>
        <w:keepNext w:val="0"/>
        <w:keepLines w:val="0"/>
        <w:pageBreakBefore w:val="0"/>
        <w:widowControl w:val="0"/>
        <w:kinsoku/>
        <w:wordWrap/>
        <w:overflowPunct/>
        <w:topLinePunct w:val="0"/>
        <w:autoSpaceDE/>
        <w:autoSpaceDN/>
        <w:bidi w:val="0"/>
        <w:spacing w:line="554"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市财政局负责长期护理保险基金的</w:t>
      </w:r>
      <w:r>
        <w:rPr>
          <w:rFonts w:hint="eastAsia" w:eastAsia="方正仿宋_GBK" w:cs="Times New Roman"/>
          <w:b w:val="0"/>
          <w:bCs w:val="0"/>
          <w:color w:val="auto"/>
          <w:kern w:val="2"/>
          <w:sz w:val="32"/>
          <w:szCs w:val="32"/>
          <w:lang w:val="en-US" w:eastAsia="zh-CN"/>
        </w:rPr>
        <w:t>预决算</w:t>
      </w:r>
      <w:r>
        <w:rPr>
          <w:rFonts w:hint="default" w:ascii="Times New Roman" w:hAnsi="Times New Roman" w:eastAsia="方正仿宋_GBK" w:cs="Times New Roman"/>
          <w:b w:val="0"/>
          <w:bCs w:val="0"/>
          <w:color w:val="auto"/>
          <w:kern w:val="2"/>
          <w:sz w:val="32"/>
          <w:szCs w:val="32"/>
          <w:lang w:val="en-US" w:eastAsia="zh-CN"/>
        </w:rPr>
        <w:t>管理，及时足额安排相关财政补助资金，配合医保部门做好基金测算等</w:t>
      </w:r>
      <w:r>
        <w:rPr>
          <w:rFonts w:hint="eastAsia" w:eastAsia="方正仿宋_GBK" w:cs="Times New Roman"/>
          <w:b w:val="0"/>
          <w:bCs w:val="0"/>
          <w:color w:val="auto"/>
          <w:kern w:val="2"/>
          <w:sz w:val="32"/>
          <w:szCs w:val="32"/>
          <w:lang w:val="en-US" w:eastAsia="zh-CN"/>
        </w:rPr>
        <w:t>；</w:t>
      </w:r>
    </w:p>
    <w:p w14:paraId="610323D3">
      <w:pPr>
        <w:keepNext w:val="0"/>
        <w:keepLines w:val="0"/>
        <w:pageBreakBefore w:val="0"/>
        <w:widowControl w:val="0"/>
        <w:kinsoku/>
        <w:wordWrap/>
        <w:overflowPunct/>
        <w:topLinePunct w:val="0"/>
        <w:autoSpaceDE/>
        <w:autoSpaceDN/>
        <w:bidi w:val="0"/>
        <w:spacing w:line="554"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市税务局负责指导各级税务机关做好长期护理保险费用征收工作</w:t>
      </w:r>
      <w:r>
        <w:rPr>
          <w:rFonts w:hint="eastAsia" w:eastAsia="方正仿宋_GBK" w:cs="Times New Roman"/>
          <w:b w:val="0"/>
          <w:bCs w:val="0"/>
          <w:color w:val="auto"/>
          <w:kern w:val="2"/>
          <w:sz w:val="32"/>
          <w:szCs w:val="32"/>
          <w:lang w:val="en-US" w:eastAsia="zh-CN"/>
        </w:rPr>
        <w:t>；</w:t>
      </w:r>
    </w:p>
    <w:p w14:paraId="388D113E">
      <w:pPr>
        <w:keepNext w:val="0"/>
        <w:keepLines w:val="0"/>
        <w:pageBreakBefore w:val="0"/>
        <w:widowControl w:val="0"/>
        <w:kinsoku/>
        <w:wordWrap/>
        <w:overflowPunct/>
        <w:topLinePunct w:val="0"/>
        <w:autoSpaceDE/>
        <w:autoSpaceDN/>
        <w:bidi w:val="0"/>
        <w:spacing w:line="554" w:lineRule="exact"/>
        <w:ind w:left="0" w:leftChars="0" w:firstLine="640" w:firstLineChars="200"/>
        <w:jc w:val="both"/>
        <w:textAlignment w:val="auto"/>
        <w:outlineLvl w:val="1"/>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市民政局负责推动养老服务体系建设，实施对养老服务机构的行业管理，规划、统筹养老服务资源配置</w:t>
      </w:r>
      <w:r>
        <w:rPr>
          <w:rFonts w:hint="eastAsia" w:eastAsia="方正仿宋_GBK" w:cs="Times New Roman"/>
          <w:b w:val="0"/>
          <w:bCs w:val="0"/>
          <w:color w:val="auto"/>
          <w:kern w:val="2"/>
          <w:sz w:val="32"/>
          <w:szCs w:val="32"/>
          <w:lang w:val="en-US" w:eastAsia="zh-CN"/>
        </w:rPr>
        <w:t>；</w:t>
      </w:r>
      <w:r>
        <w:rPr>
          <w:rFonts w:hint="eastAsia" w:ascii="Times New Roman" w:hAnsi="Times New Roman" w:eastAsia="方正仿宋_GBK" w:cs="Times New Roman"/>
          <w:color w:val="auto"/>
          <w:sz w:val="32"/>
          <w:szCs w:val="32"/>
          <w:lang w:val="en-US" w:eastAsia="zh-CN"/>
        </w:rPr>
        <w:t>做好</w:t>
      </w:r>
      <w:r>
        <w:rPr>
          <w:rFonts w:hint="default" w:ascii="Times New Roman" w:hAnsi="Times New Roman" w:eastAsia="方正仿宋_GBK" w:cs="Times New Roman"/>
          <w:color w:val="auto"/>
          <w:sz w:val="32"/>
          <w:szCs w:val="32"/>
        </w:rPr>
        <w:t>特困</w:t>
      </w:r>
      <w:r>
        <w:rPr>
          <w:rFonts w:hint="default" w:ascii="Times New Roman" w:hAnsi="Times New Roman" w:eastAsia="方正仿宋_GBK" w:cs="Times New Roman"/>
          <w:color w:val="auto"/>
          <w:sz w:val="32"/>
          <w:szCs w:val="32"/>
          <w:lang w:val="en-US" w:eastAsia="zh-CN"/>
        </w:rPr>
        <w:t>供养</w:t>
      </w:r>
      <w:r>
        <w:rPr>
          <w:rFonts w:hint="default" w:ascii="Times New Roman" w:hAnsi="Times New Roman" w:eastAsia="方正仿宋_GBK" w:cs="Times New Roman"/>
          <w:color w:val="auto"/>
          <w:sz w:val="32"/>
          <w:szCs w:val="32"/>
        </w:rPr>
        <w:t>人员、低保对象、孤儿等社会救助对象</w:t>
      </w:r>
      <w:r>
        <w:rPr>
          <w:rFonts w:hint="eastAsia" w:ascii="Times New Roman" w:hAnsi="Times New Roman" w:eastAsia="方正仿宋_GBK" w:cs="Times New Roman"/>
          <w:color w:val="auto"/>
          <w:sz w:val="32"/>
          <w:szCs w:val="32"/>
          <w:lang w:val="en-US" w:eastAsia="zh-CN"/>
        </w:rPr>
        <w:t>认定工作，并向医保部门</w:t>
      </w:r>
      <w:r>
        <w:rPr>
          <w:rFonts w:hint="default" w:ascii="Times New Roman" w:hAnsi="Times New Roman" w:eastAsia="方正仿宋_GBK" w:cs="Times New Roman"/>
          <w:color w:val="auto"/>
          <w:sz w:val="32"/>
          <w:szCs w:val="32"/>
        </w:rPr>
        <w:t>提供</w:t>
      </w:r>
      <w:r>
        <w:rPr>
          <w:rFonts w:hint="eastAsia" w:ascii="Times New Roman" w:hAnsi="Times New Roman" w:eastAsia="方正仿宋_GBK" w:cs="Times New Roman"/>
          <w:color w:val="auto"/>
          <w:sz w:val="32"/>
          <w:szCs w:val="32"/>
          <w:lang w:val="en-US" w:eastAsia="zh-CN"/>
        </w:rPr>
        <w:t>相关救助对象</w:t>
      </w:r>
      <w:r>
        <w:rPr>
          <w:rFonts w:hint="default" w:ascii="Times New Roman" w:hAnsi="Times New Roman" w:eastAsia="方正仿宋_GBK" w:cs="Times New Roman"/>
          <w:color w:val="auto"/>
          <w:sz w:val="32"/>
          <w:szCs w:val="32"/>
        </w:rPr>
        <w:t>名单及动态信息</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 xml:space="preserve">  </w:t>
      </w:r>
    </w:p>
    <w:p w14:paraId="78354049">
      <w:pPr>
        <w:keepNext w:val="0"/>
        <w:keepLines w:val="0"/>
        <w:pageBreakBefore w:val="0"/>
        <w:widowControl w:val="0"/>
        <w:kinsoku/>
        <w:wordWrap/>
        <w:overflowPunct/>
        <w:topLinePunct w:val="0"/>
        <w:autoSpaceDE/>
        <w:autoSpaceDN/>
        <w:bidi w:val="0"/>
        <w:spacing w:line="554"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市人力资源和社会保障局负责协同做好护理服务人员职业技能培训和技能等级认定，配合做好长期护理保险与工伤保险衔接、退休人员保费代扣代缴及基本养老金数据共享等工作</w:t>
      </w:r>
      <w:r>
        <w:rPr>
          <w:rFonts w:hint="eastAsia" w:eastAsia="方正仿宋_GBK" w:cs="Times New Roman"/>
          <w:b w:val="0"/>
          <w:bCs w:val="0"/>
          <w:color w:val="auto"/>
          <w:kern w:val="2"/>
          <w:sz w:val="32"/>
          <w:szCs w:val="32"/>
          <w:lang w:val="en-US" w:eastAsia="zh-CN"/>
        </w:rPr>
        <w:t>；</w:t>
      </w:r>
    </w:p>
    <w:p w14:paraId="0BA75163">
      <w:pPr>
        <w:keepNext w:val="0"/>
        <w:keepLines w:val="0"/>
        <w:pageBreakBefore w:val="0"/>
        <w:widowControl w:val="0"/>
        <w:kinsoku/>
        <w:wordWrap/>
        <w:overflowPunct/>
        <w:topLinePunct w:val="0"/>
        <w:autoSpaceDE/>
        <w:autoSpaceDN/>
        <w:bidi w:val="0"/>
        <w:spacing w:line="554"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市卫生健康委负责支</w:t>
      </w:r>
      <w:r>
        <w:rPr>
          <w:rFonts w:hint="default" w:ascii="Times New Roman" w:hAnsi="Times New Roman" w:eastAsia="方正仿宋_GBK" w:cs="Times New Roman"/>
          <w:b w:val="0"/>
          <w:bCs w:val="0"/>
          <w:color w:val="auto"/>
          <w:kern w:val="2"/>
          <w:sz w:val="32"/>
          <w:szCs w:val="32"/>
          <w:shd w:val="clear" w:fill="FFFFFF"/>
          <w:lang w:val="en-US" w:eastAsia="zh-CN"/>
        </w:rPr>
        <w:t>持</w:t>
      </w:r>
      <w:r>
        <w:rPr>
          <w:rFonts w:hint="default" w:ascii="Times New Roman" w:hAnsi="Times New Roman" w:eastAsia="方正仿宋_GBK" w:cs="Times New Roman"/>
          <w:b w:val="0"/>
          <w:bCs w:val="0"/>
          <w:color w:val="auto"/>
          <w:kern w:val="2"/>
          <w:sz w:val="32"/>
          <w:szCs w:val="32"/>
          <w:lang w:val="en-US" w:eastAsia="zh-CN"/>
        </w:rPr>
        <w:t>引导医疗卫生机构优化拓展护理服务供给，探索发挥家庭医生在失能等级评估中的作用等工作</w:t>
      </w:r>
      <w:r>
        <w:rPr>
          <w:rFonts w:hint="eastAsia" w:eastAsia="方正仿宋_GBK" w:cs="Times New Roman"/>
          <w:b w:val="0"/>
          <w:bCs w:val="0"/>
          <w:color w:val="auto"/>
          <w:kern w:val="2"/>
          <w:sz w:val="32"/>
          <w:szCs w:val="32"/>
          <w:lang w:val="en-US" w:eastAsia="zh-CN"/>
        </w:rPr>
        <w:t>；</w:t>
      </w:r>
    </w:p>
    <w:p w14:paraId="2F5C8DC5">
      <w:pPr>
        <w:keepNext w:val="0"/>
        <w:keepLines w:val="0"/>
        <w:pageBreakBefore w:val="0"/>
        <w:widowControl w:val="0"/>
        <w:kinsoku/>
        <w:wordWrap/>
        <w:overflowPunct/>
        <w:topLinePunct w:val="0"/>
        <w:autoSpaceDE/>
        <w:autoSpaceDN/>
        <w:bidi w:val="0"/>
        <w:spacing w:line="554"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市残疾人联合会协同做好残疾人参保相关工作</w:t>
      </w:r>
      <w:r>
        <w:rPr>
          <w:rFonts w:hint="eastAsia" w:eastAsia="方正仿宋_GBK" w:cs="Times New Roman"/>
          <w:b w:val="0"/>
          <w:bCs w:val="0"/>
          <w:color w:val="auto"/>
          <w:kern w:val="2"/>
          <w:sz w:val="32"/>
          <w:szCs w:val="32"/>
          <w:lang w:val="en-US" w:eastAsia="zh-CN"/>
        </w:rPr>
        <w:t>；</w:t>
      </w:r>
    </w:p>
    <w:p w14:paraId="1327CE52">
      <w:pPr>
        <w:keepNext w:val="0"/>
        <w:keepLines w:val="0"/>
        <w:pageBreakBefore w:val="0"/>
        <w:widowControl w:val="0"/>
        <w:kinsoku/>
        <w:wordWrap/>
        <w:overflowPunct/>
        <w:topLinePunct w:val="0"/>
        <w:autoSpaceDE/>
        <w:autoSpaceDN/>
        <w:bidi w:val="0"/>
        <w:spacing w:line="554"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市农业农村局负责做好防止返贫致贫对象认定和帮扶工作</w:t>
      </w:r>
      <w:r>
        <w:rPr>
          <w:rFonts w:hint="eastAsia" w:eastAsia="方正仿宋_GBK" w:cs="Times New Roman"/>
          <w:b w:val="0"/>
          <w:bCs w:val="0"/>
          <w:color w:val="auto"/>
          <w:kern w:val="2"/>
          <w:sz w:val="32"/>
          <w:szCs w:val="32"/>
          <w:lang w:val="en-US" w:eastAsia="zh-CN"/>
        </w:rPr>
        <w:t>；</w:t>
      </w:r>
    </w:p>
    <w:p w14:paraId="0E236BAB">
      <w:pPr>
        <w:keepNext w:val="0"/>
        <w:keepLines w:val="0"/>
        <w:pageBreakBefore w:val="0"/>
        <w:widowControl w:val="0"/>
        <w:kinsoku/>
        <w:wordWrap/>
        <w:overflowPunct/>
        <w:topLinePunct w:val="0"/>
        <w:autoSpaceDE/>
        <w:autoSpaceDN/>
        <w:bidi w:val="0"/>
        <w:spacing w:line="554" w:lineRule="exact"/>
        <w:ind w:left="0" w:leftChars="0" w:firstLine="640" w:firstLineChars="200"/>
        <w:jc w:val="both"/>
        <w:textAlignment w:val="auto"/>
        <w:outlineLvl w:val="1"/>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市民政局、市卫生健康委、市残疾人联合会与市医保局共同负责加强保险体系和服务体系协同联动、探索失能等级评估结果跨部门互认机制等</w:t>
      </w:r>
      <w:r>
        <w:rPr>
          <w:rFonts w:hint="eastAsia" w:eastAsia="方正仿宋_GBK" w:cs="Times New Roman"/>
          <w:b w:val="0"/>
          <w:bCs w:val="0"/>
          <w:color w:val="auto"/>
          <w:kern w:val="2"/>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rPr>
        <w:t>市民政局、市财政局、市医保局、市残疾人联合会共同做好相关保险与补贴制度的衔接。</w:t>
      </w:r>
    </w:p>
    <w:p w14:paraId="5205391E">
      <w:pPr>
        <w:keepNext w:val="0"/>
        <w:keepLines w:val="0"/>
        <w:pageBreakBefore w:val="0"/>
        <w:widowControl w:val="0"/>
        <w:kinsoku/>
        <w:wordWrap/>
        <w:overflowPunct/>
        <w:topLinePunct w:val="0"/>
        <w:autoSpaceDE/>
        <w:autoSpaceDN/>
        <w:bidi w:val="0"/>
        <w:spacing w:line="554" w:lineRule="exact"/>
        <w:ind w:firstLine="640" w:firstLineChars="200"/>
        <w:jc w:val="both"/>
        <w:textAlignment w:val="auto"/>
        <w:outlineLvl w:val="1"/>
        <w:rPr>
          <w:rFonts w:hint="default" w:ascii="Times New Roman" w:hAnsi="Times New Roman" w:eastAsia="方正仿宋_GBK" w:cs="Times New Roman"/>
          <w:b w:val="0"/>
          <w:bCs w:val="0"/>
          <w:color w:val="auto"/>
          <w:sz w:val="32"/>
          <w:szCs w:val="32"/>
        </w:rPr>
      </w:pPr>
      <w:r>
        <w:rPr>
          <w:rFonts w:hint="eastAsia" w:ascii="方正楷体_GBK" w:hAnsi="方正楷体_GBK" w:eastAsia="方正楷体_GBK" w:cs="方正楷体_GBK"/>
          <w:b w:val="0"/>
          <w:bCs w:val="0"/>
          <w:color w:val="auto"/>
          <w:kern w:val="2"/>
          <w:sz w:val="32"/>
          <w:szCs w:val="32"/>
          <w:lang w:val="en-US" w:eastAsia="zh-CN"/>
        </w:rPr>
        <w:t>（三）加强宣传监测。</w:t>
      </w:r>
      <w:r>
        <w:rPr>
          <w:rFonts w:hint="default" w:ascii="Times New Roman" w:hAnsi="Times New Roman" w:eastAsia="方正仿宋_GBK" w:cs="Times New Roman"/>
          <w:b w:val="0"/>
          <w:bCs w:val="0"/>
          <w:color w:val="auto"/>
          <w:kern w:val="2"/>
          <w:sz w:val="32"/>
          <w:szCs w:val="32"/>
          <w:lang w:val="en-US" w:eastAsia="zh-CN"/>
        </w:rPr>
        <w:t>各级各部门要切实加大长期护理保险政策的宣传力度，营造良好氛围，</w:t>
      </w:r>
      <w:r>
        <w:rPr>
          <w:rFonts w:hint="default" w:ascii="Times New Roman" w:hAnsi="Times New Roman" w:eastAsia="方正仿宋_GBK" w:cs="Times New Roman"/>
          <w:b w:val="0"/>
          <w:bCs w:val="0"/>
          <w:color w:val="auto"/>
          <w:spacing w:val="0"/>
          <w:w w:val="100"/>
          <w:sz w:val="32"/>
          <w:szCs w:val="32"/>
        </w:rPr>
        <w:t>建立重点联系和定期调度工作机制</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跟进调度长期护理保险制度建设情况</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及时报告重大事项。建立风险防范和重大事件应急处置机制</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增强对制度运行风险的预见性</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遇有重大舆情风险</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及时报告并妥善应对处置。坚持系统观念</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rPr>
        <w:t>统筹制度政策、体制机制、措施办法的衔接配合</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kern w:val="2"/>
          <w:sz w:val="32"/>
          <w:szCs w:val="32"/>
          <w:lang w:val="en-US" w:eastAsia="zh-CN"/>
        </w:rPr>
        <w:t>确保全市长期护理保险制度平稳有序实施。</w:t>
      </w:r>
    </w:p>
    <w:p w14:paraId="19EFD6F6">
      <w:pPr>
        <w:keepNext w:val="0"/>
        <w:keepLines w:val="0"/>
        <w:pageBreakBefore w:val="0"/>
        <w:widowControl w:val="0"/>
        <w:kinsoku/>
        <w:wordWrap/>
        <w:overflowPunct/>
        <w:topLinePunct w:val="0"/>
        <w:autoSpaceDE/>
        <w:autoSpaceDN/>
        <w:bidi w:val="0"/>
        <w:spacing w:line="554" w:lineRule="exact"/>
        <w:ind w:leftChars="0" w:firstLine="640" w:firstLineChars="200"/>
        <w:jc w:val="both"/>
        <w:textAlignment w:val="auto"/>
      </w:pPr>
      <w:r>
        <w:rPr>
          <w:rFonts w:hint="default" w:ascii="Times New Roman" w:hAnsi="Times New Roman" w:eastAsia="方正仿宋_GBK" w:cs="Times New Roman"/>
          <w:b w:val="0"/>
          <w:bCs w:val="0"/>
          <w:color w:val="auto"/>
          <w:kern w:val="2"/>
          <w:sz w:val="32"/>
          <w:szCs w:val="32"/>
          <w:lang w:val="en-US" w:eastAsia="zh-CN"/>
        </w:rPr>
        <w:t>本方案自2026年</w:t>
      </w:r>
      <w:r>
        <w:rPr>
          <w:rFonts w:hint="default" w:ascii="Times New Roman" w:hAnsi="Times New Roman" w:eastAsia="方正仿宋_GBK" w:cs="Times New Roman"/>
          <w:b w:val="0"/>
          <w:bCs w:val="0"/>
          <w:color w:val="auto"/>
          <w:kern w:val="2"/>
          <w:sz w:val="32"/>
          <w:szCs w:val="32"/>
          <w:shd w:val="clear" w:fill="FFFFFF"/>
          <w:lang w:val="en-US" w:eastAsia="zh-CN"/>
        </w:rPr>
        <w:t xml:space="preserve">  </w:t>
      </w:r>
      <w:r>
        <w:rPr>
          <w:rFonts w:hint="default" w:ascii="Times New Roman" w:hAnsi="Times New Roman" w:eastAsia="方正仿宋_GBK" w:cs="Times New Roman"/>
          <w:b w:val="0"/>
          <w:bCs w:val="0"/>
          <w:color w:val="auto"/>
          <w:kern w:val="2"/>
          <w:sz w:val="32"/>
          <w:szCs w:val="32"/>
          <w:lang w:val="en-US" w:eastAsia="zh-CN"/>
        </w:rPr>
        <w:t>月</w:t>
      </w:r>
      <w:r>
        <w:rPr>
          <w:rFonts w:hint="default" w:ascii="Times New Roman" w:hAnsi="Times New Roman" w:eastAsia="方正仿宋_GBK" w:cs="Times New Roman"/>
          <w:b w:val="0"/>
          <w:bCs w:val="0"/>
          <w:color w:val="auto"/>
          <w:kern w:val="2"/>
          <w:sz w:val="32"/>
          <w:szCs w:val="32"/>
          <w:shd w:val="clear" w:fill="FFFFFF"/>
          <w:lang w:val="en-US" w:eastAsia="zh-CN"/>
        </w:rPr>
        <w:t xml:space="preserve">  </w:t>
      </w:r>
      <w:r>
        <w:rPr>
          <w:rFonts w:hint="default" w:ascii="Times New Roman" w:hAnsi="Times New Roman" w:eastAsia="方正仿宋_GBK" w:cs="Times New Roman"/>
          <w:b w:val="0"/>
          <w:bCs w:val="0"/>
          <w:color w:val="auto"/>
          <w:kern w:val="2"/>
          <w:sz w:val="32"/>
          <w:szCs w:val="32"/>
          <w:lang w:val="en-US" w:eastAsia="zh-CN"/>
        </w:rPr>
        <w:t>日起</w:t>
      </w:r>
      <w:r>
        <w:rPr>
          <w:rFonts w:hint="eastAsia" w:ascii="Times New Roman" w:hAnsi="Times New Roman" w:eastAsia="方正仿宋_GBK" w:cs="Times New Roman"/>
          <w:b w:val="0"/>
          <w:bCs w:val="0"/>
          <w:color w:val="auto"/>
          <w:kern w:val="2"/>
          <w:sz w:val="32"/>
          <w:szCs w:val="32"/>
          <w:lang w:val="en-US" w:eastAsia="zh-CN"/>
        </w:rPr>
        <w:t>全市统一</w:t>
      </w:r>
      <w:r>
        <w:rPr>
          <w:rFonts w:hint="default" w:ascii="Times New Roman" w:hAnsi="Times New Roman" w:eastAsia="方正仿宋_GBK" w:cs="Times New Roman"/>
          <w:b w:val="0"/>
          <w:bCs w:val="0"/>
          <w:color w:val="auto"/>
          <w:kern w:val="2"/>
          <w:sz w:val="32"/>
          <w:szCs w:val="32"/>
          <w:lang w:val="en-US" w:eastAsia="zh-CN"/>
        </w:rPr>
        <w:t>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SOF6B657194">
    <w:panose1 w:val="02020500000000000000"/>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A2556"/>
    <w:rsid w:val="01885910"/>
    <w:rsid w:val="024125D0"/>
    <w:rsid w:val="02AA7A19"/>
    <w:rsid w:val="036F4927"/>
    <w:rsid w:val="05F62F43"/>
    <w:rsid w:val="0731241A"/>
    <w:rsid w:val="075948A2"/>
    <w:rsid w:val="07AC0883"/>
    <w:rsid w:val="099263AF"/>
    <w:rsid w:val="09AE7891"/>
    <w:rsid w:val="0A7D4327"/>
    <w:rsid w:val="0C016A5C"/>
    <w:rsid w:val="0C401741"/>
    <w:rsid w:val="0C6E1484"/>
    <w:rsid w:val="0D570D57"/>
    <w:rsid w:val="0D894C75"/>
    <w:rsid w:val="0EEB051B"/>
    <w:rsid w:val="106C0B55"/>
    <w:rsid w:val="10B27DB1"/>
    <w:rsid w:val="11D40D13"/>
    <w:rsid w:val="11ED4FEA"/>
    <w:rsid w:val="124E0C63"/>
    <w:rsid w:val="12653C2C"/>
    <w:rsid w:val="12F32766"/>
    <w:rsid w:val="135751C6"/>
    <w:rsid w:val="1461248A"/>
    <w:rsid w:val="14CE4FD7"/>
    <w:rsid w:val="15483721"/>
    <w:rsid w:val="154B0A80"/>
    <w:rsid w:val="16107086"/>
    <w:rsid w:val="17050BE4"/>
    <w:rsid w:val="174370C9"/>
    <w:rsid w:val="182249A5"/>
    <w:rsid w:val="185C083C"/>
    <w:rsid w:val="193675D1"/>
    <w:rsid w:val="1A5C21D6"/>
    <w:rsid w:val="1AE340D0"/>
    <w:rsid w:val="1B457B7C"/>
    <w:rsid w:val="1B9A0316"/>
    <w:rsid w:val="1BF93C25"/>
    <w:rsid w:val="1C2378DD"/>
    <w:rsid w:val="1C402445"/>
    <w:rsid w:val="1CD60C80"/>
    <w:rsid w:val="1E160C44"/>
    <w:rsid w:val="1E556E6E"/>
    <w:rsid w:val="1E5703E7"/>
    <w:rsid w:val="1F371E1B"/>
    <w:rsid w:val="1F8305BB"/>
    <w:rsid w:val="1FBC0EEE"/>
    <w:rsid w:val="20D513D7"/>
    <w:rsid w:val="22E06081"/>
    <w:rsid w:val="240D1D18"/>
    <w:rsid w:val="24A978B4"/>
    <w:rsid w:val="24C51723"/>
    <w:rsid w:val="24EC0600"/>
    <w:rsid w:val="25C87134"/>
    <w:rsid w:val="25DD0953"/>
    <w:rsid w:val="27E50111"/>
    <w:rsid w:val="27EF7E63"/>
    <w:rsid w:val="28B23128"/>
    <w:rsid w:val="29F7627D"/>
    <w:rsid w:val="2A683E43"/>
    <w:rsid w:val="2ACA1E8A"/>
    <w:rsid w:val="2B016E77"/>
    <w:rsid w:val="2B464ADA"/>
    <w:rsid w:val="2DB33DE8"/>
    <w:rsid w:val="2DD437FE"/>
    <w:rsid w:val="2DF91807"/>
    <w:rsid w:val="2E2C19A8"/>
    <w:rsid w:val="2E606A32"/>
    <w:rsid w:val="2F222F0D"/>
    <w:rsid w:val="2F8B2E0E"/>
    <w:rsid w:val="2FE91CEB"/>
    <w:rsid w:val="3038636F"/>
    <w:rsid w:val="303928DF"/>
    <w:rsid w:val="31AD1521"/>
    <w:rsid w:val="31FF28CB"/>
    <w:rsid w:val="32B05186"/>
    <w:rsid w:val="332C0FF0"/>
    <w:rsid w:val="33866E96"/>
    <w:rsid w:val="339D3566"/>
    <w:rsid w:val="33B45BC8"/>
    <w:rsid w:val="34203812"/>
    <w:rsid w:val="345B3C25"/>
    <w:rsid w:val="35661675"/>
    <w:rsid w:val="362807E4"/>
    <w:rsid w:val="363446FD"/>
    <w:rsid w:val="37DD0056"/>
    <w:rsid w:val="383313E8"/>
    <w:rsid w:val="3ACE216B"/>
    <w:rsid w:val="3B0446C0"/>
    <w:rsid w:val="3B5B1163"/>
    <w:rsid w:val="3B710987"/>
    <w:rsid w:val="3B9358A9"/>
    <w:rsid w:val="3BBB488D"/>
    <w:rsid w:val="3C265A8E"/>
    <w:rsid w:val="3C2A2447"/>
    <w:rsid w:val="3DA212CB"/>
    <w:rsid w:val="3E3B152C"/>
    <w:rsid w:val="3F2056C7"/>
    <w:rsid w:val="3F5C0140"/>
    <w:rsid w:val="3FB84860"/>
    <w:rsid w:val="3FD56409"/>
    <w:rsid w:val="404321A4"/>
    <w:rsid w:val="40FE70BF"/>
    <w:rsid w:val="42872932"/>
    <w:rsid w:val="42D64FF5"/>
    <w:rsid w:val="43D27046"/>
    <w:rsid w:val="43D42B19"/>
    <w:rsid w:val="441F1ADE"/>
    <w:rsid w:val="46491C42"/>
    <w:rsid w:val="46A7540A"/>
    <w:rsid w:val="485A4BB0"/>
    <w:rsid w:val="48C57246"/>
    <w:rsid w:val="496576BD"/>
    <w:rsid w:val="49F355EC"/>
    <w:rsid w:val="4A45201C"/>
    <w:rsid w:val="4ADA3470"/>
    <w:rsid w:val="4B515A7A"/>
    <w:rsid w:val="4B8D2E03"/>
    <w:rsid w:val="4BEC6600"/>
    <w:rsid w:val="4C2F2351"/>
    <w:rsid w:val="4C572015"/>
    <w:rsid w:val="4CA41A0E"/>
    <w:rsid w:val="4D41463F"/>
    <w:rsid w:val="4D8F494F"/>
    <w:rsid w:val="4EE87882"/>
    <w:rsid w:val="4F932895"/>
    <w:rsid w:val="4FC000E6"/>
    <w:rsid w:val="50151AE1"/>
    <w:rsid w:val="50334053"/>
    <w:rsid w:val="509D67D0"/>
    <w:rsid w:val="50AA5AE5"/>
    <w:rsid w:val="50B275C2"/>
    <w:rsid w:val="51E241AA"/>
    <w:rsid w:val="520071D4"/>
    <w:rsid w:val="52B976E5"/>
    <w:rsid w:val="532E3BC0"/>
    <w:rsid w:val="543F4A18"/>
    <w:rsid w:val="554462F1"/>
    <w:rsid w:val="575A5506"/>
    <w:rsid w:val="57C2639A"/>
    <w:rsid w:val="58416F0A"/>
    <w:rsid w:val="587E693B"/>
    <w:rsid w:val="59A07E2E"/>
    <w:rsid w:val="59E75F0D"/>
    <w:rsid w:val="5A625EE1"/>
    <w:rsid w:val="5AF669C0"/>
    <w:rsid w:val="5C457071"/>
    <w:rsid w:val="5D216E40"/>
    <w:rsid w:val="5E586664"/>
    <w:rsid w:val="618A3853"/>
    <w:rsid w:val="61BB4DBF"/>
    <w:rsid w:val="622E6AB7"/>
    <w:rsid w:val="624A3B5C"/>
    <w:rsid w:val="62533A5E"/>
    <w:rsid w:val="63080089"/>
    <w:rsid w:val="6318719D"/>
    <w:rsid w:val="6347265C"/>
    <w:rsid w:val="6373359C"/>
    <w:rsid w:val="641F75BA"/>
    <w:rsid w:val="645108A9"/>
    <w:rsid w:val="6594391D"/>
    <w:rsid w:val="66A84904"/>
    <w:rsid w:val="682F4A90"/>
    <w:rsid w:val="684C2C5A"/>
    <w:rsid w:val="68C75DA5"/>
    <w:rsid w:val="695C56C7"/>
    <w:rsid w:val="69CB581E"/>
    <w:rsid w:val="69F64D2D"/>
    <w:rsid w:val="6A8302C8"/>
    <w:rsid w:val="6BB6214D"/>
    <w:rsid w:val="6BE51D9B"/>
    <w:rsid w:val="6C9F5DBC"/>
    <w:rsid w:val="6CB071DB"/>
    <w:rsid w:val="6DE60739"/>
    <w:rsid w:val="6E483533"/>
    <w:rsid w:val="6F0F693C"/>
    <w:rsid w:val="70C366B0"/>
    <w:rsid w:val="711377E1"/>
    <w:rsid w:val="724F2838"/>
    <w:rsid w:val="730174BF"/>
    <w:rsid w:val="74055E73"/>
    <w:rsid w:val="742355AA"/>
    <w:rsid w:val="74643EDD"/>
    <w:rsid w:val="76CC1E7F"/>
    <w:rsid w:val="78173D4D"/>
    <w:rsid w:val="784E4B2C"/>
    <w:rsid w:val="78A23D04"/>
    <w:rsid w:val="78D93E53"/>
    <w:rsid w:val="7905019A"/>
    <w:rsid w:val="79944ED8"/>
    <w:rsid w:val="7A63199E"/>
    <w:rsid w:val="7BA977DC"/>
    <w:rsid w:val="7BB30C66"/>
    <w:rsid w:val="7C227142"/>
    <w:rsid w:val="7CD5683A"/>
    <w:rsid w:val="7D0C5732"/>
    <w:rsid w:val="7EF1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1"/>
    <w:basedOn w:val="1"/>
    <w:qFormat/>
    <w:uiPriority w:val="0"/>
    <w:pPr>
      <w:widowControl w:val="0"/>
      <w:shd w:val="clear" w:color="auto" w:fill="auto"/>
      <w:spacing w:line="389" w:lineRule="auto"/>
      <w:ind w:firstLine="400"/>
    </w:pPr>
    <w:rPr>
      <w:rFonts w:ascii="MingLiU" w:hAnsi="MingLiU" w:eastAsia="MingLiU" w:cs="MingLiU"/>
      <w:sz w:val="19"/>
      <w:szCs w:val="19"/>
      <w:u w:val="none"/>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5514</Words>
  <Characters>5640</Characters>
  <Lines>0</Lines>
  <Paragraphs>0</Paragraphs>
  <TotalTime>1</TotalTime>
  <ScaleCrop>false</ScaleCrop>
  <LinksUpToDate>false</LinksUpToDate>
  <CharactersWithSpaces>5648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2026-01-09T09:44:00Z</dcterms:created>
  <dc:creator>段葳</dc:creator>
  <cp:lastModifiedBy>老金</cp:lastModifiedBy>
  <dcterms:modified xsi:type="dcterms:W3CDTF">2026-02-06T09:19:48Z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927B99A53D5542ECB92D4FC9E0BD8DE2_13</vt:lpwstr>
  </property>
  <property fmtid="{D5CDD505-2E9C-101B-9397-08002B2CF9AE}" pid="4" name="KSOTemplateDocerSaveRecord">
    <vt:lpwstr>eyJoZGlkIjoiM2M5ZDM0N2FmM2QyNWY5ZDYyOWEyYzYxZDlkNzZmNTkiLCJ1c2VySWQiOiIzMDgwNTUyMDEifQ==</vt:lpwstr>
  </property>
</Properties>
</file>