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50598">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ascii="方正小标宋_GBK" w:hAnsi="方正小标宋_GBK" w:eastAsia="方正小标宋_GBK" w:cs="方正小标宋_GBK"/>
          <w:color w:val="000000"/>
          <w:kern w:val="0"/>
          <w:sz w:val="43"/>
          <w:szCs w:val="43"/>
          <w:lang w:val="en-US" w:eastAsia="zh-CN" w:bidi="ar"/>
        </w:rPr>
        <w:t>玉溪市发展和改革委员会202</w:t>
      </w:r>
      <w:r>
        <w:rPr>
          <w:rFonts w:hint="eastAsia" w:ascii="方正小标宋_GBK" w:hAnsi="方正小标宋_GBK" w:eastAsia="方正小标宋_GBK" w:cs="方正小标宋_GBK"/>
          <w:color w:val="000000"/>
          <w:kern w:val="0"/>
          <w:sz w:val="43"/>
          <w:szCs w:val="43"/>
          <w:lang w:val="en-US" w:eastAsia="zh-CN" w:bidi="ar"/>
        </w:rPr>
        <w:t>6</w:t>
      </w:r>
      <w:r>
        <w:rPr>
          <w:rFonts w:ascii="方正小标宋_GBK" w:hAnsi="方正小标宋_GBK" w:eastAsia="方正小标宋_GBK" w:cs="方正小标宋_GBK"/>
          <w:color w:val="000000"/>
          <w:kern w:val="0"/>
          <w:sz w:val="43"/>
          <w:szCs w:val="43"/>
          <w:lang w:val="en-US" w:eastAsia="zh-CN" w:bidi="ar"/>
        </w:rPr>
        <w:t>年预算重点领</w:t>
      </w:r>
      <w:r>
        <w:rPr>
          <w:rFonts w:hint="eastAsia" w:ascii="方正小标宋_GBK" w:hAnsi="方正小标宋_GBK" w:eastAsia="方正小标宋_GBK" w:cs="方正小标宋_GBK"/>
          <w:color w:val="000000"/>
          <w:kern w:val="0"/>
          <w:sz w:val="43"/>
          <w:szCs w:val="43"/>
          <w:lang w:val="en-US" w:eastAsia="zh-CN" w:bidi="ar"/>
        </w:rPr>
        <w:t>域财政项目文本公开</w:t>
      </w:r>
    </w:p>
    <w:p w14:paraId="14A30E6C">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p>
    <w:p w14:paraId="0B260696">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一、项目名称</w:t>
      </w:r>
    </w:p>
    <w:p w14:paraId="56E15DA8">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年玉溪市市本级重点项目前期工作专项经费</w:t>
      </w:r>
      <w:bookmarkStart w:id="0" w:name="_GoBack"/>
      <w:bookmarkEnd w:id="0"/>
    </w:p>
    <w:p w14:paraId="537E86FE">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方正黑体_GBK" w:hAnsi="方正黑体_GBK" w:eastAsia="方正黑体_GBK" w:cs="方正黑体_GBK"/>
          <w:color w:val="000000"/>
          <w:kern w:val="0"/>
          <w:sz w:val="32"/>
          <w:szCs w:val="32"/>
          <w:lang w:val="en-US" w:eastAsia="zh-CN" w:bidi="ar"/>
        </w:rPr>
      </w:pPr>
      <w:r>
        <w:rPr>
          <w:rFonts w:hint="default" w:ascii="方正黑体_GBK" w:hAnsi="方正黑体_GBK" w:eastAsia="方正黑体_GBK" w:cs="方正黑体_GBK"/>
          <w:color w:val="000000"/>
          <w:kern w:val="0"/>
          <w:sz w:val="32"/>
          <w:szCs w:val="32"/>
          <w:lang w:val="en-US" w:eastAsia="zh-CN" w:bidi="ar"/>
        </w:rPr>
        <w:t>二、立项依据</w:t>
      </w:r>
    </w:p>
    <w:p w14:paraId="4CD2A8EC">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为扎实做好重大建设项目前期工作，科学的实施重大建设项目前期工作推进、管理和考核机制，提高项目前期工作质量和效率，发挥前期工作经费在推进重点项目建设的</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四两拨千斤</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的作用，确保重大建设项目有效实施，进一步增强投资对经济增长的拉动作用，实现我市经济社会又好又快发展。</w:t>
      </w:r>
    </w:p>
    <w:p w14:paraId="16E080BF">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三、</w:t>
      </w:r>
      <w:r>
        <w:rPr>
          <w:rFonts w:hint="default" w:ascii="方正黑体_GBK" w:hAnsi="方正黑体_GBK" w:eastAsia="方正黑体_GBK" w:cs="方正黑体_GBK"/>
          <w:color w:val="000000"/>
          <w:kern w:val="0"/>
          <w:sz w:val="32"/>
          <w:szCs w:val="32"/>
          <w:lang w:val="en-US" w:eastAsia="zh-CN" w:bidi="ar"/>
        </w:rPr>
        <w:t>项目实施</w:t>
      </w:r>
    </w:p>
    <w:p w14:paraId="502C18B9">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leftChars="0"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单位市直相关部门</w:t>
      </w:r>
      <w:r>
        <w:rPr>
          <w:rFonts w:hint="eastAsia" w:ascii="Times New Roman" w:hAnsi="Times New Roman" w:eastAsia="方正仿宋_GBK" w:cs="Times New Roman"/>
          <w:color w:val="000000"/>
          <w:kern w:val="0"/>
          <w:sz w:val="32"/>
          <w:szCs w:val="32"/>
          <w:lang w:val="en-US" w:eastAsia="zh-CN" w:bidi="ar"/>
        </w:rPr>
        <w:t>。</w:t>
      </w:r>
    </w:p>
    <w:p w14:paraId="22361466">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四、</w:t>
      </w:r>
      <w:r>
        <w:rPr>
          <w:rFonts w:hint="default" w:ascii="方正黑体_GBK" w:hAnsi="方正黑体_GBK" w:eastAsia="方正黑体_GBK" w:cs="方正黑体_GBK"/>
          <w:color w:val="000000"/>
          <w:kern w:val="0"/>
          <w:sz w:val="32"/>
          <w:szCs w:val="32"/>
          <w:lang w:val="en-US" w:eastAsia="zh-CN" w:bidi="ar"/>
        </w:rPr>
        <w:t>项目基本概况</w:t>
      </w:r>
    </w:p>
    <w:p w14:paraId="72256F09">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市预算内前期工作经费主要用于开展规划编制和项目前期工作。其中：规划编制是指为支撑重大战略、重大项目、重点工程实施所开展的有关研究工作；前期工作是指从建设项目的规划、立项申请、可行性研究、初步设计到项目开工前所进行的一系列工作，主要包括项目建议书、可行性研究报告、初步设计等工作环节以及与基本建设投资有关的规划研究、政策法规研究、课题研究的材料编制、招标、评估、审查、报送及相关工作。</w:t>
      </w:r>
    </w:p>
    <w:p w14:paraId="2FA6E958">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leftChars="0"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项目实施内容</w:t>
      </w:r>
    </w:p>
    <w:p w14:paraId="67B1265E">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方正楷体_GBK" w:hAnsi="方正楷体_GBK" w:eastAsia="方正楷体_GBK" w:cs="方正楷体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玉溪市202</w:t>
      </w:r>
      <w:r>
        <w:rPr>
          <w:rFonts w:hint="eastAsia"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年市级预算内前期工作经费投资计划重点安排支持方向包括</w:t>
      </w:r>
      <w:r>
        <w:rPr>
          <w:rFonts w:hint="eastAsia" w:ascii="Times New Roman" w:hAnsi="Times New Roman" w:eastAsia="方正仿宋_GBK" w:cs="Times New Roman"/>
          <w:color w:val="000000"/>
          <w:kern w:val="0"/>
          <w:sz w:val="32"/>
          <w:szCs w:val="32"/>
          <w:lang w:val="en-US" w:eastAsia="zh-CN" w:bidi="ar"/>
        </w:rPr>
        <w:t>：</w:t>
      </w:r>
      <w:r>
        <w:rPr>
          <w:rFonts w:hint="eastAsia" w:ascii="方正楷体_GBK" w:hAnsi="方正楷体_GBK" w:eastAsia="方正楷体_GBK" w:cs="方正楷体_GBK"/>
          <w:color w:val="000000"/>
          <w:kern w:val="0"/>
          <w:sz w:val="32"/>
          <w:szCs w:val="32"/>
          <w:lang w:val="en-US" w:eastAsia="zh-CN" w:bidi="ar"/>
        </w:rPr>
        <w:t>一是重大基础设施。</w:t>
      </w:r>
      <w:r>
        <w:rPr>
          <w:rFonts w:hint="default" w:ascii="Times New Roman" w:hAnsi="Times New Roman" w:eastAsia="方正仿宋_GBK" w:cs="Times New Roman"/>
          <w:color w:val="000000"/>
          <w:kern w:val="0"/>
          <w:sz w:val="32"/>
          <w:szCs w:val="32"/>
          <w:lang w:val="en-US" w:eastAsia="zh-CN" w:bidi="ar"/>
        </w:rPr>
        <w:t>支持综合交通、能源、水利、物流等专项建设。</w:t>
      </w:r>
      <w:r>
        <w:rPr>
          <w:rFonts w:hint="default" w:ascii="方正楷体_GBK" w:hAnsi="方正楷体_GBK" w:eastAsia="方正楷体_GBK" w:cs="方正楷体_GBK"/>
          <w:color w:val="000000"/>
          <w:kern w:val="0"/>
          <w:sz w:val="32"/>
          <w:szCs w:val="32"/>
          <w:lang w:val="en-US" w:eastAsia="zh-CN" w:bidi="ar"/>
        </w:rPr>
        <w:t>二是乡村振兴。</w:t>
      </w:r>
      <w:r>
        <w:rPr>
          <w:rFonts w:hint="default" w:ascii="Times New Roman" w:hAnsi="Times New Roman" w:eastAsia="方正仿宋_GBK" w:cs="Times New Roman"/>
          <w:color w:val="000000"/>
          <w:kern w:val="0"/>
          <w:sz w:val="32"/>
          <w:szCs w:val="32"/>
          <w:lang w:val="en-US" w:eastAsia="zh-CN" w:bidi="ar"/>
        </w:rPr>
        <w:t>支持农业产业园区、易地扶贫搬迁后续帮扶、乡村产业发展等民生工程专项建设。</w:t>
      </w:r>
      <w:r>
        <w:rPr>
          <w:rFonts w:hint="default" w:ascii="方正楷体_GBK" w:hAnsi="方正楷体_GBK" w:eastAsia="方正楷体_GBK" w:cs="方正楷体_GBK"/>
          <w:color w:val="000000"/>
          <w:kern w:val="0"/>
          <w:sz w:val="32"/>
          <w:szCs w:val="32"/>
          <w:lang w:val="en-US" w:eastAsia="zh-CN" w:bidi="ar"/>
        </w:rPr>
        <w:t>三是新型城镇化建设</w:t>
      </w:r>
      <w:r>
        <w:rPr>
          <w:rFonts w:hint="default" w:ascii="Times New Roman" w:hAnsi="Times New Roman" w:eastAsia="方正仿宋_GBK" w:cs="Times New Roman"/>
          <w:color w:val="000000"/>
          <w:kern w:val="0"/>
          <w:sz w:val="32"/>
          <w:szCs w:val="32"/>
          <w:lang w:val="en-US" w:eastAsia="zh-CN" w:bidi="ar"/>
        </w:rPr>
        <w:t>。支持城市更新改造、县城基础设施补短板、特色小镇、美丽县城等专项建设。</w:t>
      </w:r>
      <w:r>
        <w:rPr>
          <w:rFonts w:hint="default" w:ascii="方正楷体_GBK" w:hAnsi="方正楷体_GBK" w:eastAsia="方正楷体_GBK" w:cs="方正楷体_GBK"/>
          <w:color w:val="000000"/>
          <w:kern w:val="0"/>
          <w:sz w:val="32"/>
          <w:szCs w:val="32"/>
          <w:lang w:val="en-US" w:eastAsia="zh-CN" w:bidi="ar"/>
        </w:rPr>
        <w:t>四是新型基础设施和创新驱动。</w:t>
      </w:r>
      <w:r>
        <w:rPr>
          <w:rFonts w:hint="default" w:ascii="Times New Roman" w:hAnsi="Times New Roman" w:eastAsia="方正仿宋_GBK" w:cs="Times New Roman"/>
          <w:color w:val="000000"/>
          <w:kern w:val="0"/>
          <w:sz w:val="32"/>
          <w:szCs w:val="32"/>
          <w:lang w:val="en-US" w:eastAsia="zh-CN" w:bidi="ar"/>
        </w:rPr>
        <w:t>支持信息基础设施、融合基础设施、创新基础设施和技术创新、科技基础设施等专项建设。</w:t>
      </w:r>
      <w:r>
        <w:rPr>
          <w:rFonts w:hint="default" w:ascii="方正楷体_GBK" w:hAnsi="方正楷体_GBK" w:eastAsia="方正楷体_GBK" w:cs="方正楷体_GBK"/>
          <w:color w:val="000000"/>
          <w:kern w:val="0"/>
          <w:sz w:val="32"/>
          <w:szCs w:val="32"/>
          <w:lang w:val="en-US" w:eastAsia="zh-CN" w:bidi="ar"/>
        </w:rPr>
        <w:t>五是产业转型升级。</w:t>
      </w:r>
      <w:r>
        <w:rPr>
          <w:rFonts w:hint="default" w:ascii="Times New Roman" w:hAnsi="Times New Roman" w:eastAsia="方正仿宋_GBK" w:cs="Times New Roman"/>
          <w:color w:val="000000"/>
          <w:kern w:val="0"/>
          <w:sz w:val="32"/>
          <w:szCs w:val="32"/>
          <w:lang w:val="en-US" w:eastAsia="zh-CN" w:bidi="ar"/>
        </w:rPr>
        <w:t>支持围绕加快构建特色鲜明、技术先进、绿色安全、迭代发展的玉溪现代产业体系，打造世界一流</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三张牌</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、产业链供应链进口替代等专项建设。</w:t>
      </w:r>
      <w:r>
        <w:rPr>
          <w:rFonts w:hint="default" w:ascii="方正楷体_GBK" w:hAnsi="方正楷体_GBK" w:eastAsia="方正楷体_GBK" w:cs="方正楷体_GBK"/>
          <w:color w:val="000000"/>
          <w:kern w:val="0"/>
          <w:sz w:val="32"/>
          <w:szCs w:val="32"/>
          <w:lang w:val="en-US" w:eastAsia="zh-CN" w:bidi="ar"/>
        </w:rPr>
        <w:t>六是公共服务。</w:t>
      </w:r>
      <w:r>
        <w:rPr>
          <w:rFonts w:hint="default" w:ascii="Times New Roman" w:hAnsi="Times New Roman" w:eastAsia="方正仿宋_GBK" w:cs="Times New Roman"/>
          <w:color w:val="000000"/>
          <w:kern w:val="0"/>
          <w:sz w:val="32"/>
          <w:szCs w:val="32"/>
          <w:lang w:val="en-US" w:eastAsia="zh-CN" w:bidi="ar"/>
        </w:rPr>
        <w:t>支持社会民生领域、应急管理、防灾减灾救灾、社会信用体系建设、政法基础设施等专项建设。</w:t>
      </w:r>
      <w:r>
        <w:rPr>
          <w:rFonts w:hint="default" w:ascii="方正楷体_GBK" w:hAnsi="方正楷体_GBK" w:eastAsia="方正楷体_GBK" w:cs="方正楷体_GBK"/>
          <w:color w:val="000000"/>
          <w:kern w:val="0"/>
          <w:sz w:val="32"/>
          <w:szCs w:val="32"/>
          <w:lang w:val="en-US" w:eastAsia="zh-CN" w:bidi="ar"/>
        </w:rPr>
        <w:t>七是生态文明建设。</w:t>
      </w:r>
      <w:r>
        <w:rPr>
          <w:rFonts w:hint="default" w:ascii="Times New Roman" w:hAnsi="Times New Roman" w:eastAsia="方正仿宋_GBK" w:cs="Times New Roman"/>
          <w:color w:val="000000"/>
          <w:kern w:val="0"/>
          <w:sz w:val="32"/>
          <w:szCs w:val="32"/>
          <w:lang w:val="en-US" w:eastAsia="zh-CN" w:bidi="ar"/>
        </w:rPr>
        <w:t>支持重点流域水环境综合治理、城镇生活污水垃圾处置、能效提升、节水工程、资源综合利用、循环经济、清洁生产、绿色技术示范等生态文明专项建设，支持重要生态系统保护和修复重大工程建设。</w:t>
      </w:r>
      <w:r>
        <w:rPr>
          <w:rFonts w:hint="default" w:ascii="方正楷体_GBK" w:hAnsi="方正楷体_GBK" w:eastAsia="方正楷体_GBK" w:cs="方正楷体_GBK"/>
          <w:color w:val="000000"/>
          <w:kern w:val="0"/>
          <w:sz w:val="32"/>
          <w:szCs w:val="32"/>
          <w:lang w:val="en-US" w:eastAsia="zh-CN" w:bidi="ar"/>
        </w:rPr>
        <w:t>八是其他重点项目及规划。</w:t>
      </w:r>
    </w:p>
    <w:p w14:paraId="2E71EEA7">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资金安排情况</w:t>
      </w:r>
    </w:p>
    <w:p w14:paraId="01E567C4">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年市级财政预算安排</w:t>
      </w:r>
      <w:r>
        <w:rPr>
          <w:rFonts w:hint="eastAsia" w:ascii="Times New Roman" w:hAnsi="Times New Roman" w:eastAsia="方正仿宋_GBK" w:cs="Times New Roman"/>
          <w:color w:val="000000"/>
          <w:kern w:val="0"/>
          <w:sz w:val="32"/>
          <w:szCs w:val="32"/>
          <w:lang w:val="en-US" w:eastAsia="zh-CN" w:bidi="ar"/>
        </w:rPr>
        <w:t>80,000,000.00</w:t>
      </w:r>
      <w:r>
        <w:rPr>
          <w:rFonts w:hint="default" w:ascii="Times New Roman" w:hAnsi="Times New Roman" w:eastAsia="方正仿宋_GBK" w:cs="Times New Roman"/>
          <w:color w:val="000000"/>
          <w:kern w:val="0"/>
          <w:sz w:val="32"/>
          <w:szCs w:val="32"/>
          <w:lang w:val="en-US" w:eastAsia="zh-CN" w:bidi="ar"/>
        </w:rPr>
        <w:t>元。</w:t>
      </w:r>
    </w:p>
    <w:p w14:paraId="63317B89">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项目实施计划</w:t>
      </w:r>
    </w:p>
    <w:p w14:paraId="5AD89073">
      <w:pPr>
        <w:keepNext w:val="0"/>
        <w:keepLines w:val="0"/>
        <w:pageBreakBefore w:val="0"/>
        <w:widowControl/>
        <w:numPr>
          <w:ilvl w:val="0"/>
          <w:numId w:val="2"/>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项目实施。</w:t>
      </w:r>
      <w:r>
        <w:rPr>
          <w:rFonts w:hint="eastAsia" w:ascii="方正仿宋_GBK" w:hAnsi="方正仿宋_GBK" w:eastAsia="方正仿宋_GBK" w:cs="方正仿宋_GBK"/>
          <w:color w:val="000000"/>
          <w:kern w:val="0"/>
          <w:sz w:val="32"/>
          <w:szCs w:val="32"/>
          <w:lang w:val="en-US" w:eastAsia="zh-CN" w:bidi="ar"/>
        </w:rPr>
        <w:t>市级资金</w:t>
      </w:r>
      <w:r>
        <w:rPr>
          <w:rFonts w:hint="default" w:ascii="Times New Roman" w:hAnsi="Times New Roman" w:eastAsia="方正仿宋_GBK" w:cs="Times New Roman"/>
          <w:color w:val="000000"/>
          <w:kern w:val="0"/>
          <w:sz w:val="32"/>
          <w:szCs w:val="32"/>
          <w:lang w:val="en-US" w:eastAsia="zh-CN" w:bidi="ar"/>
        </w:rPr>
        <w:t>实行申请制，由各</w:t>
      </w:r>
      <w:r>
        <w:rPr>
          <w:rFonts w:hint="eastAsia" w:ascii="Times New Roman" w:hAnsi="Times New Roman" w:eastAsia="方正仿宋_GBK" w:cs="Times New Roman"/>
          <w:color w:val="000000"/>
          <w:kern w:val="0"/>
          <w:sz w:val="32"/>
          <w:szCs w:val="32"/>
          <w:lang w:val="en-US" w:eastAsia="zh-CN" w:bidi="ar"/>
        </w:rPr>
        <w:t>市级</w:t>
      </w:r>
      <w:r>
        <w:rPr>
          <w:rFonts w:hint="default" w:ascii="Times New Roman" w:hAnsi="Times New Roman" w:eastAsia="方正仿宋_GBK" w:cs="Times New Roman"/>
          <w:color w:val="000000"/>
          <w:kern w:val="0"/>
          <w:sz w:val="32"/>
          <w:szCs w:val="32"/>
          <w:lang w:val="en-US" w:eastAsia="zh-CN" w:bidi="ar"/>
        </w:rPr>
        <w:t>部门</w:t>
      </w:r>
      <w:r>
        <w:rPr>
          <w:rFonts w:hint="eastAsia" w:ascii="Times New Roman" w:hAnsi="Times New Roman" w:eastAsia="方正仿宋_GBK" w:cs="Times New Roman"/>
          <w:color w:val="000000"/>
          <w:kern w:val="0"/>
          <w:sz w:val="32"/>
          <w:szCs w:val="32"/>
          <w:lang w:val="en-US" w:eastAsia="zh-CN" w:bidi="ar"/>
        </w:rPr>
        <w:t>根据</w:t>
      </w:r>
      <w:r>
        <w:rPr>
          <w:rFonts w:hint="default" w:ascii="Times New Roman" w:hAnsi="Times New Roman" w:eastAsia="方正仿宋_GBK" w:cs="Times New Roman"/>
          <w:color w:val="000000"/>
          <w:kern w:val="0"/>
          <w:sz w:val="32"/>
          <w:szCs w:val="32"/>
          <w:lang w:val="en-US" w:eastAsia="zh-CN" w:bidi="ar"/>
        </w:rPr>
        <w:t>市委、市政府重要工作安排</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梳理拟安排预算内前期工作经费的项目清单，向市发展改革委提出申请（市属国有企业预算内前期工作经费需求由市国资委统一提出申请），市发展改革委根据当年预算内前期工作经费总额和各单位项目清单需求情况进行分配，按程序审核报批后下达。</w:t>
      </w:r>
    </w:p>
    <w:p w14:paraId="3A7F1683">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color w:val="000000"/>
          <w:kern w:val="0"/>
          <w:sz w:val="32"/>
          <w:szCs w:val="32"/>
          <w:lang w:val="en-US" w:eastAsia="zh-CN" w:bidi="ar"/>
        </w:rPr>
        <w:t>（二）工作计划。</w:t>
      </w:r>
      <w:r>
        <w:rPr>
          <w:rFonts w:hint="eastAsia" w:ascii="方正仿宋_GBK" w:hAnsi="方正仿宋_GBK" w:eastAsia="方正仿宋_GBK" w:cs="方正仿宋_GBK"/>
          <w:color w:val="000000"/>
          <w:kern w:val="0"/>
          <w:sz w:val="32"/>
          <w:szCs w:val="32"/>
          <w:lang w:val="en-US" w:eastAsia="zh-CN" w:bidi="ar"/>
        </w:rPr>
        <w:t>市预算内前期工作经费投资计划按年度下达（具体下达时间根据当年工作安排情况动态调整），投资计划下达后，</w:t>
      </w:r>
      <w:r>
        <w:rPr>
          <w:rFonts w:hint="default" w:ascii="Times New Roman" w:hAnsi="Times New Roman" w:eastAsia="方正仿宋_GBK" w:cs="Times New Roman"/>
          <w:color w:val="000000"/>
          <w:kern w:val="0"/>
          <w:sz w:val="32"/>
          <w:szCs w:val="32"/>
          <w:lang w:val="en-US" w:eastAsia="zh-CN" w:bidi="ar"/>
        </w:rPr>
        <w:t>由市发展改革委聘请第三方机构，重点围绕</w:t>
      </w:r>
      <w:r>
        <w:rPr>
          <w:rFonts w:hint="eastAsia" w:ascii="Times New Roman" w:hAnsi="Times New Roman" w:eastAsia="方正仿宋_GBK" w:cs="Times New Roman"/>
          <w:color w:val="000000"/>
          <w:kern w:val="0"/>
          <w:sz w:val="32"/>
          <w:szCs w:val="32"/>
          <w:lang w:val="en-US" w:eastAsia="zh-CN" w:bidi="ar"/>
        </w:rPr>
        <w:t>投资计划</w:t>
      </w:r>
      <w:r>
        <w:rPr>
          <w:rFonts w:hint="default" w:ascii="Times New Roman" w:hAnsi="Times New Roman" w:eastAsia="方正仿宋_GBK" w:cs="Times New Roman"/>
          <w:color w:val="000000"/>
          <w:kern w:val="0"/>
          <w:sz w:val="32"/>
          <w:szCs w:val="32"/>
          <w:lang w:val="en-US" w:eastAsia="zh-CN" w:bidi="ar"/>
        </w:rPr>
        <w:t>资金支出进度，</w:t>
      </w:r>
      <w:r>
        <w:rPr>
          <w:rFonts w:hint="eastAsia" w:ascii="Times New Roman" w:hAnsi="Times New Roman" w:eastAsia="方正仿宋_GBK" w:cs="Times New Roman"/>
          <w:color w:val="000000"/>
          <w:kern w:val="0"/>
          <w:sz w:val="32"/>
          <w:szCs w:val="32"/>
          <w:lang w:val="en-US" w:eastAsia="zh-CN" w:bidi="ar"/>
        </w:rPr>
        <w:t>按年度</w:t>
      </w:r>
      <w:r>
        <w:rPr>
          <w:rFonts w:hint="default" w:ascii="Times New Roman" w:hAnsi="Times New Roman" w:eastAsia="方正仿宋_GBK" w:cs="Times New Roman"/>
          <w:color w:val="000000"/>
          <w:kern w:val="0"/>
          <w:sz w:val="32"/>
          <w:szCs w:val="32"/>
          <w:lang w:val="en-US" w:eastAsia="zh-CN" w:bidi="ar"/>
        </w:rPr>
        <w:t>对下达的预算内前期工作经费进行绩效评估。</w:t>
      </w:r>
    </w:p>
    <w:p w14:paraId="3FC47742">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项目实施成效</w:t>
      </w:r>
    </w:p>
    <w:p w14:paraId="0F0FAA1C">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kern w:val="0"/>
          <w:sz w:val="32"/>
          <w:szCs w:val="32"/>
          <w:lang w:val="en-US" w:eastAsia="zh-CN" w:bidi="ar"/>
        </w:rPr>
        <w:t>充分发挥固定资产投资拉动关键作用，促进全市经济社会协调发展，激发县域经济、民营经济、园区经济增长活力，带动</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六县一市二区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均衡发展，完成全年GDP、固定资产投资目标任务。</w:t>
      </w:r>
    </w:p>
    <w:sectPr>
      <w:footerReference r:id="rId3" w:type="default"/>
      <w:pgSz w:w="11906" w:h="16838"/>
      <w:pgMar w:top="2041" w:right="1474" w:bottom="1304" w:left="1587" w:header="1361" w:footer="119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829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6F9F6">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46F9F6">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CF0F"/>
    <w:multiLevelType w:val="singleLevel"/>
    <w:tmpl w:val="FBFFCF0F"/>
    <w:lvl w:ilvl="0" w:tentative="0">
      <w:start w:val="1"/>
      <w:numFmt w:val="chineseCounting"/>
      <w:suff w:val="nothing"/>
      <w:lvlText w:val="（%1）"/>
      <w:lvlJc w:val="left"/>
      <w:rPr>
        <w:rFonts w:hint="eastAsia"/>
      </w:rPr>
    </w:lvl>
  </w:abstractNum>
  <w:abstractNum w:abstractNumId="1">
    <w:nsid w:val="62902C91"/>
    <w:multiLevelType w:val="singleLevel"/>
    <w:tmpl w:val="62902C91"/>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650BC"/>
    <w:rsid w:val="2230171F"/>
    <w:rsid w:val="3CC66AB0"/>
    <w:rsid w:val="43D14AED"/>
    <w:rsid w:val="49187B29"/>
    <w:rsid w:val="4AFF8CED"/>
    <w:rsid w:val="57087F99"/>
    <w:rsid w:val="5D952C65"/>
    <w:rsid w:val="70FECC49"/>
    <w:rsid w:val="796E3B9A"/>
    <w:rsid w:val="F7DF02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1216</Words>
  <Characters>1242</Characters>
  <Lines>0</Lines>
  <Paragraphs>0</Paragraphs>
  <TotalTime>24</TotalTime>
  <ScaleCrop>false</ScaleCrop>
  <LinksUpToDate>false</LinksUpToDate>
  <CharactersWithSpaces>1242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 Kim。</cp:lastModifiedBy>
  <cp:lastPrinted>2025-02-21T16:54:00Z</cp:lastPrinted>
  <dcterms:modified xsi:type="dcterms:W3CDTF">2026-02-05T02:39:25Z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eyJoZGlkIjoiMzFiMDhkNDU5NGMyNjFhYjNhNmRlMGViODY0NjgyZWQiLCJ1c2VySWQiOiIzMjA0OTgyNzIifQ==</vt:lpwstr>
  </property>
  <property fmtid="{D5CDD505-2E9C-101B-9397-08002B2CF9AE}" pid="4" name="ICV">
    <vt:lpwstr>05DF13C277A54121A921C995F24002C7_12</vt:lpwstr>
  </property>
</Properties>
</file>